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0936B" w14:textId="578B5387" w:rsidR="00776179" w:rsidRDefault="005C1364" w:rsidP="005C1364">
      <w:pPr>
        <w:pStyle w:val="Pagedecouverture"/>
        <w:rPr>
          <w:noProof/>
        </w:rPr>
      </w:pPr>
      <w:r>
        <w:rPr>
          <w:noProof/>
        </w:rPr>
        <w:pict w14:anchorId="22412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F3DF7EF-CCD4-4A46-A2BB-215BA217576A" style="width:455.25pt;height:389.25pt">
            <v:imagedata r:id="rId8" o:title=""/>
          </v:shape>
        </w:pict>
      </w:r>
    </w:p>
    <w:p w14:paraId="39846DC0" w14:textId="77777777" w:rsidR="000217C7" w:rsidRDefault="000217C7" w:rsidP="0003312C">
      <w:pPr>
        <w:rPr>
          <w:noProof/>
        </w:rPr>
        <w:sectPr w:rsidR="000217C7" w:rsidSect="005C1364">
          <w:footerReference w:type="even" r:id="rId9"/>
          <w:footerReference w:type="default" r:id="rId10"/>
          <w:footnotePr>
            <w:numRestart w:val="eachSect"/>
          </w:footnotePr>
          <w:pgSz w:w="11907" w:h="16839"/>
          <w:pgMar w:top="1134" w:right="1417" w:bottom="1134" w:left="1417" w:header="709" w:footer="709" w:gutter="0"/>
          <w:pgNumType w:start="0"/>
          <w:cols w:space="720"/>
          <w:docGrid w:linePitch="360"/>
        </w:sectPr>
      </w:pPr>
    </w:p>
    <w:p w14:paraId="28733E96" w14:textId="77777777" w:rsidR="003E7EA6" w:rsidRDefault="003E7EA6">
      <w:pPr>
        <w:pStyle w:val="Exposdesmotifstitre"/>
        <w:rPr>
          <w:noProof/>
        </w:rPr>
      </w:pPr>
      <w:bookmarkStart w:id="0" w:name="_GoBack"/>
      <w:bookmarkEnd w:id="0"/>
      <w:r w:rsidRPr="006F770D">
        <w:rPr>
          <w:noProof/>
        </w:rPr>
        <w:lastRenderedPageBreak/>
        <w:t>EXPLANATORY MEMORANDUM</w:t>
      </w:r>
    </w:p>
    <w:p w14:paraId="6834C02E" w14:textId="77777777" w:rsidR="003E7EA6" w:rsidRPr="006F770D" w:rsidRDefault="003E7EA6">
      <w:pPr>
        <w:pStyle w:val="ManualHeading1"/>
        <w:rPr>
          <w:noProof/>
        </w:rPr>
      </w:pPr>
      <w:r w:rsidRPr="00C567EE">
        <w:rPr>
          <w:noProof/>
        </w:rPr>
        <w:t>1.</w:t>
      </w:r>
      <w:r w:rsidRPr="00C567EE">
        <w:rPr>
          <w:noProof/>
        </w:rPr>
        <w:tab/>
      </w:r>
      <w:r w:rsidRPr="006F770D">
        <w:rPr>
          <w:noProof/>
        </w:rPr>
        <w:t>CONTEXT OF THE PROPOSAL</w:t>
      </w:r>
    </w:p>
    <w:p w14:paraId="4ABD8DAF" w14:textId="77777777" w:rsidR="003E7EA6" w:rsidRPr="00044058" w:rsidRDefault="003E7EA6">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64F15EC5" w14:textId="77777777" w:rsidR="00FA610F" w:rsidRDefault="00FA610F" w:rsidP="00FA610F">
      <w:pPr>
        <w:suppressAutoHyphens/>
        <w:ind w:right="114"/>
        <w:rPr>
          <w:noProof/>
          <w:spacing w:val="-3"/>
        </w:rPr>
      </w:pPr>
      <w:r w:rsidRPr="00D95F64">
        <w:rPr>
          <w:rFonts w:eastAsia="Arial Unicode MS"/>
          <w:b/>
          <w:bCs/>
          <w:noProof/>
        </w:rPr>
        <w:t xml:space="preserve">This proposal aims to </w:t>
      </w:r>
      <w:r w:rsidRPr="00D95F64">
        <w:rPr>
          <w:b/>
          <w:bCs/>
          <w:noProof/>
        </w:rPr>
        <w:t>contribute to the timely and efficient development and interoperability of resilient energy infrastructure across the EU</w:t>
      </w:r>
      <w:r w:rsidR="007A36E4">
        <w:rPr>
          <w:b/>
          <w:bCs/>
          <w:noProof/>
        </w:rPr>
        <w:t>.</w:t>
      </w:r>
      <w:r>
        <w:rPr>
          <w:noProof/>
        </w:rPr>
        <w:t xml:space="preserve"> </w:t>
      </w:r>
      <w:r w:rsidRPr="00A70B70">
        <w:rPr>
          <w:noProof/>
          <w:spacing w:val="-3"/>
        </w:rPr>
        <w:t xml:space="preserve">Energy network infrastructure plays a crucial role in reinvigorating </w:t>
      </w:r>
      <w:r w:rsidR="001E48B2">
        <w:rPr>
          <w:noProof/>
          <w:spacing w:val="-3"/>
        </w:rPr>
        <w:t>EU</w:t>
      </w:r>
      <w:r w:rsidRPr="00A70B70">
        <w:rPr>
          <w:noProof/>
          <w:spacing w:val="-3"/>
        </w:rPr>
        <w:t xml:space="preserve"> competitiveness, ensuring the security of our Union and in the energy transition and decarbonisation</w:t>
      </w:r>
      <w:r w:rsidRPr="008113AD">
        <w:rPr>
          <w:noProof/>
          <w:spacing w:val="-3"/>
        </w:rPr>
        <w:t>. At the same time, the development of energy networks is confronted with new and significant challenges</w:t>
      </w:r>
      <w:r w:rsidR="00E759CD">
        <w:rPr>
          <w:noProof/>
          <w:spacing w:val="-3"/>
          <w:lang w:val="en-IE"/>
        </w:rPr>
        <w:t>,</w:t>
      </w:r>
    </w:p>
    <w:p w14:paraId="1ACD907F" w14:textId="77777777" w:rsidR="00FA610F" w:rsidRDefault="00FA610F" w:rsidP="00FA610F">
      <w:pPr>
        <w:suppressAutoHyphens/>
        <w:ind w:right="114"/>
        <w:rPr>
          <w:noProof/>
        </w:rPr>
      </w:pPr>
      <w:r w:rsidRPr="008113AD">
        <w:rPr>
          <w:b/>
          <w:noProof/>
          <w:spacing w:val="-3"/>
        </w:rPr>
        <w:t xml:space="preserve">Electricity grids will need to serve growing demand linked to </w:t>
      </w:r>
      <w:r>
        <w:rPr>
          <w:b/>
          <w:noProof/>
          <w:spacing w:val="-3"/>
        </w:rPr>
        <w:t>electrification of end-uses</w:t>
      </w:r>
      <w:r w:rsidRPr="008113AD">
        <w:rPr>
          <w:bCs/>
          <w:iCs/>
          <w:noProof/>
          <w:spacing w:val="-3"/>
        </w:rPr>
        <w:t xml:space="preserve"> and the ramp-up of the hydrogen system.</w:t>
      </w:r>
      <w:r w:rsidRPr="008113AD">
        <w:rPr>
          <w:noProof/>
        </w:rPr>
        <w:t xml:space="preserve"> </w:t>
      </w:r>
      <w:r>
        <w:rPr>
          <w:noProof/>
        </w:rPr>
        <w:t xml:space="preserve">Electrification </w:t>
      </w:r>
      <w:r w:rsidRPr="008113AD">
        <w:rPr>
          <w:noProof/>
        </w:rPr>
        <w:t xml:space="preserve">of final energy consumption </w:t>
      </w:r>
      <w:r w:rsidR="00637B62">
        <w:rPr>
          <w:noProof/>
        </w:rPr>
        <w:t xml:space="preserve">in the Union </w:t>
      </w:r>
      <w:r>
        <w:rPr>
          <w:noProof/>
        </w:rPr>
        <w:t xml:space="preserve">is </w:t>
      </w:r>
      <w:r w:rsidR="009428F4">
        <w:rPr>
          <w:noProof/>
        </w:rPr>
        <w:t>aimed</w:t>
      </w:r>
      <w:r>
        <w:rPr>
          <w:noProof/>
        </w:rPr>
        <w:t xml:space="preserve"> to </w:t>
      </w:r>
      <w:r w:rsidRPr="008113AD">
        <w:rPr>
          <w:noProof/>
        </w:rPr>
        <w:t>increase from around 23% currently to around 32% in 2030</w:t>
      </w:r>
      <w:r w:rsidR="009428F4">
        <w:rPr>
          <w:noProof/>
        </w:rPr>
        <w:t xml:space="preserve">, as set out in the </w:t>
      </w:r>
      <w:r w:rsidR="00BC6B9E">
        <w:rPr>
          <w:noProof/>
        </w:rPr>
        <w:t>Clean Industrial Deal</w:t>
      </w:r>
      <w:r>
        <w:rPr>
          <w:noProof/>
        </w:rPr>
        <w:t>.</w:t>
      </w:r>
      <w:r w:rsidRPr="005A3B7D">
        <w:rPr>
          <w:rStyle w:val="FootnoteReference"/>
          <w:bCs/>
          <w:iCs/>
          <w:noProof/>
        </w:rPr>
        <w:footnoteReference w:id="2"/>
      </w:r>
      <w:r w:rsidRPr="008113AD">
        <w:rPr>
          <w:bCs/>
          <w:iCs/>
          <w:noProof/>
          <w:spacing w:val="-3"/>
        </w:rPr>
        <w:t xml:space="preserve"> Member States should aim for an electricity interconnectivity level of 15% by 2030</w:t>
      </w:r>
      <w:r>
        <w:rPr>
          <w:bCs/>
          <w:iCs/>
          <w:noProof/>
          <w:spacing w:val="-3"/>
        </w:rPr>
        <w:t>.</w:t>
      </w:r>
      <w:r w:rsidRPr="008113AD">
        <w:rPr>
          <w:rStyle w:val="FootnoteReference"/>
          <w:bCs/>
          <w:iCs/>
          <w:noProof/>
          <w:spacing w:val="-3"/>
        </w:rPr>
        <w:footnoteReference w:id="3"/>
      </w:r>
      <w:r w:rsidRPr="008113AD">
        <w:rPr>
          <w:bCs/>
          <w:iCs/>
          <w:noProof/>
          <w:spacing w:val="-3"/>
        </w:rPr>
        <w:t xml:space="preserve">  Networks will</w:t>
      </w:r>
      <w:r w:rsidRPr="008113AD">
        <w:rPr>
          <w:noProof/>
          <w:spacing w:val="-3"/>
        </w:rPr>
        <w:t xml:space="preserve"> </w:t>
      </w:r>
      <w:r w:rsidRPr="008113AD">
        <w:rPr>
          <w:bCs/>
          <w:iCs/>
          <w:noProof/>
          <w:spacing w:val="-3"/>
        </w:rPr>
        <w:t xml:space="preserve">need to integrate </w:t>
      </w:r>
      <w:r w:rsidRPr="008113AD">
        <w:rPr>
          <w:noProof/>
          <w:spacing w:val="-3"/>
        </w:rPr>
        <w:t>2.2-2.4 TW of renewables capacity to meet 2040 EU targets</w:t>
      </w:r>
      <w:r>
        <w:rPr>
          <w:noProof/>
          <w:spacing w:val="-3"/>
        </w:rPr>
        <w:t>.</w:t>
      </w:r>
      <w:r w:rsidRPr="008113AD">
        <w:rPr>
          <w:rStyle w:val="FootnoteReference"/>
          <w:bCs/>
          <w:iCs/>
          <w:noProof/>
          <w:spacing w:val="-3"/>
        </w:rPr>
        <w:footnoteReference w:id="4"/>
      </w:r>
      <w:r w:rsidRPr="008113AD">
        <w:rPr>
          <w:noProof/>
          <w:spacing w:val="-3"/>
        </w:rPr>
        <w:t xml:space="preserve"> </w:t>
      </w:r>
      <w:r w:rsidRPr="008113AD">
        <w:rPr>
          <w:bCs/>
          <w:iCs/>
          <w:noProof/>
          <w:spacing w:val="-3"/>
        </w:rPr>
        <w:t xml:space="preserve">Grids will </w:t>
      </w:r>
      <w:r w:rsidRPr="008113AD" w:rsidDel="00533D63">
        <w:rPr>
          <w:bCs/>
          <w:iCs/>
          <w:noProof/>
          <w:spacing w:val="-3"/>
        </w:rPr>
        <w:t xml:space="preserve">need to adapt </w:t>
      </w:r>
      <w:r w:rsidRPr="008113AD">
        <w:rPr>
          <w:bCs/>
          <w:iCs/>
          <w:noProof/>
          <w:spacing w:val="-3"/>
        </w:rPr>
        <w:t xml:space="preserve">for the EU to have a more decentralised, digitalised and flexible </w:t>
      </w:r>
      <w:r w:rsidRPr="008113AD" w:rsidDel="00533D63">
        <w:rPr>
          <w:bCs/>
          <w:iCs/>
          <w:noProof/>
          <w:spacing w:val="-3"/>
        </w:rPr>
        <w:t xml:space="preserve">electricity system </w:t>
      </w:r>
      <w:r w:rsidRPr="008113AD">
        <w:rPr>
          <w:bCs/>
          <w:iCs/>
          <w:noProof/>
          <w:spacing w:val="-3"/>
        </w:rPr>
        <w:t>with millions of rooftop solar panels and local energy communities sharing resources. By 2040, electricity transmission and distribution grids will require investments of EUR 1.2 trillion and hydrogen networks of EUR 240 billion</w:t>
      </w:r>
      <w:r>
        <w:rPr>
          <w:bCs/>
          <w:iCs/>
          <w:noProof/>
          <w:spacing w:val="-3"/>
        </w:rPr>
        <w:t>.</w:t>
      </w:r>
      <w:r w:rsidRPr="008113AD">
        <w:rPr>
          <w:rStyle w:val="FootnoteReference"/>
          <w:noProof/>
        </w:rPr>
        <w:footnoteReference w:id="5"/>
      </w:r>
      <w:r w:rsidRPr="008113AD">
        <w:rPr>
          <w:bCs/>
          <w:iCs/>
          <w:noProof/>
          <w:spacing w:val="-3"/>
        </w:rPr>
        <w:t xml:space="preserve"> </w:t>
      </w:r>
      <w:r w:rsidRPr="008113AD" w:rsidDel="00792111">
        <w:rPr>
          <w:bCs/>
          <w:iCs/>
          <w:noProof/>
          <w:spacing w:val="-3"/>
        </w:rPr>
        <w:t>Offshore renewables alone should increase by up to 360 GW by 2050</w:t>
      </w:r>
      <w:r w:rsidRPr="008113AD" w:rsidDel="00792111">
        <w:rPr>
          <w:rStyle w:val="FootnoteReference"/>
          <w:bCs/>
          <w:iCs/>
          <w:noProof/>
          <w:spacing w:val="-3"/>
        </w:rPr>
        <w:footnoteReference w:id="6"/>
      </w:r>
      <w:r w:rsidRPr="008113AD" w:rsidDel="00792111">
        <w:rPr>
          <w:bCs/>
          <w:iCs/>
          <w:noProof/>
          <w:spacing w:val="-3"/>
        </w:rPr>
        <w:t xml:space="preserve">, </w:t>
      </w:r>
      <w:r w:rsidRPr="008113AD">
        <w:rPr>
          <w:bCs/>
          <w:iCs/>
          <w:noProof/>
          <w:spacing w:val="-3"/>
        </w:rPr>
        <w:t xml:space="preserve">which need </w:t>
      </w:r>
      <w:r w:rsidRPr="008113AD" w:rsidDel="00792111">
        <w:rPr>
          <w:bCs/>
          <w:iCs/>
          <w:noProof/>
          <w:spacing w:val="-3"/>
        </w:rPr>
        <w:t xml:space="preserve">to be connected to shore including </w:t>
      </w:r>
      <w:r>
        <w:rPr>
          <w:bCs/>
          <w:iCs/>
          <w:noProof/>
          <w:spacing w:val="-3"/>
        </w:rPr>
        <w:t xml:space="preserve">through </w:t>
      </w:r>
      <w:r w:rsidRPr="008113AD" w:rsidDel="00792111">
        <w:rPr>
          <w:bCs/>
          <w:iCs/>
          <w:noProof/>
          <w:spacing w:val="-3"/>
        </w:rPr>
        <w:t>necessary</w:t>
      </w:r>
      <w:r w:rsidRPr="008113AD">
        <w:rPr>
          <w:bCs/>
          <w:iCs/>
          <w:noProof/>
          <w:spacing w:val="-3"/>
        </w:rPr>
        <w:t xml:space="preserve"> onshore</w:t>
      </w:r>
      <w:r w:rsidRPr="008113AD" w:rsidDel="00792111">
        <w:rPr>
          <w:bCs/>
          <w:iCs/>
          <w:noProof/>
          <w:spacing w:val="-3"/>
        </w:rPr>
        <w:t xml:space="preserve"> grid reinforcements. </w:t>
      </w:r>
      <w:r w:rsidRPr="008113AD">
        <w:rPr>
          <w:b/>
          <w:bCs/>
          <w:noProof/>
          <w:spacing w:val="-3"/>
        </w:rPr>
        <w:t>Hydrogen will be important in decarbonising industrial and transport processes where electrification is not an attainable solution</w:t>
      </w:r>
      <w:r w:rsidRPr="008113AD">
        <w:rPr>
          <w:noProof/>
          <w:spacing w:val="-3"/>
        </w:rPr>
        <w:t xml:space="preserve">. </w:t>
      </w:r>
      <w:r w:rsidRPr="008113AD">
        <w:rPr>
          <w:noProof/>
        </w:rPr>
        <w:t>Hydrogen networks will connect production and demand centres across Europe, where on-site hydrogen production is not feasible.</w:t>
      </w:r>
    </w:p>
    <w:p w14:paraId="5B2D2550" w14:textId="77777777" w:rsidR="00FA610F" w:rsidRDefault="00FA610F" w:rsidP="00FA610F">
      <w:pPr>
        <w:suppressAutoHyphens/>
        <w:ind w:right="114"/>
        <w:rPr>
          <w:noProof/>
        </w:rPr>
      </w:pPr>
      <w:r w:rsidRPr="008113AD">
        <w:rPr>
          <w:noProof/>
          <w:spacing w:val="-3"/>
        </w:rPr>
        <w:t xml:space="preserve">The </w:t>
      </w:r>
      <w:r w:rsidRPr="008113AD">
        <w:rPr>
          <w:b/>
          <w:bCs/>
          <w:noProof/>
          <w:spacing w:val="-3"/>
        </w:rPr>
        <w:t>Draghi report</w:t>
      </w:r>
      <w:r w:rsidRPr="005A3B7D">
        <w:rPr>
          <w:rStyle w:val="FootnoteReference"/>
          <w:noProof/>
        </w:rPr>
        <w:footnoteReference w:id="7"/>
      </w:r>
      <w:r w:rsidRPr="008113AD">
        <w:rPr>
          <w:noProof/>
          <w:spacing w:val="-3"/>
        </w:rPr>
        <w:t xml:space="preserve"> called for simplifying and streamlining permitting and administrative processes as well as for </w:t>
      </w:r>
      <w:r w:rsidRPr="008113AD">
        <w:rPr>
          <w:noProof/>
        </w:rPr>
        <w:t xml:space="preserve">a </w:t>
      </w:r>
      <w:r w:rsidRPr="008113AD">
        <w:rPr>
          <w:noProof/>
          <w:spacing w:val="-3"/>
        </w:rPr>
        <w:t>coordinated strategic approach to</w:t>
      </w:r>
      <w:r w:rsidRPr="008113AD">
        <w:rPr>
          <w:noProof/>
        </w:rPr>
        <w:t xml:space="preserve"> cross-border</w:t>
      </w:r>
      <w:r w:rsidRPr="008113AD">
        <w:rPr>
          <w:noProof/>
          <w:spacing w:val="-3"/>
        </w:rPr>
        <w:t xml:space="preserve"> infrastructure development</w:t>
      </w:r>
      <w:r w:rsidRPr="008113AD">
        <w:rPr>
          <w:noProof/>
        </w:rPr>
        <w:t xml:space="preserve"> between the EU and Member States.</w:t>
      </w:r>
      <w:r w:rsidRPr="008113AD">
        <w:rPr>
          <w:noProof/>
          <w:spacing w:val="-3"/>
        </w:rPr>
        <w:t xml:space="preserve"> The </w:t>
      </w:r>
      <w:r w:rsidRPr="008113AD">
        <w:rPr>
          <w:b/>
          <w:bCs/>
          <w:noProof/>
          <w:spacing w:val="-3"/>
        </w:rPr>
        <w:t>Council</w:t>
      </w:r>
      <w:r w:rsidRPr="008113AD">
        <w:rPr>
          <w:noProof/>
          <w:spacing w:val="-3"/>
        </w:rPr>
        <w:t xml:space="preserve"> invite</w:t>
      </w:r>
      <w:r w:rsidRPr="008113AD">
        <w:rPr>
          <w:noProof/>
        </w:rPr>
        <w:t>d</w:t>
      </w:r>
      <w:r w:rsidRPr="008113AD">
        <w:rPr>
          <w:noProof/>
          <w:spacing w:val="-3"/>
        </w:rPr>
        <w:t xml:space="preserve"> the Commission to propose a strengthened framework for grid planning and rollout to be compliant with EU targets</w:t>
      </w:r>
      <w:r>
        <w:rPr>
          <w:noProof/>
          <w:spacing w:val="-3"/>
        </w:rPr>
        <w:t>.</w:t>
      </w:r>
      <w:r w:rsidRPr="005A3B7D">
        <w:rPr>
          <w:rStyle w:val="FootnoteReference"/>
          <w:noProof/>
        </w:rPr>
        <w:footnoteReference w:id="8"/>
      </w:r>
      <w:r w:rsidRPr="008113AD">
        <w:rPr>
          <w:noProof/>
          <w:spacing w:val="-3"/>
        </w:rPr>
        <w:t xml:space="preserve"> In its Conclusions of 16 June 2025</w:t>
      </w:r>
      <w:r w:rsidRPr="008113AD">
        <w:rPr>
          <w:rStyle w:val="FootnoteReference"/>
          <w:noProof/>
          <w:spacing w:val="-3"/>
        </w:rPr>
        <w:footnoteReference w:id="9"/>
      </w:r>
      <w:r w:rsidRPr="008113AD">
        <w:rPr>
          <w:noProof/>
          <w:spacing w:val="-3"/>
        </w:rPr>
        <w:t>, the Council call</w:t>
      </w:r>
      <w:r w:rsidRPr="008113AD">
        <w:rPr>
          <w:noProof/>
        </w:rPr>
        <w:t>ed</w:t>
      </w:r>
      <w:r w:rsidRPr="008113AD">
        <w:rPr>
          <w:noProof/>
          <w:spacing w:val="-3"/>
        </w:rPr>
        <w:t xml:space="preserve"> on the Commission to propose a grid</w:t>
      </w:r>
      <w:r w:rsidRPr="008113AD">
        <w:rPr>
          <w:noProof/>
        </w:rPr>
        <w:t>s</w:t>
      </w:r>
      <w:r w:rsidRPr="008113AD">
        <w:rPr>
          <w:noProof/>
          <w:spacing w:val="-3"/>
        </w:rPr>
        <w:t xml:space="preserve"> package consisting of measures to, </w:t>
      </w:r>
      <w:r w:rsidRPr="00F52DD3">
        <w:rPr>
          <w:noProof/>
          <w:spacing w:val="-3"/>
        </w:rPr>
        <w:t>inter alia</w:t>
      </w:r>
      <w:r w:rsidRPr="008113AD">
        <w:rPr>
          <w:noProof/>
          <w:spacing w:val="-3"/>
        </w:rPr>
        <w:t>, simplify EU rules on grids, integrate EU-level, regional and national needs, ensure the delivery of projects, develop effective cost sharing mechanisms for cross-border projects of common interest,</w:t>
      </w:r>
      <w:r w:rsidRPr="008113AD">
        <w:rPr>
          <w:noProof/>
        </w:rPr>
        <w:t xml:space="preserve"> </w:t>
      </w:r>
      <w:r w:rsidRPr="008113AD">
        <w:rPr>
          <w:noProof/>
          <w:spacing w:val="-3"/>
        </w:rPr>
        <w:t xml:space="preserve">and assess the need for further legislative proposals to accelerate permitting </w:t>
      </w:r>
      <w:r>
        <w:rPr>
          <w:noProof/>
          <w:spacing w:val="-3"/>
        </w:rPr>
        <w:t xml:space="preserve">of </w:t>
      </w:r>
      <w:r w:rsidRPr="008113AD">
        <w:rPr>
          <w:noProof/>
          <w:spacing w:val="-3"/>
        </w:rPr>
        <w:t>energy infrastructure. The</w:t>
      </w:r>
      <w:r w:rsidRPr="008113AD">
        <w:rPr>
          <w:b/>
          <w:bCs/>
          <w:noProof/>
          <w:spacing w:val="-3"/>
        </w:rPr>
        <w:t xml:space="preserve"> European Council</w:t>
      </w:r>
      <w:r w:rsidRPr="008113AD">
        <w:rPr>
          <w:noProof/>
          <w:spacing w:val="-3"/>
        </w:rPr>
        <w:t xml:space="preserve"> in its Conclusions also called </w:t>
      </w:r>
      <w:r w:rsidRPr="008113AD">
        <w:rPr>
          <w:bCs/>
          <w:iCs/>
          <w:noProof/>
          <w:spacing w:val="-3"/>
        </w:rPr>
        <w:t>for Union-wide long-term investment planning to fully integrate and interconnect the EU electricity market, contributing to the Union’s energy security, and infrastructure protection and resilience</w:t>
      </w:r>
      <w:r>
        <w:rPr>
          <w:bCs/>
          <w:iCs/>
          <w:noProof/>
          <w:spacing w:val="-3"/>
        </w:rPr>
        <w:t>.</w:t>
      </w:r>
      <w:r w:rsidRPr="008113AD">
        <w:rPr>
          <w:rStyle w:val="FootnoteReference"/>
          <w:bCs/>
          <w:iCs/>
          <w:noProof/>
          <w:spacing w:val="-3"/>
        </w:rPr>
        <w:footnoteReference w:id="10"/>
      </w:r>
      <w:r w:rsidRPr="008113AD">
        <w:rPr>
          <w:bCs/>
          <w:iCs/>
          <w:noProof/>
          <w:spacing w:val="-3"/>
        </w:rPr>
        <w:t xml:space="preserve"> The </w:t>
      </w:r>
      <w:r w:rsidRPr="008113AD">
        <w:rPr>
          <w:b/>
          <w:noProof/>
          <w:spacing w:val="-3"/>
        </w:rPr>
        <w:t>European Parliament</w:t>
      </w:r>
      <w:r w:rsidRPr="008113AD">
        <w:rPr>
          <w:bCs/>
          <w:iCs/>
          <w:noProof/>
          <w:spacing w:val="-3"/>
        </w:rPr>
        <w:t xml:space="preserve"> highlighted the importance of modernising and expanding grids</w:t>
      </w:r>
      <w:r w:rsidRPr="008113AD">
        <w:rPr>
          <w:noProof/>
        </w:rPr>
        <w:t>, as well as investment into digitalisation, with a focus on integrated cross-sector and cross-level planning</w:t>
      </w:r>
      <w:r>
        <w:rPr>
          <w:noProof/>
        </w:rPr>
        <w:t>.</w:t>
      </w:r>
      <w:r w:rsidRPr="005A3B7D">
        <w:rPr>
          <w:rStyle w:val="FootnoteReference"/>
          <w:bCs/>
          <w:iCs/>
          <w:noProof/>
        </w:rPr>
        <w:footnoteReference w:id="11"/>
      </w:r>
      <w:r w:rsidRPr="008113AD">
        <w:rPr>
          <w:noProof/>
        </w:rPr>
        <w:t xml:space="preserve"> It also emphasises cross-border infrastructure as a condition for successful deepening of the single market and for increasing the Union’s resilience.</w:t>
      </w:r>
      <w:r w:rsidRPr="005A3B7D">
        <w:rPr>
          <w:rStyle w:val="FootnoteReference"/>
          <w:bCs/>
          <w:iCs/>
          <w:noProof/>
        </w:rPr>
        <w:footnoteReference w:id="12"/>
      </w:r>
    </w:p>
    <w:p w14:paraId="6DFD4B59" w14:textId="77777777" w:rsidR="00135545" w:rsidRDefault="00135545" w:rsidP="00FA610F">
      <w:pPr>
        <w:suppressAutoHyphens/>
        <w:ind w:right="114"/>
        <w:rPr>
          <w:noProof/>
        </w:rPr>
      </w:pPr>
      <w:r w:rsidRPr="00A37139">
        <w:rPr>
          <w:b/>
          <w:bCs/>
          <w:noProof/>
        </w:rPr>
        <w:t xml:space="preserve">The TEN-E Regulation, adopted in 2013, has </w:t>
      </w:r>
      <w:r w:rsidR="00800F89">
        <w:rPr>
          <w:b/>
          <w:bCs/>
          <w:noProof/>
        </w:rPr>
        <w:t xml:space="preserve">contributed </w:t>
      </w:r>
      <w:r w:rsidR="00C34073">
        <w:rPr>
          <w:b/>
          <w:bCs/>
          <w:noProof/>
        </w:rPr>
        <w:t>to</w:t>
      </w:r>
      <w:r w:rsidR="00800F89" w:rsidRPr="00A37139">
        <w:rPr>
          <w:b/>
          <w:bCs/>
          <w:noProof/>
        </w:rPr>
        <w:t xml:space="preserve"> </w:t>
      </w:r>
      <w:r w:rsidRPr="00A37139">
        <w:rPr>
          <w:b/>
          <w:bCs/>
          <w:noProof/>
        </w:rPr>
        <w:t>the Union</w:t>
      </w:r>
      <w:r w:rsidR="00C34073">
        <w:rPr>
          <w:b/>
          <w:bCs/>
          <w:noProof/>
        </w:rPr>
        <w:t>’s</w:t>
      </w:r>
      <w:r w:rsidRPr="00A37139">
        <w:rPr>
          <w:b/>
          <w:bCs/>
          <w:noProof/>
        </w:rPr>
        <w:t xml:space="preserve"> core energy policy</w:t>
      </w:r>
      <w:r w:rsidRPr="00135545">
        <w:rPr>
          <w:noProof/>
        </w:rPr>
        <w:t xml:space="preserve"> </w:t>
      </w:r>
      <w:r w:rsidRPr="004D60A9">
        <w:rPr>
          <w:b/>
          <w:noProof/>
        </w:rPr>
        <w:t>objectives</w:t>
      </w:r>
      <w:r w:rsidRPr="00135545">
        <w:rPr>
          <w:noProof/>
        </w:rPr>
        <w:t xml:space="preserve"> by laying down rules for identifying and </w:t>
      </w:r>
      <w:r w:rsidR="008548CC">
        <w:rPr>
          <w:noProof/>
        </w:rPr>
        <w:t xml:space="preserve">ensuring </w:t>
      </w:r>
      <w:r w:rsidRPr="00135545">
        <w:rPr>
          <w:noProof/>
        </w:rPr>
        <w:t>the timely development of Projects of Common Interest (PCIs), that will ensure interoperability of trans-European energy networks</w:t>
      </w:r>
      <w:r w:rsidR="008548CC">
        <w:rPr>
          <w:noProof/>
        </w:rPr>
        <w:t>,</w:t>
      </w:r>
      <w:r w:rsidRPr="00135545">
        <w:rPr>
          <w:noProof/>
        </w:rPr>
        <w:t xml:space="preserve"> the functioning of the internal energy market, security of supply in the Union and the integration of renewable forms of energy. It </w:t>
      </w:r>
      <w:r w:rsidR="00562D55">
        <w:rPr>
          <w:noProof/>
        </w:rPr>
        <w:t>has also contributed to streamlined</w:t>
      </w:r>
      <w:r w:rsidRPr="00135545">
        <w:rPr>
          <w:noProof/>
        </w:rPr>
        <w:t xml:space="preserve"> permit granting procedures for Projects of Common Interest (PCIs) and provide</w:t>
      </w:r>
      <w:r w:rsidR="00562D55">
        <w:rPr>
          <w:noProof/>
        </w:rPr>
        <w:t>d</w:t>
      </w:r>
      <w:r w:rsidRPr="00135545">
        <w:rPr>
          <w:noProof/>
        </w:rPr>
        <w:t xml:space="preserve"> for regulatory assistance, rules and guidance for the cross-border allocation of costs and risk-related incentives and the conditions to access financing from the Connecting Europe Facility (CEF).</w:t>
      </w:r>
      <w:r w:rsidR="002F0EFA">
        <w:rPr>
          <w:noProof/>
        </w:rPr>
        <w:t xml:space="preserve"> The TEN-E Regulation was revised in 2022 to bring the framework in line with the 2050 climate neutrality objective under the European Green Deal. </w:t>
      </w:r>
    </w:p>
    <w:p w14:paraId="294074A4" w14:textId="77777777" w:rsidR="0044724E" w:rsidRPr="0044724E" w:rsidRDefault="0044724E" w:rsidP="00FA610F">
      <w:pPr>
        <w:suppressAutoHyphens/>
        <w:ind w:right="114"/>
        <w:rPr>
          <w:noProof/>
          <w:lang w:val="en-IE"/>
        </w:rPr>
      </w:pPr>
      <w:r w:rsidRPr="00A37139">
        <w:rPr>
          <w:b/>
          <w:bCs/>
          <w:noProof/>
          <w:lang w:val="en-IE"/>
        </w:rPr>
        <w:t xml:space="preserve">While the </w:t>
      </w:r>
      <w:r w:rsidR="00106C73" w:rsidRPr="00A37139">
        <w:rPr>
          <w:b/>
          <w:bCs/>
          <w:noProof/>
          <w:lang w:val="en-IE"/>
        </w:rPr>
        <w:t xml:space="preserve">objectives of </w:t>
      </w:r>
      <w:r w:rsidR="00562D55" w:rsidRPr="00A37139">
        <w:rPr>
          <w:b/>
          <w:bCs/>
          <w:noProof/>
          <w:lang w:val="en-IE"/>
        </w:rPr>
        <w:t xml:space="preserve">the </w:t>
      </w:r>
      <w:r w:rsidRPr="00A37139">
        <w:rPr>
          <w:b/>
          <w:bCs/>
          <w:noProof/>
          <w:lang w:val="en-IE"/>
        </w:rPr>
        <w:t xml:space="preserve">TEN-E Regulation </w:t>
      </w:r>
      <w:r w:rsidR="00106C73" w:rsidRPr="00A37139">
        <w:rPr>
          <w:b/>
          <w:bCs/>
          <w:noProof/>
          <w:lang w:val="en-IE"/>
        </w:rPr>
        <w:t xml:space="preserve">remain largely valid, several short-comings need to be </w:t>
      </w:r>
      <w:r w:rsidR="00106C73" w:rsidRPr="3CFBA5A1">
        <w:rPr>
          <w:b/>
          <w:bCs/>
          <w:noProof/>
          <w:lang w:val="en-IE"/>
        </w:rPr>
        <w:t>address</w:t>
      </w:r>
      <w:r w:rsidR="0CE88AD7" w:rsidRPr="3CFBA5A1">
        <w:rPr>
          <w:b/>
          <w:bCs/>
          <w:noProof/>
          <w:lang w:val="en-IE"/>
        </w:rPr>
        <w:t>ed</w:t>
      </w:r>
      <w:r w:rsidR="00106C73" w:rsidRPr="00A37139">
        <w:rPr>
          <w:b/>
          <w:bCs/>
          <w:noProof/>
          <w:lang w:val="en-IE"/>
        </w:rPr>
        <w:t xml:space="preserve"> </w:t>
      </w:r>
      <w:r w:rsidR="004A2FE1">
        <w:rPr>
          <w:b/>
          <w:bCs/>
          <w:noProof/>
          <w:lang w:val="en-IE"/>
        </w:rPr>
        <w:t>to</w:t>
      </w:r>
      <w:r w:rsidR="00106C73" w:rsidRPr="00A37139">
        <w:rPr>
          <w:b/>
          <w:bCs/>
          <w:noProof/>
          <w:lang w:val="en-IE"/>
        </w:rPr>
        <w:t xml:space="preserve"> ensure the framework</w:t>
      </w:r>
      <w:r w:rsidR="00106C73">
        <w:rPr>
          <w:noProof/>
          <w:lang w:val="en-IE"/>
        </w:rPr>
        <w:t xml:space="preserve"> is fit to support a decarbonised, competitive and resilient energy system </w:t>
      </w:r>
      <w:r w:rsidR="00A37139">
        <w:rPr>
          <w:noProof/>
          <w:lang w:val="en-IE"/>
        </w:rPr>
        <w:t>towards 2050,</w:t>
      </w:r>
      <w:r w:rsidR="00106C73">
        <w:rPr>
          <w:noProof/>
          <w:lang w:val="en-IE"/>
        </w:rPr>
        <w:t xml:space="preserve"> in line with the Clean Industrial Deal objectives and the </w:t>
      </w:r>
      <w:r w:rsidR="00A37139">
        <w:rPr>
          <w:noProof/>
          <w:lang w:val="en-IE"/>
        </w:rPr>
        <w:t>European</w:t>
      </w:r>
      <w:r w:rsidR="00106C73">
        <w:rPr>
          <w:noProof/>
          <w:lang w:val="en-IE"/>
        </w:rPr>
        <w:t xml:space="preserve"> Climate Law. </w:t>
      </w:r>
    </w:p>
    <w:p w14:paraId="28C79338" w14:textId="629A376E" w:rsidR="00FA610F" w:rsidRPr="00D95F64" w:rsidRDefault="00106C73" w:rsidP="00FA610F">
      <w:pPr>
        <w:suppressAutoHyphens/>
        <w:ind w:right="114"/>
        <w:rPr>
          <w:noProof/>
          <w:lang w:val="en-IE"/>
        </w:rPr>
      </w:pPr>
      <w:r>
        <w:rPr>
          <w:b/>
          <w:bCs/>
          <w:noProof/>
          <w:lang w:val="en-IE"/>
        </w:rPr>
        <w:t>First, e</w:t>
      </w:r>
      <w:r w:rsidR="00FA610F" w:rsidRPr="00D95F64">
        <w:rPr>
          <w:b/>
          <w:bCs/>
          <w:noProof/>
          <w:lang w:val="en-IE"/>
        </w:rPr>
        <w:t>xisting and planned infrastructure projects are not sufficiently targeted towards achieving the EU’s energy and climate objectives</w:t>
      </w:r>
      <w:r w:rsidR="00FA610F" w:rsidRPr="00D95F64">
        <w:rPr>
          <w:noProof/>
          <w:lang w:val="en-IE"/>
        </w:rPr>
        <w:t xml:space="preserve">. There is a substantial gap between our cross-border electricity infrastructure needs and </w:t>
      </w:r>
      <w:r w:rsidR="00FA610F">
        <w:rPr>
          <w:noProof/>
          <w:lang w:val="en-IE"/>
        </w:rPr>
        <w:t>the</w:t>
      </w:r>
      <w:r w:rsidR="00FA610F" w:rsidRPr="00D95F64">
        <w:rPr>
          <w:noProof/>
          <w:lang w:val="en-IE"/>
        </w:rPr>
        <w:t xml:space="preserve"> speed and level of infrastructure development at both the transmission and distribution grid level.</w:t>
      </w:r>
      <w:r w:rsidR="008A3237">
        <w:rPr>
          <w:rStyle w:val="FootnoteReference"/>
          <w:noProof/>
          <w:lang w:val="en-IE"/>
        </w:rPr>
        <w:footnoteReference w:id="13"/>
      </w:r>
      <w:r w:rsidR="00FA610F" w:rsidRPr="00D95F64">
        <w:rPr>
          <w:noProof/>
          <w:lang w:val="en-IE"/>
        </w:rPr>
        <w:t xml:space="preserve"> </w:t>
      </w:r>
      <w:r w:rsidR="000274BE" w:rsidRPr="000274BE">
        <w:rPr>
          <w:noProof/>
          <w:lang w:val="en-IE"/>
        </w:rPr>
        <w:t>For electricity, about half of cross-border electricity needs for 2030 (41 of 88 GW) will remain unaddressed, and this gap is expected to increase the next decade. By 2040, cross-border electricity capacity needs will amount to 108 GW.</w:t>
      </w:r>
      <w:r w:rsidR="008A3237">
        <w:rPr>
          <w:rStyle w:val="FootnoteReference"/>
          <w:noProof/>
          <w:lang w:val="en-IE"/>
        </w:rPr>
        <w:footnoteReference w:id="14"/>
      </w:r>
      <w:r w:rsidR="00FA610F" w:rsidRPr="00D95F64">
        <w:rPr>
          <w:noProof/>
          <w:lang w:val="en-IE"/>
        </w:rPr>
        <w:t xml:space="preserve"> Failing to address infrastructure needs could hinder system decarbonisation, undermine security of supply and potentially lead to further market fragmentation and higher energy prices. </w:t>
      </w:r>
      <w:r w:rsidR="001F7C03">
        <w:rPr>
          <w:noProof/>
          <w:lang w:val="en-IE"/>
        </w:rPr>
        <w:t xml:space="preserve">From system efficiency perspective, current framework does not consider </w:t>
      </w:r>
      <w:r w:rsidR="008E603A">
        <w:rPr>
          <w:noProof/>
          <w:lang w:val="en-IE"/>
        </w:rPr>
        <w:t>use of alternatives to grid expansion, such as non-wire or digital solutions.</w:t>
      </w:r>
      <w:r w:rsidR="00FA610F" w:rsidRPr="00D95F64">
        <w:rPr>
          <w:noProof/>
          <w:lang w:val="en-IE"/>
        </w:rPr>
        <w:t xml:space="preserve"> Further, improved hydrogen network planning and integration will be crucial to ensure system optimisation and decarbonisation of industry. </w:t>
      </w:r>
    </w:p>
    <w:p w14:paraId="0B678471" w14:textId="77777777" w:rsidR="008A3237" w:rsidRDefault="00FA610F" w:rsidP="00FA610F">
      <w:pPr>
        <w:suppressAutoHyphens/>
        <w:ind w:right="114"/>
        <w:rPr>
          <w:noProof/>
          <w:lang w:val="en-IE"/>
        </w:rPr>
      </w:pPr>
      <w:r w:rsidRPr="00D95F64">
        <w:rPr>
          <w:b/>
          <w:bCs/>
          <w:noProof/>
          <w:lang w:val="en-IE"/>
        </w:rPr>
        <w:t xml:space="preserve">Second, the implementation of </w:t>
      </w:r>
      <w:r>
        <w:rPr>
          <w:b/>
          <w:bCs/>
          <w:noProof/>
          <w:lang w:val="en-IE"/>
        </w:rPr>
        <w:t>cross-border i</w:t>
      </w:r>
      <w:r w:rsidRPr="00D95F64">
        <w:rPr>
          <w:b/>
          <w:bCs/>
          <w:noProof/>
          <w:lang w:val="en-IE"/>
        </w:rPr>
        <w:t>nfrastructure</w:t>
      </w:r>
      <w:r>
        <w:rPr>
          <w:b/>
          <w:bCs/>
          <w:noProof/>
          <w:lang w:val="en-IE"/>
        </w:rPr>
        <w:t xml:space="preserve"> projects</w:t>
      </w:r>
      <w:r w:rsidRPr="00D95F64">
        <w:rPr>
          <w:b/>
          <w:bCs/>
          <w:noProof/>
          <w:lang w:val="en-IE"/>
        </w:rPr>
        <w:t xml:space="preserve"> is too slow</w:t>
      </w:r>
      <w:r w:rsidRPr="00D95F64">
        <w:rPr>
          <w:noProof/>
          <w:lang w:val="en-IE"/>
        </w:rPr>
        <w:t xml:space="preserve">, increasing overall project costs and impeding </w:t>
      </w:r>
      <w:r>
        <w:rPr>
          <w:noProof/>
          <w:lang w:val="en-IE"/>
        </w:rPr>
        <w:t>network development</w:t>
      </w:r>
      <w:r w:rsidRPr="00D95F64">
        <w:rPr>
          <w:noProof/>
          <w:lang w:val="en-IE"/>
        </w:rPr>
        <w:t xml:space="preserve">. The completion of electricity infrastructure projects takes up to 10 years for transmission grids. </w:t>
      </w:r>
      <w:r>
        <w:rPr>
          <w:noProof/>
          <w:lang w:val="en-IE"/>
        </w:rPr>
        <w:t>D</w:t>
      </w:r>
      <w:r w:rsidRPr="00D95F64">
        <w:rPr>
          <w:noProof/>
          <w:lang w:val="en-IE"/>
        </w:rPr>
        <w:t xml:space="preserve">elays </w:t>
      </w:r>
      <w:r>
        <w:rPr>
          <w:noProof/>
          <w:lang w:val="en-IE"/>
        </w:rPr>
        <w:t xml:space="preserve">are often attributed to </w:t>
      </w:r>
      <w:r w:rsidRPr="00D95F64">
        <w:rPr>
          <w:noProof/>
          <w:lang w:val="en-IE"/>
        </w:rPr>
        <w:t xml:space="preserve">difficulties in reaching agreement on </w:t>
      </w:r>
      <w:r w:rsidRPr="00D95F64">
        <w:rPr>
          <w:b/>
          <w:bCs/>
          <w:noProof/>
          <w:lang w:val="en-IE"/>
        </w:rPr>
        <w:t xml:space="preserve">cost-sharing </w:t>
      </w:r>
      <w:r w:rsidRPr="00D95F64">
        <w:rPr>
          <w:noProof/>
          <w:lang w:val="en-IE"/>
        </w:rPr>
        <w:t>when projects carry benefits outside their hosting Member States.</w:t>
      </w:r>
      <w:r w:rsidRPr="00D95F64">
        <w:rPr>
          <w:noProof/>
        </w:rPr>
        <w:t xml:space="preserve"> </w:t>
      </w:r>
      <w:r w:rsidRPr="00D95F64">
        <w:rPr>
          <w:noProof/>
          <w:lang w:val="en-IE"/>
        </w:rPr>
        <w:t xml:space="preserve">As cross-border infrastructure becomes more integrated, the number of </w:t>
      </w:r>
      <w:r w:rsidR="00F8492C">
        <w:rPr>
          <w:noProof/>
          <w:lang w:val="en-IE"/>
        </w:rPr>
        <w:t xml:space="preserve">such </w:t>
      </w:r>
      <w:r w:rsidRPr="00D95F64">
        <w:rPr>
          <w:noProof/>
          <w:lang w:val="en-IE"/>
        </w:rPr>
        <w:t>projects with benefits occurring outs</w:t>
      </w:r>
    </w:p>
    <w:p w14:paraId="1D50A644" w14:textId="77777777" w:rsidR="00FA610F" w:rsidRPr="00D95F64" w:rsidRDefault="00FA610F" w:rsidP="00FA610F">
      <w:pPr>
        <w:suppressAutoHyphens/>
        <w:ind w:right="114"/>
        <w:rPr>
          <w:noProof/>
          <w:lang w:val="en-IE"/>
        </w:rPr>
      </w:pPr>
      <w:r w:rsidRPr="00D95F64">
        <w:rPr>
          <w:noProof/>
          <w:lang w:val="en-IE"/>
        </w:rPr>
        <w:t xml:space="preserve">ide the hosting Member States is expected to increase. In addition, delayed </w:t>
      </w:r>
      <w:r w:rsidRPr="00D95F64">
        <w:rPr>
          <w:b/>
          <w:bCs/>
          <w:noProof/>
          <w:lang w:val="en-IE"/>
        </w:rPr>
        <w:t xml:space="preserve">permitting procedures </w:t>
      </w:r>
      <w:r w:rsidRPr="00D95F64">
        <w:rPr>
          <w:noProof/>
          <w:lang w:val="en-IE"/>
        </w:rPr>
        <w:t>continue to constitute a key bottleneck</w:t>
      </w:r>
      <w:r>
        <w:rPr>
          <w:noProof/>
          <w:lang w:val="en-IE"/>
        </w:rPr>
        <w:t>,</w:t>
      </w:r>
      <w:r w:rsidRPr="008113AD">
        <w:rPr>
          <w:noProof/>
        </w:rPr>
        <w:t xml:space="preserve"> account</w:t>
      </w:r>
      <w:r>
        <w:rPr>
          <w:noProof/>
        </w:rPr>
        <w:t>ing</w:t>
      </w:r>
      <w:r w:rsidRPr="008113AD">
        <w:rPr>
          <w:noProof/>
        </w:rPr>
        <w:t xml:space="preserve"> for more than half of the time needed</w:t>
      </w:r>
      <w:r>
        <w:rPr>
          <w:noProof/>
        </w:rPr>
        <w:t xml:space="preserve"> to complete an electricity transmission infrastructure project. </w:t>
      </w:r>
    </w:p>
    <w:p w14:paraId="3A072F8F" w14:textId="77777777" w:rsidR="00FA610F" w:rsidRDefault="00FA610F" w:rsidP="00FA610F">
      <w:pPr>
        <w:suppressAutoHyphens/>
        <w:ind w:right="114"/>
        <w:rPr>
          <w:noProof/>
          <w:lang w:val="en-IE"/>
        </w:rPr>
      </w:pPr>
      <w:r w:rsidRPr="00D95F64">
        <w:rPr>
          <w:b/>
          <w:bCs/>
          <w:noProof/>
          <w:lang w:val="en-IE"/>
        </w:rPr>
        <w:t>Finally, concerns over infrastructure security</w:t>
      </w:r>
      <w:r w:rsidRPr="00D95F64">
        <w:rPr>
          <w:noProof/>
          <w:lang w:val="en-IE"/>
        </w:rPr>
        <w:t xml:space="preserve">. Recent physical and cyber security incidents have highlighted the risk of hostile actors targeting </w:t>
      </w:r>
      <w:r w:rsidR="00D03253">
        <w:rPr>
          <w:noProof/>
          <w:lang w:val="en-IE"/>
        </w:rPr>
        <w:t xml:space="preserve">the </w:t>
      </w:r>
      <w:r w:rsidR="007E1274" w:rsidRPr="00B869C6">
        <w:rPr>
          <w:noProof/>
          <w:lang w:val="en-IE"/>
        </w:rPr>
        <w:t>U</w:t>
      </w:r>
      <w:r w:rsidR="007E1274">
        <w:rPr>
          <w:noProof/>
          <w:lang w:val="en-IE"/>
        </w:rPr>
        <w:t>nion’s</w:t>
      </w:r>
      <w:r w:rsidR="007E1274" w:rsidRPr="00D95F64">
        <w:rPr>
          <w:noProof/>
          <w:lang w:val="en-IE"/>
        </w:rPr>
        <w:t xml:space="preserve"> </w:t>
      </w:r>
      <w:r w:rsidRPr="00D95F64">
        <w:rPr>
          <w:noProof/>
          <w:lang w:val="en-IE"/>
        </w:rPr>
        <w:t xml:space="preserve">energy infrastructure, with economic cost implications and consequences for the stability of our energy system. There is also a rising interest from third-country actors to invest in </w:t>
      </w:r>
      <w:r w:rsidRPr="00F14819">
        <w:rPr>
          <w:noProof/>
          <w:lang w:val="en-IE"/>
        </w:rPr>
        <w:t>EU</w:t>
      </w:r>
      <w:r w:rsidRPr="00D95F64">
        <w:rPr>
          <w:noProof/>
          <w:lang w:val="en-IE"/>
        </w:rPr>
        <w:t xml:space="preserve"> energy infrastructure, which can increase the </w:t>
      </w:r>
      <w:r w:rsidR="00373D1F">
        <w:rPr>
          <w:noProof/>
          <w:lang w:val="en-IE"/>
        </w:rPr>
        <w:t>Union’s</w:t>
      </w:r>
      <w:r w:rsidRPr="00D95F64">
        <w:rPr>
          <w:noProof/>
          <w:lang w:val="en-IE"/>
        </w:rPr>
        <w:t xml:space="preserve"> exposure to risks related to energy security. Beyond deliberate acts of sabotage, emerging risks including natural hazards and climate-related impacts also affect the resilience of the EU’s energy infrastructure.</w:t>
      </w:r>
    </w:p>
    <w:p w14:paraId="40B844E9" w14:textId="77777777" w:rsidR="00FA610F" w:rsidRPr="000E18D1" w:rsidRDefault="007E1274" w:rsidP="00FA610F">
      <w:pPr>
        <w:suppressAutoHyphens/>
        <w:ind w:right="114"/>
        <w:rPr>
          <w:noProof/>
          <w:lang w:val="en-IE"/>
        </w:rPr>
      </w:pPr>
      <w:r w:rsidRPr="007E1274">
        <w:rPr>
          <w:noProof/>
        </w:rPr>
        <w:t>This proposal to revise the TEN-</w:t>
      </w:r>
      <w:r w:rsidR="00D03253">
        <w:rPr>
          <w:noProof/>
        </w:rPr>
        <w:t>E</w:t>
      </w:r>
      <w:r w:rsidR="00D03253" w:rsidRPr="007E1274">
        <w:rPr>
          <w:noProof/>
        </w:rPr>
        <w:t xml:space="preserve"> </w:t>
      </w:r>
      <w:r w:rsidRPr="007E1274">
        <w:rPr>
          <w:noProof/>
        </w:rPr>
        <w:t xml:space="preserve">Regulation </w:t>
      </w:r>
      <w:r w:rsidR="00BF1AD2">
        <w:rPr>
          <w:noProof/>
        </w:rPr>
        <w:t>aims</w:t>
      </w:r>
      <w:r w:rsidR="007D56F3">
        <w:rPr>
          <w:noProof/>
        </w:rPr>
        <w:t xml:space="preserve"> to address these issues</w:t>
      </w:r>
      <w:r w:rsidR="003A06A6">
        <w:rPr>
          <w:noProof/>
        </w:rPr>
        <w:t>,</w:t>
      </w:r>
      <w:r w:rsidR="007D56F3">
        <w:rPr>
          <w:noProof/>
        </w:rPr>
        <w:t xml:space="preserve"> which were identified in the Impact Assessment and Implementation Report </w:t>
      </w:r>
      <w:r w:rsidR="003A06A6">
        <w:rPr>
          <w:noProof/>
        </w:rPr>
        <w:t xml:space="preserve">accompanying this proposal. Specifically, the proposal will introduce </w:t>
      </w:r>
      <w:r w:rsidR="00B60216">
        <w:rPr>
          <w:noProof/>
        </w:rPr>
        <w:t xml:space="preserve">changes </w:t>
      </w:r>
      <w:r w:rsidR="003A06A6">
        <w:rPr>
          <w:noProof/>
        </w:rPr>
        <w:t xml:space="preserve">to: </w:t>
      </w:r>
    </w:p>
    <w:p w14:paraId="78386ED1" w14:textId="77777777" w:rsidR="00FA610F" w:rsidRDefault="00FA610F" w:rsidP="005A3B7D">
      <w:pPr>
        <w:pStyle w:val="ListBullet1"/>
        <w:rPr>
          <w:rFonts w:eastAsia="Arial Unicode MS"/>
          <w:noProof/>
        </w:rPr>
      </w:pPr>
      <w:r>
        <w:rPr>
          <w:rFonts w:eastAsia="Arial Unicode MS"/>
          <w:noProof/>
        </w:rPr>
        <w:t>Ensur</w:t>
      </w:r>
      <w:r w:rsidR="003A06A6">
        <w:rPr>
          <w:rFonts w:eastAsia="Arial Unicode MS"/>
          <w:noProof/>
        </w:rPr>
        <w:t>e</w:t>
      </w:r>
      <w:r>
        <w:rPr>
          <w:rFonts w:eastAsia="Arial Unicode MS"/>
          <w:noProof/>
        </w:rPr>
        <w:t xml:space="preserve"> that projects included in the network development plans and selected as PCIs/PMIs address appropriately and effectively identified infrastructure needs</w:t>
      </w:r>
      <w:r w:rsidR="00831418">
        <w:rPr>
          <w:rFonts w:eastAsia="Arial Unicode MS"/>
          <w:noProof/>
        </w:rPr>
        <w:t xml:space="preserve"> with due consideration of non-wire solutions</w:t>
      </w:r>
      <w:r>
        <w:rPr>
          <w:rFonts w:eastAsia="Arial Unicode MS"/>
          <w:noProof/>
        </w:rPr>
        <w:t xml:space="preserve">. </w:t>
      </w:r>
      <w:r w:rsidR="005A3B7D">
        <w:rPr>
          <w:rStyle w:val="CommentReference"/>
          <w:noProof/>
        </w:rPr>
        <w:t xml:space="preserve"> </w:t>
      </w:r>
    </w:p>
    <w:p w14:paraId="28002F67" w14:textId="77777777" w:rsidR="00FA610F" w:rsidRDefault="00FA610F" w:rsidP="005A3B7D">
      <w:pPr>
        <w:pStyle w:val="ListBullet1"/>
        <w:rPr>
          <w:rFonts w:eastAsia="Arial Unicode MS"/>
          <w:noProof/>
        </w:rPr>
      </w:pPr>
      <w:r>
        <w:rPr>
          <w:rFonts w:eastAsia="Arial Unicode MS"/>
          <w:noProof/>
        </w:rPr>
        <w:t>Facilitat</w:t>
      </w:r>
      <w:r w:rsidR="003A06A6">
        <w:rPr>
          <w:rFonts w:eastAsia="Arial Unicode MS"/>
          <w:noProof/>
        </w:rPr>
        <w:t>e</w:t>
      </w:r>
      <w:r>
        <w:rPr>
          <w:rFonts w:eastAsia="Arial Unicode MS"/>
          <w:noProof/>
        </w:rPr>
        <w:t xml:space="preserve"> the use of cost-sharing tools for faster deployment of cross-border infrastructure projects, leading to an increased use of cost-sharing tools and a reduction in project deployment times. </w:t>
      </w:r>
      <w:r w:rsidR="005A3B7D">
        <w:rPr>
          <w:rStyle w:val="CommentReference"/>
          <w:noProof/>
        </w:rPr>
        <w:t xml:space="preserve"> </w:t>
      </w:r>
    </w:p>
    <w:p w14:paraId="2A27566A" w14:textId="77777777" w:rsidR="00FA610F" w:rsidRDefault="00FA610F" w:rsidP="005A3B7D">
      <w:pPr>
        <w:pStyle w:val="ListBullet1"/>
        <w:rPr>
          <w:rFonts w:eastAsia="Arial Unicode MS"/>
          <w:noProof/>
        </w:rPr>
      </w:pPr>
      <w:r>
        <w:rPr>
          <w:rFonts w:eastAsia="Arial Unicode MS"/>
          <w:noProof/>
        </w:rPr>
        <w:t>Simplify</w:t>
      </w:r>
      <w:r w:rsidR="00EA6A6D">
        <w:rPr>
          <w:rFonts w:eastAsia="Arial Unicode MS"/>
          <w:noProof/>
        </w:rPr>
        <w:t xml:space="preserve"> and </w:t>
      </w:r>
      <w:r w:rsidR="008F13C6">
        <w:rPr>
          <w:rFonts w:eastAsia="Arial Unicode MS"/>
          <w:noProof/>
        </w:rPr>
        <w:t>accelerate</w:t>
      </w:r>
      <w:r>
        <w:rPr>
          <w:rFonts w:eastAsia="Arial Unicode MS"/>
          <w:noProof/>
        </w:rPr>
        <w:t xml:space="preserve"> permit</w:t>
      </w:r>
      <w:r w:rsidR="00762E3B">
        <w:rPr>
          <w:rFonts w:eastAsia="Arial Unicode MS"/>
          <w:noProof/>
        </w:rPr>
        <w:t xml:space="preserve"> gran</w:t>
      </w:r>
      <w:r>
        <w:rPr>
          <w:rFonts w:eastAsia="Arial Unicode MS"/>
          <w:noProof/>
        </w:rPr>
        <w:t>ting procedures for cross-border energy infrastructure projects (PCIs/PMIs) making it feasible to meet existing deadlines.</w:t>
      </w:r>
      <w:r w:rsidR="005A3B7D">
        <w:rPr>
          <w:rStyle w:val="CommentReference"/>
          <w:noProof/>
        </w:rPr>
        <w:t xml:space="preserve"> </w:t>
      </w:r>
    </w:p>
    <w:p w14:paraId="422AEBBC" w14:textId="77777777" w:rsidR="00FA610F" w:rsidRDefault="00FA610F" w:rsidP="005A3B7D">
      <w:pPr>
        <w:pStyle w:val="ListBullet1"/>
        <w:rPr>
          <w:rFonts w:eastAsia="Arial Unicode MS"/>
          <w:noProof/>
        </w:rPr>
      </w:pPr>
      <w:r>
        <w:rPr>
          <w:rFonts w:eastAsia="Arial Unicode MS"/>
          <w:noProof/>
        </w:rPr>
        <w:t>Enhanc</w:t>
      </w:r>
      <w:r w:rsidR="00450E6E">
        <w:rPr>
          <w:rFonts w:eastAsia="Arial Unicode MS"/>
          <w:noProof/>
        </w:rPr>
        <w:t>e</w:t>
      </w:r>
      <w:r>
        <w:rPr>
          <w:rFonts w:eastAsia="Arial Unicode MS"/>
          <w:noProof/>
        </w:rPr>
        <w:t xml:space="preserve"> physical and cyber security and resilience of cross-border energy infrastructure.</w:t>
      </w:r>
      <w:r w:rsidR="005A3B7D">
        <w:rPr>
          <w:rStyle w:val="CommentReference"/>
          <w:noProof/>
        </w:rPr>
        <w:t xml:space="preserve"> </w:t>
      </w:r>
    </w:p>
    <w:p w14:paraId="03A2733A" w14:textId="77777777" w:rsidR="00BB75F2" w:rsidRPr="00D72AAA" w:rsidRDefault="00F017A8" w:rsidP="00F85AD4">
      <w:pPr>
        <w:rPr>
          <w:noProof/>
        </w:rPr>
      </w:pPr>
      <w:r>
        <w:rPr>
          <w:noProof/>
        </w:rPr>
        <w:t>Further, t</w:t>
      </w:r>
      <w:r w:rsidR="00FA610F">
        <w:rPr>
          <w:noProof/>
        </w:rPr>
        <w:t xml:space="preserve">he initiative assessed and identified a set of measures to </w:t>
      </w:r>
      <w:r w:rsidR="00A37139">
        <w:rPr>
          <w:noProof/>
        </w:rPr>
        <w:t>simplify and improve the efficiency of the TEN-E Regulation and reduce compliance and regulatory costs</w:t>
      </w:r>
      <w:r w:rsidR="00E9395D">
        <w:rPr>
          <w:noProof/>
        </w:rPr>
        <w:t xml:space="preserve"> for </w:t>
      </w:r>
      <w:r w:rsidR="00A66A83">
        <w:rPr>
          <w:noProof/>
        </w:rPr>
        <w:t>stakeholders</w:t>
      </w:r>
      <w:r w:rsidR="00A37139">
        <w:rPr>
          <w:noProof/>
        </w:rPr>
        <w:t xml:space="preserve"> where possible</w:t>
      </w:r>
      <w:r w:rsidR="006E3FEC">
        <w:rPr>
          <w:noProof/>
        </w:rPr>
        <w:t xml:space="preserve"> (see below).</w:t>
      </w:r>
    </w:p>
    <w:p w14:paraId="0A2B2914" w14:textId="77777777" w:rsidR="003E7EA6" w:rsidRPr="002D5EE2" w:rsidRDefault="003E7EA6">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34D38FCD" w14:textId="77777777" w:rsidR="00597DB3" w:rsidRDefault="00166EEA" w:rsidP="00F85AD4">
      <w:pPr>
        <w:rPr>
          <w:noProof/>
        </w:rPr>
      </w:pPr>
      <w:r w:rsidRPr="008113AD">
        <w:rPr>
          <w:noProof/>
        </w:rPr>
        <w:t>This</w:t>
      </w:r>
      <w:r>
        <w:rPr>
          <w:noProof/>
        </w:rPr>
        <w:t xml:space="preserve"> proposal</w:t>
      </w:r>
      <w:r w:rsidRPr="008113AD">
        <w:rPr>
          <w:noProof/>
        </w:rPr>
        <w:t xml:space="preserve"> responds to the Commission’s commitment in the </w:t>
      </w:r>
      <w:r w:rsidRPr="00BE2B40">
        <w:rPr>
          <w:noProof/>
        </w:rPr>
        <w:t>Action Plan for Affordable Energy</w:t>
      </w:r>
      <w:r w:rsidRPr="004722F6">
        <w:rPr>
          <w:rStyle w:val="FootnoteReference"/>
          <w:noProof/>
        </w:rPr>
        <w:footnoteReference w:id="15"/>
      </w:r>
      <w:r w:rsidRPr="008113AD">
        <w:rPr>
          <w:noProof/>
        </w:rPr>
        <w:t xml:space="preserve"> to propose a European Grid Package</w:t>
      </w:r>
      <w:r w:rsidR="0025744F">
        <w:rPr>
          <w:noProof/>
        </w:rPr>
        <w:t xml:space="preserve"> consisting of legislative and non-legislative measure</w:t>
      </w:r>
      <w:r w:rsidR="00AE0397">
        <w:rPr>
          <w:noProof/>
        </w:rPr>
        <w:t>s</w:t>
      </w:r>
      <w:r w:rsidR="0025744F">
        <w:rPr>
          <w:noProof/>
        </w:rPr>
        <w:t xml:space="preserve"> to, amongst others, </w:t>
      </w:r>
      <w:r w:rsidRPr="008113AD">
        <w:rPr>
          <w:noProof/>
        </w:rPr>
        <w:t xml:space="preserve">simplify the </w:t>
      </w:r>
      <w:r w:rsidR="0025744F">
        <w:rPr>
          <w:noProof/>
        </w:rPr>
        <w:t>TEN-E</w:t>
      </w:r>
      <w:r w:rsidRPr="008113AD">
        <w:rPr>
          <w:noProof/>
        </w:rPr>
        <w:t xml:space="preserve"> Regulation</w:t>
      </w:r>
      <w:r w:rsidR="00AD1DC8">
        <w:rPr>
          <w:noProof/>
        </w:rPr>
        <w:t xml:space="preserve">, </w:t>
      </w:r>
      <w:r w:rsidRPr="008113AD">
        <w:rPr>
          <w:noProof/>
        </w:rPr>
        <w:t>ensure cross-border integrated planning and delivery of projects, especially on interconnectors</w:t>
      </w:r>
      <w:r w:rsidR="00F20A16">
        <w:rPr>
          <w:noProof/>
        </w:rPr>
        <w:t>;</w:t>
      </w:r>
      <w:r w:rsidRPr="008113AD">
        <w:rPr>
          <w:noProof/>
        </w:rPr>
        <w:t xml:space="preserve"> streamline permitting for grid</w:t>
      </w:r>
      <w:r w:rsidR="001948E7">
        <w:rPr>
          <w:noProof/>
        </w:rPr>
        <w:t>s</w:t>
      </w:r>
      <w:r w:rsidR="00AD1DC8">
        <w:rPr>
          <w:noProof/>
        </w:rPr>
        <w:t xml:space="preserve">, </w:t>
      </w:r>
      <w:r w:rsidRPr="008113AD">
        <w:rPr>
          <w:noProof/>
        </w:rPr>
        <w:t xml:space="preserve">enhance electricity distribution grid planning; accelerate the ramp-up of the hydrogen market; boost digitalisation and innovation. </w:t>
      </w:r>
      <w:r w:rsidR="00C531EE">
        <w:rPr>
          <w:noProof/>
        </w:rPr>
        <w:t xml:space="preserve">The proposal </w:t>
      </w:r>
      <w:r w:rsidRPr="008113AD">
        <w:rPr>
          <w:noProof/>
        </w:rPr>
        <w:t xml:space="preserve">builds on the </w:t>
      </w:r>
      <w:r w:rsidR="00C531EE">
        <w:rPr>
          <w:noProof/>
        </w:rPr>
        <w:t>revision of the TEN-E Regulation in 2022</w:t>
      </w:r>
      <w:r w:rsidR="00070D56">
        <w:rPr>
          <w:noProof/>
        </w:rPr>
        <w:t>, as</w:t>
      </w:r>
      <w:r w:rsidR="00C531EE">
        <w:rPr>
          <w:noProof/>
        </w:rPr>
        <w:t xml:space="preserve"> well as the </w:t>
      </w:r>
      <w:r w:rsidRPr="008113AD">
        <w:rPr>
          <w:noProof/>
        </w:rPr>
        <w:t>2023</w:t>
      </w:r>
      <w:r w:rsidRPr="008113AD">
        <w:rPr>
          <w:bCs/>
          <w:iCs/>
          <w:noProof/>
        </w:rPr>
        <w:t xml:space="preserve"> </w:t>
      </w:r>
      <w:r w:rsidRPr="009E42FE">
        <w:rPr>
          <w:noProof/>
        </w:rPr>
        <w:t>EU Action Plan for Grids</w:t>
      </w:r>
      <w:r w:rsidRPr="005A3B7D">
        <w:rPr>
          <w:rStyle w:val="FootnoteReference"/>
          <w:noProof/>
        </w:rPr>
        <w:footnoteReference w:id="16"/>
      </w:r>
      <w:r w:rsidRPr="008113AD">
        <w:rPr>
          <w:b/>
          <w:bCs/>
          <w:noProof/>
        </w:rPr>
        <w:t xml:space="preserve"> </w:t>
      </w:r>
      <w:r w:rsidRPr="008113AD">
        <w:rPr>
          <w:noProof/>
        </w:rPr>
        <w:t>that focused on implementing the</w:t>
      </w:r>
      <w:r w:rsidR="00AD1DC8">
        <w:rPr>
          <w:noProof/>
        </w:rPr>
        <w:t xml:space="preserve"> TEN-E Regulation </w:t>
      </w:r>
      <w:r w:rsidR="00C531EE">
        <w:rPr>
          <w:noProof/>
        </w:rPr>
        <w:t xml:space="preserve">framework. </w:t>
      </w:r>
    </w:p>
    <w:p w14:paraId="33407368" w14:textId="77777777" w:rsidR="00946D2D" w:rsidRPr="00946D2D" w:rsidRDefault="003F31F7" w:rsidP="00F85AD4">
      <w:pPr>
        <w:rPr>
          <w:noProof/>
        </w:rPr>
      </w:pPr>
      <w:r w:rsidRPr="003F31F7">
        <w:rPr>
          <w:noProof/>
          <w:lang w:val="en-IE"/>
        </w:rPr>
        <w:t>The Connecting Europe Facility</w:t>
      </w:r>
      <w:r w:rsidR="0028700B">
        <w:rPr>
          <w:noProof/>
          <w:lang w:val="en-IE"/>
        </w:rPr>
        <w:t xml:space="preserve"> (CEF)</w:t>
      </w:r>
      <w:r w:rsidRPr="003F31F7">
        <w:rPr>
          <w:noProof/>
          <w:lang w:val="en-IE"/>
        </w:rPr>
        <w:t xml:space="preserve"> is complementary to the TEN-E Regulation by addressing the financing gap for PCIs with a high socioeconomic and societal value</w:t>
      </w:r>
      <w:r w:rsidR="009503B6">
        <w:rPr>
          <w:noProof/>
          <w:lang w:val="en-IE"/>
        </w:rPr>
        <w:t>,</w:t>
      </w:r>
      <w:r w:rsidRPr="003F31F7">
        <w:rPr>
          <w:noProof/>
          <w:lang w:val="en-IE"/>
        </w:rPr>
        <w:t xml:space="preserve"> but which lack commercial viability. The eligibility for financial assistance under CEF is linked to the scope of the infrastructure categories covered under the revised TEN-E </w:t>
      </w:r>
      <w:r w:rsidR="00A91D6E">
        <w:rPr>
          <w:noProof/>
          <w:lang w:val="en-IE"/>
        </w:rPr>
        <w:t>Regulation</w:t>
      </w:r>
      <w:r w:rsidR="0018513A">
        <w:rPr>
          <w:noProof/>
          <w:lang w:val="en-IE"/>
        </w:rPr>
        <w:t xml:space="preserve"> </w:t>
      </w:r>
      <w:r w:rsidRPr="003F31F7">
        <w:rPr>
          <w:noProof/>
          <w:lang w:val="en-IE"/>
        </w:rPr>
        <w:t xml:space="preserve">considering that </w:t>
      </w:r>
      <w:r w:rsidR="00C176DC">
        <w:rPr>
          <w:noProof/>
          <w:lang w:val="en-IE"/>
        </w:rPr>
        <w:t>hav</w:t>
      </w:r>
      <w:r w:rsidR="005F69A6">
        <w:rPr>
          <w:noProof/>
          <w:lang w:val="en-IE"/>
        </w:rPr>
        <w:t>ing</w:t>
      </w:r>
      <w:r w:rsidR="00C176DC">
        <w:rPr>
          <w:noProof/>
          <w:lang w:val="en-IE"/>
        </w:rPr>
        <w:t xml:space="preserve"> obtained</w:t>
      </w:r>
      <w:r w:rsidRPr="003F31F7">
        <w:rPr>
          <w:noProof/>
          <w:lang w:val="en-IE"/>
        </w:rPr>
        <w:t xml:space="preserve"> PCI</w:t>
      </w:r>
      <w:r w:rsidR="00352B15">
        <w:rPr>
          <w:noProof/>
          <w:lang w:val="en-IE"/>
        </w:rPr>
        <w:t xml:space="preserve"> or PMI</w:t>
      </w:r>
      <w:r w:rsidRPr="003F31F7">
        <w:rPr>
          <w:noProof/>
          <w:lang w:val="en-IE"/>
        </w:rPr>
        <w:t xml:space="preserve"> status is a precondition for financing from CEF for cross-border infrastructure projects. </w:t>
      </w:r>
      <w:r w:rsidR="009503B6">
        <w:rPr>
          <w:noProof/>
          <w:lang w:val="en-IE"/>
        </w:rPr>
        <w:t xml:space="preserve">The proposal is consistent with the current </w:t>
      </w:r>
      <w:r w:rsidR="0028700B">
        <w:rPr>
          <w:noProof/>
          <w:lang w:val="en-IE"/>
        </w:rPr>
        <w:t>CEF</w:t>
      </w:r>
      <w:r w:rsidR="009503B6">
        <w:rPr>
          <w:noProof/>
          <w:lang w:val="en-IE"/>
        </w:rPr>
        <w:t xml:space="preserve"> under the 2021-2027 Multiannual Financial Framework (MFF), as well as the proposal for the CEF under the 2028-20</w:t>
      </w:r>
      <w:r w:rsidR="00112CCE">
        <w:rPr>
          <w:noProof/>
          <w:lang w:val="en-IE"/>
        </w:rPr>
        <w:t>34</w:t>
      </w:r>
      <w:r w:rsidR="00FF35B6">
        <w:rPr>
          <w:noProof/>
          <w:lang w:val="en-IE"/>
        </w:rPr>
        <w:t xml:space="preserve"> MFF</w:t>
      </w:r>
      <w:r w:rsidR="00673666">
        <w:rPr>
          <w:noProof/>
          <w:lang w:val="en-IE"/>
        </w:rPr>
        <w:t xml:space="preserve">, </w:t>
      </w:r>
      <w:r w:rsidR="00DB605A">
        <w:rPr>
          <w:noProof/>
          <w:lang w:val="en-IE"/>
        </w:rPr>
        <w:t>which</w:t>
      </w:r>
      <w:r w:rsidR="00673666">
        <w:rPr>
          <w:noProof/>
          <w:lang w:val="en-IE"/>
        </w:rPr>
        <w:t xml:space="preserve"> </w:t>
      </w:r>
      <w:r w:rsidR="00673666" w:rsidRPr="008113AD">
        <w:rPr>
          <w:noProof/>
        </w:rPr>
        <w:t>highlights</w:t>
      </w:r>
      <w:r w:rsidR="00673666" w:rsidRPr="008113AD">
        <w:rPr>
          <w:bCs/>
          <w:iCs/>
          <w:noProof/>
        </w:rPr>
        <w:t xml:space="preserve"> “</w:t>
      </w:r>
      <w:r w:rsidR="00673666" w:rsidRPr="008113AD">
        <w:rPr>
          <w:noProof/>
        </w:rPr>
        <w:t>the vital importance of a genuine Energy Union and well-integrated EU infrastructure networks</w:t>
      </w:r>
      <w:r w:rsidR="00DB605A">
        <w:rPr>
          <w:bCs/>
          <w:iCs/>
          <w:noProof/>
        </w:rPr>
        <w:t>” by</w:t>
      </w:r>
      <w:r w:rsidR="00673666" w:rsidRPr="008113AD">
        <w:rPr>
          <w:noProof/>
        </w:rPr>
        <w:t xml:space="preserve"> substantially </w:t>
      </w:r>
      <w:r w:rsidR="00DB605A">
        <w:rPr>
          <w:noProof/>
        </w:rPr>
        <w:t xml:space="preserve">increasing the </w:t>
      </w:r>
      <w:r w:rsidR="00673666" w:rsidRPr="008113AD">
        <w:rPr>
          <w:noProof/>
        </w:rPr>
        <w:t>budget proposed for the CEF-E</w:t>
      </w:r>
      <w:r w:rsidR="00673666" w:rsidRPr="008113AD">
        <w:rPr>
          <w:rStyle w:val="FootnoteReference"/>
          <w:noProof/>
        </w:rPr>
        <w:footnoteReference w:id="17"/>
      </w:r>
      <w:r w:rsidR="00673666" w:rsidRPr="008113AD">
        <w:rPr>
          <w:bCs/>
          <w:iCs/>
          <w:noProof/>
        </w:rPr>
        <w:t>.</w:t>
      </w:r>
    </w:p>
    <w:p w14:paraId="4A981EA5" w14:textId="77777777" w:rsidR="005C543A" w:rsidRDefault="005C543A" w:rsidP="00F85AD4">
      <w:pPr>
        <w:rPr>
          <w:noProof/>
        </w:rPr>
      </w:pPr>
      <w:r>
        <w:rPr>
          <w:noProof/>
        </w:rPr>
        <w:t xml:space="preserve">The proposal is also consistent with the targets and objectives set out in the Electricity Market Directive and Regulation, the Governance Regulation and the Renewable Energy Directive, notably enabling the </w:t>
      </w:r>
      <w:r w:rsidR="00A70B70">
        <w:rPr>
          <w:noProof/>
        </w:rPr>
        <w:t xml:space="preserve">integration of the Union’s energy markets and the </w:t>
      </w:r>
      <w:r>
        <w:rPr>
          <w:noProof/>
        </w:rPr>
        <w:t>large-scale deployment and integration of renewable energy sources and flexibility solutions.</w:t>
      </w:r>
    </w:p>
    <w:p w14:paraId="48DC6CD1" w14:textId="77777777" w:rsidR="005C543A" w:rsidRPr="00946D2D" w:rsidRDefault="005C543A" w:rsidP="00946D2D">
      <w:pPr>
        <w:suppressAutoHyphens/>
        <w:ind w:right="114"/>
        <w:rPr>
          <w:noProof/>
          <w:spacing w:val="-3"/>
        </w:rPr>
      </w:pPr>
    </w:p>
    <w:p w14:paraId="4B4775B3" w14:textId="77777777" w:rsidR="003E7EA6" w:rsidRPr="002D5EE2" w:rsidRDefault="003E7EA6">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0F7B43D3" w14:textId="77777777" w:rsidR="0036502A" w:rsidRDefault="00597DB3" w:rsidP="00F85AD4">
      <w:pPr>
        <w:rPr>
          <w:noProof/>
        </w:rPr>
      </w:pPr>
      <w:r w:rsidRPr="008113AD">
        <w:rPr>
          <w:noProof/>
        </w:rPr>
        <w:t>T</w:t>
      </w:r>
      <w:r>
        <w:rPr>
          <w:noProof/>
        </w:rPr>
        <w:t xml:space="preserve">his proposal </w:t>
      </w:r>
      <w:r w:rsidRPr="008113AD">
        <w:rPr>
          <w:noProof/>
        </w:rPr>
        <w:t xml:space="preserve">is complementary </w:t>
      </w:r>
      <w:r w:rsidR="00146E52">
        <w:rPr>
          <w:noProof/>
        </w:rPr>
        <w:t xml:space="preserve">to </w:t>
      </w:r>
      <w:r w:rsidRPr="008113AD">
        <w:rPr>
          <w:noProof/>
        </w:rPr>
        <w:t>other initiatives that aim to create a more integrated European energy market</w:t>
      </w:r>
      <w:r w:rsidRPr="008113AD">
        <w:rPr>
          <w:bCs/>
          <w:iCs/>
          <w:noProof/>
        </w:rPr>
        <w:t xml:space="preserve">. </w:t>
      </w:r>
      <w:r w:rsidR="00C63E8D">
        <w:rPr>
          <w:bCs/>
          <w:iCs/>
          <w:noProof/>
        </w:rPr>
        <w:t>It is also consistent with the</w:t>
      </w:r>
      <w:r w:rsidR="00C63E8D">
        <w:rPr>
          <w:noProof/>
        </w:rPr>
        <w:t xml:space="preserve"> </w:t>
      </w:r>
      <w:r w:rsidRPr="008113AD">
        <w:rPr>
          <w:noProof/>
        </w:rPr>
        <w:t>proposed 2040 EU climate target</w:t>
      </w:r>
      <w:r w:rsidR="00C63E8D">
        <w:rPr>
          <w:noProof/>
        </w:rPr>
        <w:t xml:space="preserve"> and </w:t>
      </w:r>
      <w:r w:rsidR="007D4738">
        <w:rPr>
          <w:noProof/>
        </w:rPr>
        <w:t>2050 climate neutrality obligation enshrined in the European Climate Law</w:t>
      </w:r>
      <w:r w:rsidR="005D5E46">
        <w:rPr>
          <w:noProof/>
        </w:rPr>
        <w:t>.</w:t>
      </w:r>
      <w:r w:rsidRPr="008113AD">
        <w:rPr>
          <w:bCs/>
          <w:iCs/>
          <w:noProof/>
        </w:rPr>
        <w:t xml:space="preserve"> </w:t>
      </w:r>
      <w:r w:rsidR="0036502A">
        <w:rPr>
          <w:noProof/>
        </w:rPr>
        <w:t xml:space="preserve">This proposal is </w:t>
      </w:r>
      <w:r w:rsidR="00E05B4F">
        <w:rPr>
          <w:noProof/>
        </w:rPr>
        <w:t>adopted</w:t>
      </w:r>
      <w:r w:rsidR="0036502A">
        <w:rPr>
          <w:noProof/>
        </w:rPr>
        <w:t xml:space="preserve"> together with an amending Directiv</w:t>
      </w:r>
      <w:r w:rsidR="00CC7BA3">
        <w:rPr>
          <w:noProof/>
        </w:rPr>
        <w:t>e aiming to accelerate the permitting of energy infrastructure projects, including transmission and distribution grids, storage and recharging station and renewable energy projects in order to facilitate their fast deployment.</w:t>
      </w:r>
      <w:r w:rsidR="00B5227C" w:rsidRPr="00B5227C">
        <w:rPr>
          <w:noProof/>
          <w:color w:val="FF0000"/>
        </w:rPr>
        <w:t xml:space="preserve"> </w:t>
      </w:r>
      <w:r w:rsidR="00387007" w:rsidRPr="00B5227C">
        <w:rPr>
          <w:noProof/>
          <w:color w:val="FF0000"/>
        </w:rPr>
        <w:t xml:space="preserve"> </w:t>
      </w:r>
    </w:p>
    <w:p w14:paraId="06E5A96E" w14:textId="77777777" w:rsidR="00597DB3" w:rsidRPr="008113AD" w:rsidRDefault="00F21BD0" w:rsidP="00F85AD4">
      <w:pPr>
        <w:rPr>
          <w:noProof/>
        </w:rPr>
      </w:pPr>
      <w:r>
        <w:rPr>
          <w:noProof/>
        </w:rPr>
        <w:t>The revision of the TEN-E Regulation</w:t>
      </w:r>
      <w:r w:rsidR="00597DB3" w:rsidRPr="008113AD">
        <w:rPr>
          <w:noProof/>
        </w:rPr>
        <w:t xml:space="preserve"> aims to support the goals of the electricity market legislation by ensuring that infrastructure brings additional socio-economic welfare and to further strengthen efficient use of existing infrastructure. </w:t>
      </w:r>
      <w:r w:rsidR="00597DB3">
        <w:rPr>
          <w:noProof/>
        </w:rPr>
        <w:t>P</w:t>
      </w:r>
      <w:r w:rsidR="00597DB3" w:rsidRPr="008113AD">
        <w:rPr>
          <w:noProof/>
        </w:rPr>
        <w:t xml:space="preserve">ossible </w:t>
      </w:r>
      <w:r w:rsidR="00597DB3">
        <w:rPr>
          <w:noProof/>
        </w:rPr>
        <w:t>measures to enhance electricity</w:t>
      </w:r>
      <w:r w:rsidR="00597DB3" w:rsidRPr="008113AD">
        <w:rPr>
          <w:noProof/>
        </w:rPr>
        <w:t xml:space="preserve"> interconnection targets </w:t>
      </w:r>
      <w:r w:rsidR="00597DB3">
        <w:rPr>
          <w:noProof/>
        </w:rPr>
        <w:t xml:space="preserve">enshrined in </w:t>
      </w:r>
      <w:r w:rsidR="00597DB3" w:rsidRPr="008113AD">
        <w:rPr>
          <w:noProof/>
        </w:rPr>
        <w:t xml:space="preserve">the Governance Regulation </w:t>
      </w:r>
      <w:r w:rsidR="00597DB3">
        <w:rPr>
          <w:noProof/>
        </w:rPr>
        <w:t xml:space="preserve">will be assessed as part of the revision of that Regulation </w:t>
      </w:r>
      <w:r w:rsidR="00597DB3" w:rsidRPr="008113AD">
        <w:rPr>
          <w:noProof/>
        </w:rPr>
        <w:t xml:space="preserve">and measures to </w:t>
      </w:r>
      <w:r w:rsidR="00597DB3">
        <w:rPr>
          <w:noProof/>
        </w:rPr>
        <w:t>further support</w:t>
      </w:r>
      <w:r w:rsidR="00597DB3" w:rsidRPr="008113AD">
        <w:rPr>
          <w:noProof/>
        </w:rPr>
        <w:t xml:space="preserve"> the necessary national investment levels in energy infrastructure.</w:t>
      </w:r>
      <w:r w:rsidR="0009244B" w:rsidRPr="0009244B">
        <w:rPr>
          <w:noProof/>
        </w:rPr>
        <w:t xml:space="preserve"> </w:t>
      </w:r>
    </w:p>
    <w:p w14:paraId="33A1A825" w14:textId="77777777" w:rsidR="00C051DD" w:rsidRDefault="00597DB3" w:rsidP="00F85AD4">
      <w:pPr>
        <w:rPr>
          <w:noProof/>
        </w:rPr>
      </w:pPr>
      <w:r>
        <w:rPr>
          <w:noProof/>
        </w:rPr>
        <w:t xml:space="preserve">The security-related measures under this </w:t>
      </w:r>
      <w:r w:rsidR="007B561C">
        <w:rPr>
          <w:noProof/>
        </w:rPr>
        <w:t xml:space="preserve">proposal </w:t>
      </w:r>
      <w:r>
        <w:rPr>
          <w:noProof/>
        </w:rPr>
        <w:t>build on the requirements of the horizontal security legislation, including the</w:t>
      </w:r>
      <w:r w:rsidRPr="00684E1C">
        <w:rPr>
          <w:noProof/>
        </w:rPr>
        <w:t xml:space="preserve"> EU Critical Entities Resilience</w:t>
      </w:r>
      <w:r>
        <w:rPr>
          <w:noProof/>
        </w:rPr>
        <w:t xml:space="preserve"> </w:t>
      </w:r>
      <w:r w:rsidRPr="00684E1C">
        <w:rPr>
          <w:noProof/>
        </w:rPr>
        <w:t>Directive</w:t>
      </w:r>
      <w:r w:rsidR="005924EF">
        <w:rPr>
          <w:rStyle w:val="FootnoteReference"/>
          <w:noProof/>
        </w:rPr>
        <w:footnoteReference w:id="18"/>
      </w:r>
      <w:r>
        <w:rPr>
          <w:noProof/>
        </w:rPr>
        <w:t xml:space="preserve">, the </w:t>
      </w:r>
      <w:r w:rsidRPr="00684E1C">
        <w:rPr>
          <w:noProof/>
        </w:rPr>
        <w:t>NIS 2 Directive</w:t>
      </w:r>
      <w:r w:rsidR="00B52EAA">
        <w:rPr>
          <w:rStyle w:val="FootnoteReference"/>
          <w:noProof/>
        </w:rPr>
        <w:footnoteReference w:id="19"/>
      </w:r>
      <w:r>
        <w:rPr>
          <w:noProof/>
        </w:rPr>
        <w:t xml:space="preserve"> and the </w:t>
      </w:r>
      <w:r w:rsidRPr="00684E1C">
        <w:rPr>
          <w:noProof/>
        </w:rPr>
        <w:t>Network Code on sector-specific rules for cybersecurity aspects of cross-border electricity flows</w:t>
      </w:r>
      <w:r w:rsidR="00D40FFE">
        <w:rPr>
          <w:rStyle w:val="FootnoteReference"/>
          <w:noProof/>
        </w:rPr>
        <w:footnoteReference w:id="20"/>
      </w:r>
      <w:r w:rsidRPr="00684E1C">
        <w:rPr>
          <w:noProof/>
        </w:rPr>
        <w:t>.</w:t>
      </w:r>
      <w:r w:rsidRPr="007D2663">
        <w:rPr>
          <w:noProof/>
        </w:rPr>
        <w:t xml:space="preserve"> </w:t>
      </w:r>
      <w:r w:rsidR="00593F7B">
        <w:rPr>
          <w:noProof/>
        </w:rPr>
        <w:t xml:space="preserve">Measures suggested under this </w:t>
      </w:r>
      <w:r w:rsidR="007B561C">
        <w:rPr>
          <w:noProof/>
        </w:rPr>
        <w:t xml:space="preserve">proposal </w:t>
      </w:r>
      <w:r>
        <w:rPr>
          <w:noProof/>
        </w:rPr>
        <w:t>support its objectives and implementation</w:t>
      </w:r>
      <w:r w:rsidR="001936EE">
        <w:rPr>
          <w:noProof/>
        </w:rPr>
        <w:t>, as well as</w:t>
      </w:r>
      <w:r w:rsidR="00157320">
        <w:rPr>
          <w:noProof/>
        </w:rPr>
        <w:t xml:space="preserve"> the </w:t>
      </w:r>
      <w:r w:rsidR="00157320" w:rsidRPr="007C458B">
        <w:rPr>
          <w:noProof/>
          <w:lang w:val="en-IE"/>
        </w:rPr>
        <w:t>framework for the screening of foreign direct investments into the Union</w:t>
      </w:r>
      <w:r w:rsidR="00C051DD">
        <w:rPr>
          <w:noProof/>
          <w:lang w:val="en-IE"/>
        </w:rPr>
        <w:t xml:space="preserve">, while being specifically focused on </w:t>
      </w:r>
      <w:r w:rsidR="00E60BAB">
        <w:rPr>
          <w:noProof/>
          <w:lang w:val="en-IE"/>
        </w:rPr>
        <w:t>infrastructure in scope of the TEN-E</w:t>
      </w:r>
      <w:r w:rsidRPr="008F1330">
        <w:rPr>
          <w:noProof/>
        </w:rPr>
        <w:t>.</w:t>
      </w:r>
      <w:r w:rsidR="007B561C">
        <w:rPr>
          <w:noProof/>
        </w:rPr>
        <w:t xml:space="preserve"> T</w:t>
      </w:r>
      <w:r w:rsidR="00C051DD" w:rsidRPr="008113AD">
        <w:rPr>
          <w:noProof/>
        </w:rPr>
        <w:t xml:space="preserve">he 2026 revision of the EU Energy Security Framework will address energy security horizontally, complementing the network specific approach under this </w:t>
      </w:r>
      <w:r w:rsidR="00FF1F90">
        <w:rPr>
          <w:noProof/>
        </w:rPr>
        <w:t>proposal</w:t>
      </w:r>
      <w:r w:rsidR="00C051DD" w:rsidRPr="008113AD">
        <w:rPr>
          <w:noProof/>
        </w:rPr>
        <w:t>.</w:t>
      </w:r>
    </w:p>
    <w:p w14:paraId="5BBC5C58" w14:textId="77777777" w:rsidR="00597DB3" w:rsidRPr="008113AD" w:rsidRDefault="00597DB3" w:rsidP="00F85AD4">
      <w:pPr>
        <w:rPr>
          <w:noProof/>
        </w:rPr>
      </w:pPr>
      <w:r w:rsidRPr="008113AD" w:rsidDel="00816585">
        <w:rPr>
          <w:noProof/>
        </w:rPr>
        <w:t xml:space="preserve">The Industrial Accelerator Act will include measures to accelerate permitting of projects to decarbonise energy-intensive industries. Having sufficient grid capacity and timely grid connection is crucial to electrify industry, hence </w:t>
      </w:r>
      <w:r w:rsidRPr="008113AD">
        <w:rPr>
          <w:noProof/>
        </w:rPr>
        <w:t>both</w:t>
      </w:r>
      <w:r w:rsidRPr="008113AD" w:rsidDel="00816585">
        <w:rPr>
          <w:noProof/>
        </w:rPr>
        <w:t xml:space="preserve"> </w:t>
      </w:r>
      <w:r w:rsidRPr="008113AD">
        <w:rPr>
          <w:noProof/>
        </w:rPr>
        <w:t>initi</w:t>
      </w:r>
      <w:r w:rsidRPr="008113AD" w:rsidDel="00816585">
        <w:rPr>
          <w:noProof/>
        </w:rPr>
        <w:t>atives are developed in close cooperation</w:t>
      </w:r>
      <w:r w:rsidRPr="008113AD">
        <w:rPr>
          <w:noProof/>
        </w:rPr>
        <w:t>.</w:t>
      </w:r>
      <w:r w:rsidRPr="008113AD">
        <w:rPr>
          <w:rStyle w:val="FootnoteReference"/>
          <w:noProof/>
        </w:rPr>
        <w:footnoteReference w:id="21"/>
      </w:r>
      <w:r w:rsidRPr="008113AD">
        <w:rPr>
          <w:noProof/>
        </w:rPr>
        <w:t xml:space="preserve"> The </w:t>
      </w:r>
      <w:r w:rsidR="00FF1F90">
        <w:rPr>
          <w:noProof/>
        </w:rPr>
        <w:t>proposal</w:t>
      </w:r>
      <w:r w:rsidR="00FF1F90" w:rsidRPr="008113AD">
        <w:rPr>
          <w:noProof/>
        </w:rPr>
        <w:t xml:space="preserve"> </w:t>
      </w:r>
      <w:r w:rsidR="005129FE">
        <w:rPr>
          <w:noProof/>
        </w:rPr>
        <w:t>is also relevant for</w:t>
      </w:r>
      <w:r w:rsidRPr="008113AD">
        <w:rPr>
          <w:noProof/>
        </w:rPr>
        <w:t xml:space="preserve"> the Trans-Mediterranean Renewable Energy and Clean Tech (T-MED) Initiative and the Pact for the Mediterranean. </w:t>
      </w:r>
    </w:p>
    <w:p w14:paraId="642F920E" w14:textId="77777777" w:rsidR="00597DB3" w:rsidRDefault="00597DB3" w:rsidP="00F85AD4">
      <w:pPr>
        <w:rPr>
          <w:noProof/>
        </w:rPr>
      </w:pPr>
      <w:r w:rsidRPr="008113AD">
        <w:rPr>
          <w:noProof/>
        </w:rPr>
        <w:t>In view of the planned Carbon Capture, Utilisation and Storage (CCUS) Package, th</w:t>
      </w:r>
      <w:r w:rsidR="00CD5B0A">
        <w:rPr>
          <w:noProof/>
        </w:rPr>
        <w:t>is proposal</w:t>
      </w:r>
      <w:r w:rsidRPr="008113AD">
        <w:rPr>
          <w:noProof/>
        </w:rPr>
        <w:t xml:space="preserve"> will not address carbon dioxide cross-border infrastructure planning. Given a strong link between network planning on a national, regional and local levels and the heating and cooling sector, the recent revision of the Gas Directive</w:t>
      </w:r>
      <w:r w:rsidR="00E13DA7">
        <w:rPr>
          <w:rStyle w:val="FootnoteReference"/>
          <w:noProof/>
        </w:rPr>
        <w:footnoteReference w:id="22"/>
      </w:r>
      <w:r w:rsidRPr="008113AD">
        <w:rPr>
          <w:noProof/>
        </w:rPr>
        <w:t xml:space="preserve"> requires stronger coordination among sectors. The Grids Package aims to build upon these requirements</w:t>
      </w:r>
      <w:r w:rsidRPr="008113AD" w:rsidDel="00724817">
        <w:rPr>
          <w:noProof/>
        </w:rPr>
        <w:t xml:space="preserve">. In addition, the </w:t>
      </w:r>
      <w:r w:rsidDel="00724817">
        <w:rPr>
          <w:noProof/>
        </w:rPr>
        <w:t xml:space="preserve">upcoming </w:t>
      </w:r>
      <w:r w:rsidRPr="008113AD" w:rsidDel="00724817">
        <w:rPr>
          <w:noProof/>
        </w:rPr>
        <w:t>Electrification Action Plan and the Strategic Roadmap on Digitalisation and AI in the energy sector as well as the Heating and Cooling Strategy will provide important input for future grid planning. The Package also underpin</w:t>
      </w:r>
      <w:r w:rsidDel="00724817">
        <w:rPr>
          <w:noProof/>
        </w:rPr>
        <w:t>s</w:t>
      </w:r>
      <w:r w:rsidRPr="008113AD" w:rsidDel="00724817">
        <w:rPr>
          <w:noProof/>
        </w:rPr>
        <w:t xml:space="preserve"> the </w:t>
      </w:r>
      <w:r w:rsidR="00A843D3">
        <w:rPr>
          <w:noProof/>
        </w:rPr>
        <w:t>upcoming</w:t>
      </w:r>
      <w:r w:rsidRPr="008113AD" w:rsidDel="00724817">
        <w:rPr>
          <w:noProof/>
        </w:rPr>
        <w:t xml:space="preserve"> Cloud and AI Development Act to attract investment in data centres. </w:t>
      </w:r>
    </w:p>
    <w:p w14:paraId="1003071E" w14:textId="77777777" w:rsidR="003E7EA6" w:rsidRPr="002D5EE2" w:rsidRDefault="003E7EA6">
      <w:pPr>
        <w:pStyle w:val="ManualHeading1"/>
        <w:rPr>
          <w:noProof/>
        </w:rPr>
      </w:pPr>
      <w:r w:rsidRPr="002D5EE2">
        <w:rPr>
          <w:noProof/>
        </w:rPr>
        <w:t>2.</w:t>
      </w:r>
      <w:r w:rsidRPr="002D5EE2">
        <w:rPr>
          <w:noProof/>
        </w:rPr>
        <w:tab/>
        <w:t>LEGAL BASIS, SUBSIDIARITY AND PROPORTIONALITY</w:t>
      </w:r>
    </w:p>
    <w:p w14:paraId="5F34D02E" w14:textId="77777777" w:rsidR="003E7EA6" w:rsidRPr="002D5EE2" w:rsidRDefault="003E7EA6">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08235D17" w14:textId="77777777" w:rsidR="009D0912" w:rsidRPr="00B12CB1" w:rsidRDefault="009D0912" w:rsidP="00F85AD4">
      <w:pPr>
        <w:rPr>
          <w:noProof/>
        </w:rPr>
      </w:pPr>
      <w:r>
        <w:rPr>
          <w:noProof/>
        </w:rPr>
        <w:t xml:space="preserve">The proposal is based on </w:t>
      </w:r>
      <w:r w:rsidRPr="008113AD">
        <w:rPr>
          <w:noProof/>
        </w:rPr>
        <w:t xml:space="preserve">Article 172 </w:t>
      </w:r>
      <w:r w:rsidR="00E32A53">
        <w:rPr>
          <w:noProof/>
        </w:rPr>
        <w:t xml:space="preserve">of the </w:t>
      </w:r>
      <w:r w:rsidR="00E32A53" w:rsidRPr="00E32A53">
        <w:rPr>
          <w:noProof/>
          <w:u w:val="single"/>
        </w:rPr>
        <w:t>Treaty on the Functioning of the European Union (</w:t>
      </w:r>
      <w:r w:rsidRPr="008113AD">
        <w:rPr>
          <w:noProof/>
        </w:rPr>
        <w:t>TFEU</w:t>
      </w:r>
      <w:r w:rsidR="00E32A53">
        <w:rPr>
          <w:noProof/>
        </w:rPr>
        <w:t>)</w:t>
      </w:r>
      <w:r w:rsidRPr="008113AD">
        <w:rPr>
          <w:noProof/>
        </w:rPr>
        <w:t>, which provides for the legal basis to adopt guidelines covering the objectives, priorities and broad lines of measures envisaged in the sphere of trans-European networks as set out in Article 171. The guidelines are to identify PCIs that are necessary for making the TEN-E fit for purpose and set the conditions under which the EU may financially support the PCIs.</w:t>
      </w:r>
    </w:p>
    <w:p w14:paraId="4FB6EFCE" w14:textId="77777777" w:rsidR="003E7EA6" w:rsidRPr="004A3C5E" w:rsidRDefault="003E7EA6" w:rsidP="004A3C5E">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381A915F" w14:textId="77777777" w:rsidR="0013691A" w:rsidRDefault="0013691A" w:rsidP="00F85AD4">
      <w:pPr>
        <w:rPr>
          <w:noProof/>
        </w:rPr>
      </w:pPr>
      <w:r w:rsidRPr="00016287">
        <w:rPr>
          <w:noProof/>
        </w:rPr>
        <w:t>The proposed amendment</w:t>
      </w:r>
      <w:r>
        <w:rPr>
          <w:noProof/>
        </w:rPr>
        <w:t>s</w:t>
      </w:r>
      <w:r w:rsidRPr="00016287">
        <w:rPr>
          <w:noProof/>
        </w:rPr>
        <w:t xml:space="preserve"> fulfil the principle of </w:t>
      </w:r>
      <w:r w:rsidRPr="00016287">
        <w:rPr>
          <w:b/>
          <w:noProof/>
        </w:rPr>
        <w:t>subsidiarity</w:t>
      </w:r>
      <w:r w:rsidRPr="00016287">
        <w:rPr>
          <w:noProof/>
        </w:rPr>
        <w:t xml:space="preserve">, as </w:t>
      </w:r>
      <w:r w:rsidRPr="14ADC7C4">
        <w:rPr>
          <w:noProof/>
        </w:rPr>
        <w:t xml:space="preserve">action at Union level will </w:t>
      </w:r>
      <w:r>
        <w:rPr>
          <w:noProof/>
        </w:rPr>
        <w:t>contribute to the</w:t>
      </w:r>
      <w:r w:rsidR="00AA6F79">
        <w:rPr>
          <w:noProof/>
        </w:rPr>
        <w:t xml:space="preserve"> further integration of the Union energy market through the</w:t>
      </w:r>
      <w:r>
        <w:rPr>
          <w:noProof/>
        </w:rPr>
        <w:t xml:space="preserve"> modernisation and development of </w:t>
      </w:r>
      <w:r w:rsidR="00AA6F79">
        <w:rPr>
          <w:noProof/>
        </w:rPr>
        <w:t>Europe’s cross-border energy network</w:t>
      </w:r>
      <w:r w:rsidR="00D13662">
        <w:rPr>
          <w:noProof/>
        </w:rPr>
        <w:t xml:space="preserve"> more effectively than action at national level. </w:t>
      </w:r>
    </w:p>
    <w:p w14:paraId="6E47B3B0" w14:textId="77777777" w:rsidR="00C0133B" w:rsidRDefault="004A3C5E" w:rsidP="00F85AD4">
      <w:pPr>
        <w:rPr>
          <w:rFonts w:eastAsia="Arial Unicode MS"/>
          <w:i/>
          <w:iCs/>
          <w:noProof/>
          <w:lang w:val="en-IE"/>
        </w:rPr>
      </w:pPr>
      <w:r>
        <w:rPr>
          <w:rFonts w:eastAsia="Arial Unicode MS"/>
          <w:i/>
          <w:iCs/>
          <w:noProof/>
          <w:lang w:val="en-IE"/>
        </w:rPr>
        <w:t>The need for EU action</w:t>
      </w:r>
    </w:p>
    <w:p w14:paraId="4FC56065" w14:textId="77777777" w:rsidR="004A3C5E" w:rsidRDefault="004A3C5E" w:rsidP="00F85AD4">
      <w:pPr>
        <w:rPr>
          <w:rFonts w:eastAsia="Arial Unicode MS"/>
          <w:noProof/>
          <w:lang w:val="en-IE"/>
        </w:rPr>
      </w:pPr>
      <w:r w:rsidRPr="004C7408">
        <w:rPr>
          <w:rFonts w:eastAsia="Arial Unicode MS"/>
          <w:noProof/>
          <w:lang w:val="en-IE"/>
        </w:rPr>
        <w:t>Energy transmission infrastructure (including an interconnected offshore grid and smart grid infrastructure) has a European added value due to its cross-border impacts and is essential to achieve a climate neutral energy system. The TEN-E Regulation has contributed to achieving results regarding the Union energy market integration, competition and security of supply. A framework for regional cooperation across Member States is necessary to develop cross-border energy infrastructure. The internal energy market require</w:t>
      </w:r>
      <w:r>
        <w:rPr>
          <w:rFonts w:eastAsia="Arial Unicode MS"/>
          <w:noProof/>
          <w:lang w:val="en-IE"/>
        </w:rPr>
        <w:t>s</w:t>
      </w:r>
      <w:r w:rsidRPr="004C7408">
        <w:rPr>
          <w:rFonts w:eastAsia="Arial Unicode MS"/>
          <w:noProof/>
          <w:lang w:val="en-IE"/>
        </w:rPr>
        <w:t xml:space="preserve"> cross-border infrastructure, the development of which requires cooperation of two or more Member States, all with their own regulatory framework. </w:t>
      </w:r>
    </w:p>
    <w:p w14:paraId="620FED76" w14:textId="77777777" w:rsidR="004A3C5E" w:rsidRPr="004C7408" w:rsidRDefault="004A3C5E" w:rsidP="00F85AD4">
      <w:pPr>
        <w:rPr>
          <w:rFonts w:eastAsia="Arial Unicode MS"/>
          <w:noProof/>
          <w:lang w:val="en-IE"/>
        </w:rPr>
      </w:pPr>
      <w:r w:rsidRPr="008113AD">
        <w:rPr>
          <w:noProof/>
        </w:rPr>
        <w:t>National regulation and planning are not sufficient as individual national administrations do not have the power to deal with cross-border infrastructure planning.</w:t>
      </w:r>
      <w:r w:rsidRPr="004C7408">
        <w:rPr>
          <w:noProof/>
        </w:rPr>
        <w:t xml:space="preserve"> </w:t>
      </w:r>
      <w:r>
        <w:rPr>
          <w:noProof/>
        </w:rPr>
        <w:t>I</w:t>
      </w:r>
      <w:r w:rsidRPr="008113AD">
        <w:rPr>
          <w:noProof/>
        </w:rPr>
        <w:t>nternal network elements significantly influence the possibilities of cross-border infrastructure development, which in turn affects cross-border trade. More closely coordinating national and European planning is necessary due to the character of the EU’s meshed network and to build a more efficient energy system</w:t>
      </w:r>
      <w:r>
        <w:rPr>
          <w:noProof/>
        </w:rPr>
        <w:t>.</w:t>
      </w:r>
    </w:p>
    <w:p w14:paraId="1815C1DA" w14:textId="77777777" w:rsidR="004A3C5E" w:rsidRPr="004C7408" w:rsidRDefault="004A3C5E" w:rsidP="00F85AD4">
      <w:pPr>
        <w:rPr>
          <w:rFonts w:eastAsia="Arial Unicode MS"/>
          <w:i/>
          <w:iCs/>
          <w:noProof/>
          <w:lang w:val="en-IE"/>
        </w:rPr>
      </w:pPr>
      <w:r>
        <w:rPr>
          <w:rFonts w:eastAsia="Arial Unicode MS"/>
          <w:i/>
          <w:iCs/>
          <w:noProof/>
          <w:lang w:val="en-IE"/>
        </w:rPr>
        <w:t xml:space="preserve">EU added value </w:t>
      </w:r>
    </w:p>
    <w:p w14:paraId="15BA96F3" w14:textId="77777777" w:rsidR="004A3C5E" w:rsidRPr="00B12CB1" w:rsidRDefault="004A3C5E" w:rsidP="00F85AD4">
      <w:pPr>
        <w:rPr>
          <w:noProof/>
        </w:rPr>
      </w:pPr>
      <w:r w:rsidRPr="008113AD">
        <w:rPr>
          <w:noProof/>
        </w:rPr>
        <w:t xml:space="preserve">The TEN-E Regulation has provided </w:t>
      </w:r>
      <w:r w:rsidR="00DE3004">
        <w:rPr>
          <w:noProof/>
        </w:rPr>
        <w:t>added</w:t>
      </w:r>
      <w:r w:rsidR="00DE3004" w:rsidRPr="008113AD">
        <w:rPr>
          <w:noProof/>
        </w:rPr>
        <w:t xml:space="preserve"> </w:t>
      </w:r>
      <w:r w:rsidRPr="008113AD">
        <w:rPr>
          <w:noProof/>
        </w:rPr>
        <w:t xml:space="preserve">value compared to what could have been achieved at national or regional level alone. More than 100 projects were completed thanks to the PCI status </w:t>
      </w:r>
      <w:r>
        <w:rPr>
          <w:noProof/>
        </w:rPr>
        <w:t>between</w:t>
      </w:r>
      <w:r w:rsidRPr="008113AD">
        <w:rPr>
          <w:noProof/>
        </w:rPr>
        <w:t xml:space="preserve"> 2013-2025. </w:t>
      </w:r>
      <w:r>
        <w:rPr>
          <w:noProof/>
        </w:rPr>
        <w:t>T</w:t>
      </w:r>
      <w:r w:rsidRPr="008113AD">
        <w:rPr>
          <w:noProof/>
        </w:rPr>
        <w:t xml:space="preserve">he accelerated electrification, decarbonisation and digitalisation of industry and deployment of renewable energy projects call for </w:t>
      </w:r>
      <w:r>
        <w:rPr>
          <w:noProof/>
        </w:rPr>
        <w:t xml:space="preserve">the </w:t>
      </w:r>
      <w:r w:rsidRPr="008113AD">
        <w:rPr>
          <w:noProof/>
        </w:rPr>
        <w:t>reinforcement of energy infrastructure at an unprecedented pace, that cannot be met by national measures</w:t>
      </w:r>
      <w:r>
        <w:rPr>
          <w:noProof/>
        </w:rPr>
        <w:t xml:space="preserve"> alone</w:t>
      </w:r>
      <w:r w:rsidRPr="008113AD">
        <w:rPr>
          <w:noProof/>
        </w:rPr>
        <w:t xml:space="preserve">. </w:t>
      </w:r>
      <w:r>
        <w:rPr>
          <w:noProof/>
        </w:rPr>
        <w:t>M</w:t>
      </w:r>
      <w:r w:rsidRPr="008113AD">
        <w:rPr>
          <w:noProof/>
        </w:rPr>
        <w:t xml:space="preserve">ore effective cross-border planning will improve the integration of clean energy sources as well as meeting electricity market needs, which would help the EU reach its energy and climate targets. A more integrated market encourages the development and uptake of innovative technologies for transmission and distribution of energy </w:t>
      </w:r>
      <w:r>
        <w:rPr>
          <w:noProof/>
        </w:rPr>
        <w:t xml:space="preserve">and </w:t>
      </w:r>
      <w:r w:rsidRPr="008113AD">
        <w:rPr>
          <w:noProof/>
        </w:rPr>
        <w:t>contributes to system flexibility and security of supply. This can result in a more efficient network and improv</w:t>
      </w:r>
      <w:r>
        <w:rPr>
          <w:noProof/>
        </w:rPr>
        <w:t>e</w:t>
      </w:r>
      <w:r w:rsidRPr="008113AD">
        <w:rPr>
          <w:noProof/>
        </w:rPr>
        <w:t xml:space="preserve"> cross-border trade for a more cost-efficient and secure energy system.</w:t>
      </w:r>
    </w:p>
    <w:p w14:paraId="323D9815" w14:textId="77777777" w:rsidR="003E7EA6" w:rsidRDefault="003E7EA6">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00003320" w14:textId="77777777" w:rsidR="00667937" w:rsidRPr="002A75D5" w:rsidRDefault="00EE3725" w:rsidP="00F85AD4">
      <w:pPr>
        <w:rPr>
          <w:noProof/>
        </w:rPr>
      </w:pPr>
      <w:r w:rsidRPr="00787914">
        <w:rPr>
          <w:noProof/>
          <w:lang w:val="en-IE"/>
        </w:rPr>
        <w:t xml:space="preserve">The initiative complies with the proportionality principle. It falls within the scope for action in the field of the trans-European energy networks, as defined in Article 170 of the </w:t>
      </w:r>
      <w:r w:rsidR="0030031A">
        <w:rPr>
          <w:noProof/>
          <w:lang w:val="en-IE"/>
        </w:rPr>
        <w:t>TFEU</w:t>
      </w:r>
      <w:r w:rsidRPr="00787914">
        <w:rPr>
          <w:noProof/>
          <w:lang w:val="en-IE"/>
        </w:rPr>
        <w:t xml:space="preserve">. The policy intervention is proportional to the </w:t>
      </w:r>
      <w:r w:rsidR="0030031A">
        <w:rPr>
          <w:noProof/>
          <w:lang w:val="en-IE"/>
        </w:rPr>
        <w:t>scale</w:t>
      </w:r>
      <w:r w:rsidR="0030031A" w:rsidRPr="00787914">
        <w:rPr>
          <w:noProof/>
          <w:lang w:val="en-IE"/>
        </w:rPr>
        <w:t xml:space="preserve"> </w:t>
      </w:r>
      <w:r w:rsidRPr="00787914">
        <w:rPr>
          <w:noProof/>
          <w:lang w:val="en-IE"/>
        </w:rPr>
        <w:t xml:space="preserve">and nature of the problems </w:t>
      </w:r>
      <w:r w:rsidR="003A1C78">
        <w:rPr>
          <w:noProof/>
          <w:lang w:val="en-IE"/>
        </w:rPr>
        <w:t>identified in the Impact Assessment</w:t>
      </w:r>
      <w:r w:rsidRPr="00787914">
        <w:rPr>
          <w:noProof/>
          <w:lang w:val="en-IE"/>
        </w:rPr>
        <w:t xml:space="preserve"> and the achievement of the set objectives</w:t>
      </w:r>
      <w:r w:rsidR="000E5DE9">
        <w:rPr>
          <w:noProof/>
          <w:lang w:val="en-IE"/>
        </w:rPr>
        <w:t xml:space="preserve"> of the initiative</w:t>
      </w:r>
      <w:r w:rsidRPr="00787914">
        <w:rPr>
          <w:noProof/>
          <w:lang w:val="en-IE"/>
        </w:rPr>
        <w:t>. The propos</w:t>
      </w:r>
      <w:r w:rsidR="00731201">
        <w:rPr>
          <w:noProof/>
          <w:lang w:val="en-IE"/>
        </w:rPr>
        <w:t>ed revision of the TEN-E Regulation</w:t>
      </w:r>
      <w:r w:rsidRPr="00787914">
        <w:rPr>
          <w:noProof/>
          <w:lang w:val="en-IE"/>
        </w:rPr>
        <w:t xml:space="preserve"> does not go beyond what is necessary to achieve the general objective </w:t>
      </w:r>
      <w:r w:rsidR="00BE6E97">
        <w:rPr>
          <w:noProof/>
          <w:lang w:val="en-IE"/>
        </w:rPr>
        <w:t>of ensuring</w:t>
      </w:r>
      <w:r w:rsidR="00896094">
        <w:rPr>
          <w:noProof/>
          <w:lang w:val="en-IE"/>
        </w:rPr>
        <w:t xml:space="preserve"> </w:t>
      </w:r>
      <w:r w:rsidR="00896094" w:rsidRPr="008113AD">
        <w:rPr>
          <w:noProof/>
        </w:rPr>
        <w:t xml:space="preserve">the timely and efficient development and interoperability of resilient energy infrastructure, </w:t>
      </w:r>
      <w:r w:rsidR="00896094" w:rsidRPr="00896094">
        <w:rPr>
          <w:noProof/>
        </w:rPr>
        <w:t>renewable energy and flexibility, including storage and recharging stations, across the EU</w:t>
      </w:r>
      <w:r w:rsidR="002D19FB">
        <w:rPr>
          <w:noProof/>
        </w:rPr>
        <w:t xml:space="preserve">. </w:t>
      </w:r>
      <w:r w:rsidR="005A3B7D">
        <w:rPr>
          <w:rStyle w:val="CommentReference"/>
          <w:noProof/>
        </w:rPr>
        <w:t xml:space="preserve"> </w:t>
      </w:r>
    </w:p>
    <w:p w14:paraId="22B60FC5" w14:textId="77777777" w:rsidR="00D133DA" w:rsidRPr="002A75D5" w:rsidRDefault="00D133DA" w:rsidP="00F85AD4">
      <w:pPr>
        <w:rPr>
          <w:noProof/>
        </w:rPr>
      </w:pPr>
      <w:r w:rsidRPr="002A75D5">
        <w:rPr>
          <w:noProof/>
        </w:rPr>
        <w:t>The proposed measures contribute to more effectively addressing the Union’s energy infrastructure needs, ensur</w:t>
      </w:r>
      <w:r w:rsidR="00AB55E7">
        <w:rPr>
          <w:noProof/>
        </w:rPr>
        <w:t>e</w:t>
      </w:r>
      <w:r w:rsidRPr="002A75D5">
        <w:rPr>
          <w:noProof/>
        </w:rPr>
        <w:t xml:space="preserve"> faster project deployment, and enhanc</w:t>
      </w:r>
      <w:r w:rsidR="003765B4">
        <w:rPr>
          <w:noProof/>
        </w:rPr>
        <w:t>e</w:t>
      </w:r>
      <w:r w:rsidRPr="002A75D5">
        <w:rPr>
          <w:noProof/>
        </w:rPr>
        <w:t xml:space="preserve"> the resilience </w:t>
      </w:r>
      <w:r w:rsidR="00A6791D" w:rsidRPr="002A75D5">
        <w:rPr>
          <w:noProof/>
        </w:rPr>
        <w:t xml:space="preserve">of </w:t>
      </w:r>
      <w:r w:rsidR="003765B4">
        <w:rPr>
          <w:noProof/>
        </w:rPr>
        <w:t>the EU’s</w:t>
      </w:r>
      <w:r w:rsidR="003765B4" w:rsidRPr="002A75D5">
        <w:rPr>
          <w:noProof/>
        </w:rPr>
        <w:t xml:space="preserve"> </w:t>
      </w:r>
      <w:r w:rsidR="00A6791D" w:rsidRPr="002A75D5">
        <w:rPr>
          <w:noProof/>
        </w:rPr>
        <w:t xml:space="preserve">energy network infrastructure, without imposing significant costs for Transmission System Operators and project promoters, </w:t>
      </w:r>
      <w:r w:rsidR="00C61276" w:rsidRPr="002A75D5">
        <w:rPr>
          <w:noProof/>
        </w:rPr>
        <w:t xml:space="preserve">Member States, National Regulatory Authorities and the Agency for the Cooperation of Energy Regulators (ACER). </w:t>
      </w:r>
      <w:r w:rsidR="005A3B7D">
        <w:rPr>
          <w:rStyle w:val="CommentReference"/>
          <w:noProof/>
        </w:rPr>
        <w:t xml:space="preserve"> </w:t>
      </w:r>
    </w:p>
    <w:p w14:paraId="3D87B470" w14:textId="77777777" w:rsidR="00EE3725" w:rsidRPr="00C56BEC" w:rsidRDefault="007A7FA1" w:rsidP="00F85AD4">
      <w:pPr>
        <w:rPr>
          <w:noProof/>
          <w:lang w:val="en-IE"/>
        </w:rPr>
      </w:pPr>
      <w:r w:rsidRPr="002A75D5">
        <w:rPr>
          <w:noProof/>
        </w:rPr>
        <w:t xml:space="preserve">Based on the results of the Implementation Report, the Commission assessed several policy options </w:t>
      </w:r>
      <w:r w:rsidR="00A70A31" w:rsidRPr="002A75D5">
        <w:rPr>
          <w:noProof/>
        </w:rPr>
        <w:t xml:space="preserve">covering </w:t>
      </w:r>
      <w:r w:rsidRPr="002A75D5">
        <w:rPr>
          <w:noProof/>
        </w:rPr>
        <w:t>four impact areas of the current TEN-E framework</w:t>
      </w:r>
      <w:r w:rsidR="00C50C48" w:rsidRPr="002A75D5">
        <w:rPr>
          <w:noProof/>
        </w:rPr>
        <w:t xml:space="preserve">, namely infrastructure </w:t>
      </w:r>
      <w:r w:rsidR="00A20166" w:rsidRPr="002A75D5">
        <w:rPr>
          <w:noProof/>
        </w:rPr>
        <w:t xml:space="preserve">planning and project implementation, cost and benefit sharing, permitting and security. </w:t>
      </w:r>
      <w:r w:rsidR="00A70A31" w:rsidRPr="002A75D5">
        <w:rPr>
          <w:noProof/>
        </w:rPr>
        <w:t>The comparison of the options (see section 6 and 7 of the Impact Assessment</w:t>
      </w:r>
      <w:r w:rsidR="003765B4">
        <w:rPr>
          <w:noProof/>
        </w:rPr>
        <w:t xml:space="preserve"> Report</w:t>
      </w:r>
      <w:r w:rsidR="00A70A31" w:rsidRPr="002A75D5">
        <w:rPr>
          <w:noProof/>
        </w:rPr>
        <w:t>)</w:t>
      </w:r>
      <w:r w:rsidR="00991E75" w:rsidRPr="002A75D5">
        <w:rPr>
          <w:noProof/>
        </w:rPr>
        <w:t xml:space="preserve"> </w:t>
      </w:r>
      <w:r w:rsidR="008A17C9" w:rsidRPr="002A75D5">
        <w:rPr>
          <w:noProof/>
        </w:rPr>
        <w:t xml:space="preserve">indicates </w:t>
      </w:r>
      <w:r w:rsidR="00A70A31" w:rsidRPr="002A75D5">
        <w:rPr>
          <w:noProof/>
        </w:rPr>
        <w:t xml:space="preserve">that </w:t>
      </w:r>
      <w:r w:rsidR="00841C12" w:rsidRPr="002A75D5">
        <w:rPr>
          <w:noProof/>
        </w:rPr>
        <w:t>Policy Option 2</w:t>
      </w:r>
      <w:r w:rsidR="00004F43" w:rsidRPr="002A75D5">
        <w:rPr>
          <w:noProof/>
        </w:rPr>
        <w:t xml:space="preserve"> </w:t>
      </w:r>
      <w:r w:rsidR="008A17C9" w:rsidRPr="002A75D5">
        <w:rPr>
          <w:noProof/>
        </w:rPr>
        <w:t>is b</w:t>
      </w:r>
      <w:r w:rsidR="00811593" w:rsidRPr="002A75D5">
        <w:rPr>
          <w:noProof/>
        </w:rPr>
        <w:t>est suited to achieve the specific objective of the</w:t>
      </w:r>
      <w:r w:rsidR="00C56BEC" w:rsidRPr="002A75D5">
        <w:rPr>
          <w:noProof/>
        </w:rPr>
        <w:t xml:space="preserve"> </w:t>
      </w:r>
      <w:r w:rsidR="00811593" w:rsidRPr="002A75D5">
        <w:rPr>
          <w:noProof/>
        </w:rPr>
        <w:t>initiative</w:t>
      </w:r>
      <w:r w:rsidR="00100848" w:rsidRPr="002A75D5">
        <w:rPr>
          <w:noProof/>
        </w:rPr>
        <w:t xml:space="preserve"> without imposing disproportionate additional burden on relevant actors</w:t>
      </w:r>
      <w:r w:rsidR="00811593" w:rsidRPr="002A75D5">
        <w:rPr>
          <w:noProof/>
        </w:rPr>
        <w:t xml:space="preserve">. </w:t>
      </w:r>
      <w:r w:rsidR="00EE3725" w:rsidRPr="002A75D5">
        <w:rPr>
          <w:noProof/>
        </w:rPr>
        <w:t xml:space="preserve">The proposal is based on Policy Option 2 </w:t>
      </w:r>
      <w:r w:rsidR="00EE3725" w:rsidRPr="00470B5D">
        <w:rPr>
          <w:rFonts w:eastAsia="Times New Roman"/>
          <w:noProof/>
          <w:szCs w:val="24"/>
        </w:rPr>
        <w:t>which appears proportional to the nature of the problem by focussing on streamlining the current processes and offering new substantive new tools that are considered effective to meet the objectives of this initiative.</w:t>
      </w:r>
    </w:p>
    <w:p w14:paraId="1A21F2F9" w14:textId="77777777" w:rsidR="003E7EA6" w:rsidRPr="005A3B7D" w:rsidRDefault="003E7EA6" w:rsidP="1FDBFEA4">
      <w:pPr>
        <w:pStyle w:val="ManualHeading2"/>
        <w:rPr>
          <w:noProof/>
        </w:rPr>
      </w:pPr>
      <w:r w:rsidRPr="1FDBFEA4">
        <w:rPr>
          <w:rFonts w:eastAsia="Arial Unicode MS"/>
          <w:noProof/>
          <w:bdr w:val="nil"/>
          <w:lang w:eastAsia="en-GB"/>
        </w:rPr>
        <w:t>•</w:t>
      </w:r>
      <w:r w:rsidRPr="005A3B7D">
        <w:rPr>
          <w:noProof/>
        </w:rPr>
        <w:tab/>
        <w:t>Choice of the instrument</w:t>
      </w:r>
      <w:r w:rsidR="005A3B7D" w:rsidRPr="005A3B7D">
        <w:rPr>
          <w:noProof/>
        </w:rPr>
        <w:t xml:space="preserve"> </w:t>
      </w:r>
    </w:p>
    <w:p w14:paraId="2372FC79" w14:textId="77777777" w:rsidR="007C505D" w:rsidRPr="00044058" w:rsidRDefault="007C505D" w:rsidP="00F85AD4">
      <w:pPr>
        <w:rPr>
          <w:noProof/>
        </w:rPr>
      </w:pPr>
      <w:r w:rsidRPr="00787914">
        <w:rPr>
          <w:noProof/>
          <w:lang w:val="en-IE"/>
        </w:rPr>
        <w:t xml:space="preserve">Building on the overall positive </w:t>
      </w:r>
      <w:r w:rsidR="00B07030">
        <w:rPr>
          <w:noProof/>
          <w:lang w:val="en-IE"/>
        </w:rPr>
        <w:t>experience with the i</w:t>
      </w:r>
      <w:r w:rsidR="00621FBC">
        <w:rPr>
          <w:noProof/>
          <w:lang w:val="en-IE"/>
        </w:rPr>
        <w:t xml:space="preserve">mplementation </w:t>
      </w:r>
      <w:r w:rsidRPr="00787914">
        <w:rPr>
          <w:noProof/>
          <w:lang w:val="en-IE"/>
        </w:rPr>
        <w:t>of the current</w:t>
      </w:r>
      <w:r w:rsidR="003765B4">
        <w:rPr>
          <w:noProof/>
          <w:lang w:val="en-IE"/>
        </w:rPr>
        <w:t xml:space="preserve"> TEN-E</w:t>
      </w:r>
      <w:r w:rsidRPr="00787914">
        <w:rPr>
          <w:noProof/>
          <w:lang w:val="en-IE"/>
        </w:rPr>
        <w:t xml:space="preserve"> Regulation</w:t>
      </w:r>
      <w:r w:rsidR="00621FBC">
        <w:rPr>
          <w:noProof/>
          <w:lang w:val="en-IE"/>
        </w:rPr>
        <w:t xml:space="preserve"> and the positive evaluation of the previous Regu</w:t>
      </w:r>
      <w:r w:rsidR="000F750F">
        <w:rPr>
          <w:noProof/>
          <w:lang w:val="en-IE"/>
        </w:rPr>
        <w:t>l</w:t>
      </w:r>
      <w:r w:rsidR="00621FBC">
        <w:rPr>
          <w:noProof/>
          <w:lang w:val="en-IE"/>
        </w:rPr>
        <w:t>ation</w:t>
      </w:r>
      <w:r w:rsidRPr="00787914">
        <w:rPr>
          <w:noProof/>
          <w:lang w:val="en-IE"/>
        </w:rPr>
        <w:t>, the instrument chosen is a Regulation, an effective instrument which has direct application and is binding in its entirety, ensuring uniform implementation and legal certainty.</w:t>
      </w:r>
    </w:p>
    <w:p w14:paraId="0D4C6269" w14:textId="77777777" w:rsidR="003E7EA6" w:rsidRPr="00550536" w:rsidRDefault="003E7EA6">
      <w:pPr>
        <w:pStyle w:val="ManualHeading1"/>
        <w:rPr>
          <w:noProof/>
        </w:rPr>
      </w:pPr>
      <w:r w:rsidRPr="00550536">
        <w:rPr>
          <w:noProof/>
        </w:rPr>
        <w:t>3.</w:t>
      </w:r>
      <w:r w:rsidRPr="00550536">
        <w:rPr>
          <w:noProof/>
        </w:rPr>
        <w:tab/>
        <w:t>RESULTS OF EX-POST EVALUATIONS, STAKEHOLDER CONSULTATIONS AND IMPACT ASSESSMENTS</w:t>
      </w:r>
    </w:p>
    <w:p w14:paraId="46680F51" w14:textId="77777777" w:rsidR="003E7EA6" w:rsidRDefault="003E7EA6">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14:paraId="2120609B" w14:textId="77777777" w:rsidR="00443895" w:rsidRDefault="00443895" w:rsidP="00F85AD4">
      <w:pPr>
        <w:rPr>
          <w:noProof/>
        </w:rPr>
      </w:pPr>
      <w:r w:rsidRPr="008113AD">
        <w:rPr>
          <w:noProof/>
        </w:rPr>
        <w:t xml:space="preserve">Given the </w:t>
      </w:r>
      <w:r w:rsidR="00EB4E8A">
        <w:rPr>
          <w:noProof/>
        </w:rPr>
        <w:t>scope</w:t>
      </w:r>
      <w:r w:rsidRPr="008113AD">
        <w:rPr>
          <w:noProof/>
        </w:rPr>
        <w:t xml:space="preserve"> of th</w:t>
      </w:r>
      <w:r w:rsidR="00620839">
        <w:rPr>
          <w:noProof/>
        </w:rPr>
        <w:t xml:space="preserve">e proposed </w:t>
      </w:r>
      <w:r w:rsidRPr="008113AD">
        <w:rPr>
          <w:noProof/>
        </w:rPr>
        <w:t>revision and</w:t>
      </w:r>
      <w:r w:rsidR="00AF502A">
        <w:rPr>
          <w:noProof/>
        </w:rPr>
        <w:t xml:space="preserve"> the recent amendment of </w:t>
      </w:r>
      <w:r w:rsidR="00FA139A">
        <w:rPr>
          <w:noProof/>
        </w:rPr>
        <w:t xml:space="preserve">TEN-E Regulation in 2022, it was not feasible to conduct an ex-post evaluation. Instead, an Implementation Report </w:t>
      </w:r>
      <w:r w:rsidR="001C364E">
        <w:rPr>
          <w:noProof/>
        </w:rPr>
        <w:t>was prepared and included as part of the Impact Assessment</w:t>
      </w:r>
      <w:r w:rsidR="00526D71">
        <w:rPr>
          <w:noProof/>
        </w:rPr>
        <w:t xml:space="preserve"> Report</w:t>
      </w:r>
      <w:r w:rsidR="001C364E">
        <w:rPr>
          <w:noProof/>
        </w:rPr>
        <w:t xml:space="preserve">. The Implementation Report </w:t>
      </w:r>
      <w:bookmarkStart w:id="1" w:name="_Hlk205224020"/>
      <w:r w:rsidRPr="008113AD">
        <w:rPr>
          <w:noProof/>
        </w:rPr>
        <w:t xml:space="preserve">focuses on the performance of the specific provisions introduced and revised as part of the 2022 TEN-E Regulation revision. </w:t>
      </w:r>
      <w:bookmarkEnd w:id="1"/>
      <w:r w:rsidR="00526D71">
        <w:rPr>
          <w:noProof/>
        </w:rPr>
        <w:t>It</w:t>
      </w:r>
      <w:r w:rsidRPr="008113AD">
        <w:rPr>
          <w:noProof/>
        </w:rPr>
        <w:t xml:space="preserve"> replaces a full evaluation which would only be expected as part of the review of the TEN-E Regulation due in 2027</w:t>
      </w:r>
      <w:r w:rsidR="00A71166">
        <w:rPr>
          <w:noProof/>
        </w:rPr>
        <w:t>.</w:t>
      </w:r>
      <w:r w:rsidRPr="008113AD">
        <w:rPr>
          <w:rStyle w:val="FootnoteReference"/>
          <w:rFonts w:eastAsia="Times New Roman"/>
          <w:noProof/>
        </w:rPr>
        <w:footnoteReference w:id="23"/>
      </w:r>
      <w:r w:rsidRPr="008113AD">
        <w:rPr>
          <w:noProof/>
        </w:rPr>
        <w:t xml:space="preserve"> An evaluation was previously conducted between January 2019 and September 2020, in context of the 2022 TEN-E Regulation revision.</w:t>
      </w:r>
      <w:r w:rsidRPr="008113AD">
        <w:rPr>
          <w:rStyle w:val="FootnoteReference"/>
          <w:rFonts w:eastAsia="Times New Roman"/>
          <w:noProof/>
        </w:rPr>
        <w:footnoteReference w:id="24"/>
      </w:r>
      <w:r w:rsidRPr="008113AD">
        <w:rPr>
          <w:noProof/>
        </w:rPr>
        <w:t xml:space="preserve"> </w:t>
      </w:r>
    </w:p>
    <w:p w14:paraId="7226ED67" w14:textId="77777777" w:rsidR="008312ED" w:rsidRDefault="00D021FD" w:rsidP="00F85AD4">
      <w:pPr>
        <w:rPr>
          <w:noProof/>
        </w:rPr>
      </w:pPr>
      <w:r>
        <w:rPr>
          <w:noProof/>
        </w:rPr>
        <w:t xml:space="preserve">The Implementation Report </w:t>
      </w:r>
      <w:r w:rsidR="004244B4" w:rsidRPr="008113AD">
        <w:rPr>
          <w:noProof/>
        </w:rPr>
        <w:t xml:space="preserve">provided evidence of the need for further improvements, namely when it comes to scenario development, infrastructure needs identification and consequent </w:t>
      </w:r>
      <w:r w:rsidR="004244B4" w:rsidRPr="00B1311F">
        <w:rPr>
          <w:noProof/>
        </w:rPr>
        <w:t>T</w:t>
      </w:r>
      <w:r w:rsidR="009121A0">
        <w:rPr>
          <w:noProof/>
        </w:rPr>
        <w:t>en Year Network Development Plan (T</w:t>
      </w:r>
      <w:r w:rsidR="009121A0" w:rsidRPr="00B1311F">
        <w:rPr>
          <w:noProof/>
        </w:rPr>
        <w:t>YNDP</w:t>
      </w:r>
      <w:r w:rsidR="009121A0">
        <w:rPr>
          <w:noProof/>
        </w:rPr>
        <w:t>)</w:t>
      </w:r>
      <w:r w:rsidR="004244B4" w:rsidRPr="00B1311F">
        <w:rPr>
          <w:noProof/>
        </w:rPr>
        <w:t xml:space="preserve">, PCI/PMI project selection and assessment, as well as </w:t>
      </w:r>
      <w:r w:rsidR="00B06CC7" w:rsidRPr="00B1311F">
        <w:rPr>
          <w:noProof/>
        </w:rPr>
        <w:t>cross-border cost allocation</w:t>
      </w:r>
      <w:r w:rsidR="00B06CC7" w:rsidRPr="00B06CC7">
        <w:rPr>
          <w:noProof/>
        </w:rPr>
        <w:t xml:space="preserve"> (</w:t>
      </w:r>
      <w:r w:rsidR="004244B4" w:rsidRPr="008113AD">
        <w:rPr>
          <w:noProof/>
        </w:rPr>
        <w:t>CBCA</w:t>
      </w:r>
      <w:r w:rsidR="00B06CC7">
        <w:rPr>
          <w:noProof/>
        </w:rPr>
        <w:t>)</w:t>
      </w:r>
      <w:r w:rsidR="004244B4" w:rsidRPr="008113AD">
        <w:rPr>
          <w:noProof/>
        </w:rPr>
        <w:t xml:space="preserve"> and permitting frameworks.</w:t>
      </w:r>
      <w:r w:rsidR="005E6627">
        <w:rPr>
          <w:noProof/>
        </w:rPr>
        <w:t xml:space="preserve"> The report found that t</w:t>
      </w:r>
      <w:r w:rsidR="00564C5A" w:rsidRPr="008113AD">
        <w:rPr>
          <w:noProof/>
        </w:rPr>
        <w:t>he scenario develop</w:t>
      </w:r>
      <w:r w:rsidR="003275BD">
        <w:rPr>
          <w:noProof/>
        </w:rPr>
        <w:t>ment and infrastructure gaps identification processes are</w:t>
      </w:r>
      <w:r w:rsidR="00564C5A" w:rsidRPr="008113AD">
        <w:rPr>
          <w:noProof/>
        </w:rPr>
        <w:t xml:space="preserve"> faced with drawbacks</w:t>
      </w:r>
      <w:r w:rsidR="00664016">
        <w:rPr>
          <w:noProof/>
        </w:rPr>
        <w:t xml:space="preserve">, including delays </w:t>
      </w:r>
      <w:r w:rsidR="003275BD">
        <w:rPr>
          <w:noProof/>
        </w:rPr>
        <w:t xml:space="preserve">which hamper their </w:t>
      </w:r>
      <w:r w:rsidR="00564C5A" w:rsidRPr="008113AD">
        <w:rPr>
          <w:noProof/>
        </w:rPr>
        <w:t>effective</w:t>
      </w:r>
      <w:r w:rsidR="003275BD">
        <w:rPr>
          <w:noProof/>
        </w:rPr>
        <w:t>ness</w:t>
      </w:r>
      <w:r w:rsidR="00564C5A" w:rsidRPr="008113AD">
        <w:rPr>
          <w:noProof/>
        </w:rPr>
        <w:t xml:space="preserve"> in meeting the TEN-E Regulation goals. </w:t>
      </w:r>
      <w:r w:rsidR="003275BD">
        <w:rPr>
          <w:noProof/>
        </w:rPr>
        <w:t>T</w:t>
      </w:r>
      <w:r w:rsidR="00564C5A" w:rsidRPr="008113AD">
        <w:rPr>
          <w:noProof/>
        </w:rPr>
        <w:t xml:space="preserve">he Commission and ACER have little means to steer the process towards identification of the key projects for the Union. </w:t>
      </w:r>
      <w:r w:rsidR="007B57D3">
        <w:rPr>
          <w:noProof/>
        </w:rPr>
        <w:t xml:space="preserve">Moreover, </w:t>
      </w:r>
      <w:r w:rsidR="003275BD">
        <w:rPr>
          <w:noProof/>
        </w:rPr>
        <w:t xml:space="preserve">while </w:t>
      </w:r>
      <w:r w:rsidR="007B57D3">
        <w:rPr>
          <w:noProof/>
        </w:rPr>
        <w:t>t</w:t>
      </w:r>
      <w:r w:rsidR="000E1DCB" w:rsidRPr="008113AD">
        <w:rPr>
          <w:noProof/>
        </w:rPr>
        <w:t>he permitting</w:t>
      </w:r>
      <w:r w:rsidR="00B06CC7" w:rsidRPr="00B06CC7">
        <w:rPr>
          <w:noProof/>
        </w:rPr>
        <w:t>-related</w:t>
      </w:r>
      <w:r w:rsidR="000E1DCB" w:rsidRPr="008113AD">
        <w:rPr>
          <w:noProof/>
        </w:rPr>
        <w:t xml:space="preserve"> amendments </w:t>
      </w:r>
      <w:r w:rsidR="00664016">
        <w:rPr>
          <w:noProof/>
        </w:rPr>
        <w:t>of the 2022 revision of</w:t>
      </w:r>
      <w:r w:rsidR="000E1DCB" w:rsidRPr="008113AD">
        <w:rPr>
          <w:noProof/>
        </w:rPr>
        <w:t xml:space="preserve"> TEN-E Regulation generally achieved their intended</w:t>
      </w:r>
      <w:r w:rsidR="003275BD">
        <w:rPr>
          <w:noProof/>
        </w:rPr>
        <w:t xml:space="preserve"> objective</w:t>
      </w:r>
      <w:r w:rsidR="000E1DCB" w:rsidRPr="008113AD">
        <w:rPr>
          <w:noProof/>
        </w:rPr>
        <w:t xml:space="preserve"> to increase the clarity and flexibility of procedures</w:t>
      </w:r>
      <w:r w:rsidR="003275BD">
        <w:rPr>
          <w:noProof/>
        </w:rPr>
        <w:t xml:space="preserve">, </w:t>
      </w:r>
      <w:r w:rsidR="000E1DCB" w:rsidRPr="008113AD">
        <w:rPr>
          <w:noProof/>
        </w:rPr>
        <w:t xml:space="preserve">further improvements could be made to support the acceleration of procedures, contributing to the process’s overall efficiency. </w:t>
      </w:r>
      <w:r w:rsidR="008C26B7">
        <w:rPr>
          <w:noProof/>
        </w:rPr>
        <w:t>Regarding</w:t>
      </w:r>
      <w:r w:rsidR="007C27B2" w:rsidRPr="008113AD">
        <w:rPr>
          <w:noProof/>
        </w:rPr>
        <w:t xml:space="preserve"> cross-border cost allocation, the TEN-E Regulation provisions have facilitated the allocation of investment costs for PCI/PMIs, primarily to support CEF </w:t>
      </w:r>
      <w:r w:rsidR="008C26B7">
        <w:rPr>
          <w:noProof/>
        </w:rPr>
        <w:t>applications</w:t>
      </w:r>
      <w:r w:rsidR="007C27B2" w:rsidRPr="008113AD">
        <w:rPr>
          <w:noProof/>
        </w:rPr>
        <w:t>. However, there have been very few instances of involvement of non-hosting countries in CBCA decisions, and none in the electricity sector. Provisions have therefore had limited effectiveness in triggering additional investments from non-hosting countries that may otherwise significantly benefit from the projects.</w:t>
      </w:r>
    </w:p>
    <w:p w14:paraId="5A6E731D" w14:textId="77777777" w:rsidR="007965A2" w:rsidRPr="009131F8" w:rsidRDefault="007965A2" w:rsidP="00F85AD4">
      <w:pPr>
        <w:rPr>
          <w:noProof/>
        </w:rPr>
      </w:pPr>
      <w:r>
        <w:rPr>
          <w:noProof/>
        </w:rPr>
        <w:t xml:space="preserve">This proposal </w:t>
      </w:r>
      <w:r w:rsidR="00F77B1E">
        <w:rPr>
          <w:noProof/>
        </w:rPr>
        <w:t>aims to tackle the</w:t>
      </w:r>
      <w:r w:rsidR="008C26B7">
        <w:rPr>
          <w:noProof/>
        </w:rPr>
        <w:t>se</w:t>
      </w:r>
      <w:r w:rsidR="00F77B1E">
        <w:rPr>
          <w:noProof/>
        </w:rPr>
        <w:t xml:space="preserve"> issues identified in the </w:t>
      </w:r>
      <w:r w:rsidR="008C26B7">
        <w:rPr>
          <w:noProof/>
        </w:rPr>
        <w:t>Implementation Report</w:t>
      </w:r>
      <w:r w:rsidR="00110714">
        <w:rPr>
          <w:noProof/>
        </w:rPr>
        <w:t xml:space="preserve"> annexed to the Impact Assessment</w:t>
      </w:r>
      <w:r w:rsidR="00B06CC7">
        <w:rPr>
          <w:noProof/>
        </w:rPr>
        <w:t xml:space="preserve"> Report</w:t>
      </w:r>
      <w:r w:rsidR="00110714">
        <w:rPr>
          <w:noProof/>
        </w:rPr>
        <w:t>,</w:t>
      </w:r>
      <w:r w:rsidR="008C26B7">
        <w:rPr>
          <w:noProof/>
        </w:rPr>
        <w:t xml:space="preserve"> through targeted amendments to the TEN-E Regulation.</w:t>
      </w:r>
    </w:p>
    <w:p w14:paraId="5A43128C" w14:textId="77777777" w:rsidR="003E7EA6" w:rsidRDefault="003E7EA6">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5A2B7E18" w14:textId="77777777" w:rsidR="00EE1AF1" w:rsidRPr="008113AD" w:rsidRDefault="00EE1AF1" w:rsidP="00F85AD4">
      <w:pPr>
        <w:rPr>
          <w:noProof/>
        </w:rPr>
      </w:pPr>
      <w:r w:rsidRPr="00016287">
        <w:rPr>
          <w:noProof/>
          <w:lang w:val="en-US"/>
        </w:rPr>
        <w:t xml:space="preserve">In line with the Better Regulation guidelines, the Commission carried out a comprehensive </w:t>
      </w:r>
      <w:r w:rsidRPr="008113AD">
        <w:rPr>
          <w:noProof/>
        </w:rPr>
        <w:t xml:space="preserve">online public consultation between 13 May to 5 August 2025 on the </w:t>
      </w:r>
      <w:r>
        <w:rPr>
          <w:noProof/>
        </w:rPr>
        <w:t>‘</w:t>
      </w:r>
      <w:r w:rsidRPr="008113AD">
        <w:rPr>
          <w:noProof/>
        </w:rPr>
        <w:t>Have Your Say</w:t>
      </w:r>
      <w:r>
        <w:rPr>
          <w:noProof/>
        </w:rPr>
        <w:t>’</w:t>
      </w:r>
      <w:r w:rsidRPr="008113AD">
        <w:rPr>
          <w:noProof/>
        </w:rPr>
        <w:t xml:space="preserve"> website. The consultation covered the following topics: </w:t>
      </w:r>
      <w:r>
        <w:rPr>
          <w:noProof/>
        </w:rPr>
        <w:t>i</w:t>
      </w:r>
      <w:r w:rsidRPr="008113AD">
        <w:rPr>
          <w:noProof/>
        </w:rPr>
        <w:t xml:space="preserve">) the general functioning of the TEN-E Regulation, ii) EU infrastructure planning, iii) electricity network planning at national level, iv) electricity grid hosting capacity, v) permitting, vi) investments in grid infrastructure, vii) supply chains, viii) digitalisation and resilience, and ix) simplification. </w:t>
      </w:r>
    </w:p>
    <w:p w14:paraId="51913483" w14:textId="77777777" w:rsidR="00EE1AF1" w:rsidRDefault="00DA60CD" w:rsidP="00F85AD4">
      <w:pPr>
        <w:rPr>
          <w:noProof/>
        </w:rPr>
      </w:pPr>
      <w:r w:rsidRPr="00DA60CD">
        <w:rPr>
          <w:noProof/>
        </w:rPr>
        <w:t xml:space="preserve">The consultation received a total of 197 responses. In addition, 2 emails were received via a functional mailbox for the consultation. There were 197 responses to every multiple-choice question in the </w:t>
      </w:r>
      <w:r w:rsidR="00726DD1">
        <w:rPr>
          <w:noProof/>
        </w:rPr>
        <w:t>public consultation</w:t>
      </w:r>
      <w:r w:rsidRPr="00DA60CD">
        <w:rPr>
          <w:noProof/>
        </w:rPr>
        <w:t xml:space="preserve">, meaning that every respondent answered each question. For some questions, respondents were asked on a five-point scale the extent to which they agreed or disagreed with statements. The scale was i) Strongly disagree ii) Slightly disagree, iii) Neutral, iv) Slightly agree, v) Strongly agree. A “don’t know” option was also given.  </w:t>
      </w:r>
    </w:p>
    <w:p w14:paraId="4A985E9B" w14:textId="77777777" w:rsidR="00E01E23" w:rsidRPr="00664A31" w:rsidRDefault="00E01E23" w:rsidP="00F85AD4">
      <w:pPr>
        <w:rPr>
          <w:noProof/>
          <w:szCs w:val="24"/>
        </w:rPr>
      </w:pPr>
      <w:r>
        <w:rPr>
          <w:noProof/>
        </w:rPr>
        <w:t>Stakeholders</w:t>
      </w:r>
      <w:r w:rsidR="00726DD1">
        <w:rPr>
          <w:noProof/>
        </w:rPr>
        <w:t>’ views</w:t>
      </w:r>
      <w:r>
        <w:rPr>
          <w:noProof/>
        </w:rPr>
        <w:t xml:space="preserve"> were split on whether the TYNDP and national transmission development plans ensure integrated and coherent planning across EU and national levels. </w:t>
      </w:r>
      <w:r w:rsidR="00CC3F66">
        <w:rPr>
          <w:noProof/>
        </w:rPr>
        <w:t xml:space="preserve">Opinions </w:t>
      </w:r>
      <w:r>
        <w:rPr>
          <w:noProof/>
        </w:rPr>
        <w:t xml:space="preserve">on the extent to which the TYNDP identifies all cross-border infrastructure needs were also </w:t>
      </w:r>
      <w:r w:rsidR="00CC3F66">
        <w:rPr>
          <w:noProof/>
        </w:rPr>
        <w:t>diverse</w:t>
      </w:r>
      <w:r>
        <w:rPr>
          <w:noProof/>
        </w:rPr>
        <w:t xml:space="preserve">. Still, a majority </w:t>
      </w:r>
      <w:r w:rsidRPr="008113AD">
        <w:rPr>
          <w:noProof/>
        </w:rPr>
        <w:t>(54%) indicated that the current governance framework of the TYNDPs, including stakeholder roles, should be revised to enhance its effectiveness</w:t>
      </w:r>
      <w:r>
        <w:rPr>
          <w:noProof/>
        </w:rPr>
        <w:t>. Moreover,</w:t>
      </w:r>
      <w:r w:rsidR="000F523A">
        <w:rPr>
          <w:noProof/>
        </w:rPr>
        <w:t xml:space="preserve"> in line with the legislative proposal,</w:t>
      </w:r>
      <w:r>
        <w:rPr>
          <w:noProof/>
        </w:rPr>
        <w:t xml:space="preserve"> ab</w:t>
      </w:r>
      <w:r w:rsidRPr="008113AD">
        <w:rPr>
          <w:noProof/>
        </w:rPr>
        <w:t>out half (4</w:t>
      </w:r>
      <w:r>
        <w:rPr>
          <w:noProof/>
        </w:rPr>
        <w:t>4</w:t>
      </w:r>
      <w:r w:rsidRPr="008113AD">
        <w:rPr>
          <w:noProof/>
        </w:rPr>
        <w:t>%) believed the TYNDP falls short</w:t>
      </w:r>
      <w:r>
        <w:rPr>
          <w:noProof/>
        </w:rPr>
        <w:t xml:space="preserve"> in addressing identified infrastructure gaps and a majority (60%) agreed that national projects should more clearly support EU-wide priorities</w:t>
      </w:r>
      <w:r w:rsidR="008B1662">
        <w:rPr>
          <w:noProof/>
        </w:rPr>
        <w:t xml:space="preserve">. </w:t>
      </w:r>
      <w:r w:rsidR="000F523A">
        <w:rPr>
          <w:noProof/>
        </w:rPr>
        <w:t>Further, a</w:t>
      </w:r>
      <w:r w:rsidRPr="008113AD">
        <w:rPr>
          <w:noProof/>
        </w:rPr>
        <w:t xml:space="preserve"> majority of respondents (61%) </w:t>
      </w:r>
      <w:r>
        <w:rPr>
          <w:noProof/>
        </w:rPr>
        <w:t>also agreed that there is a</w:t>
      </w:r>
      <w:r w:rsidRPr="008113AD">
        <w:rPr>
          <w:noProof/>
        </w:rPr>
        <w:t xml:space="preserve"> need for stronger alignment between national transmission development</w:t>
      </w:r>
      <w:r>
        <w:rPr>
          <w:noProof/>
        </w:rPr>
        <w:t xml:space="preserve"> </w:t>
      </w:r>
      <w:r w:rsidR="00186A5B">
        <w:rPr>
          <w:noProof/>
        </w:rPr>
        <w:t>plans. In addition</w:t>
      </w:r>
      <w:r>
        <w:rPr>
          <w:noProof/>
        </w:rPr>
        <w:t>, a majority of respondents (59%) were positive to streamlining the PCI/PMI application process by amending requirements for projects with PCI/PMI status to reapply during each process (provided certain conditions are met)</w:t>
      </w:r>
      <w:r w:rsidR="00FB0DC2">
        <w:rPr>
          <w:noProof/>
        </w:rPr>
        <w:t xml:space="preserve"> in line with this proposal.</w:t>
      </w:r>
    </w:p>
    <w:p w14:paraId="5272320E" w14:textId="77777777" w:rsidR="00E01E23" w:rsidRPr="005551F4" w:rsidRDefault="00E01E23" w:rsidP="00F85AD4">
      <w:pPr>
        <w:rPr>
          <w:noProof/>
          <w:szCs w:val="24"/>
        </w:rPr>
      </w:pPr>
      <w:r>
        <w:rPr>
          <w:noProof/>
        </w:rPr>
        <w:t>When asked whether the TYNDP should have a more top-down approach to infrastructure planning</w:t>
      </w:r>
      <w:r w:rsidRPr="000E2A09">
        <w:rPr>
          <w:noProof/>
          <w:szCs w:val="24"/>
        </w:rPr>
        <w:t xml:space="preserve"> </w:t>
      </w:r>
      <w:r w:rsidRPr="002E50EB">
        <w:rPr>
          <w:noProof/>
          <w:szCs w:val="24"/>
        </w:rPr>
        <w:t>aimed at aligning network development with EU and Member State climate and energy goals</w:t>
      </w:r>
      <w:r>
        <w:rPr>
          <w:noProof/>
        </w:rPr>
        <w:t>, 41% of respondents (many of which system operators)</w:t>
      </w:r>
      <w:r w:rsidDel="00506A6D">
        <w:rPr>
          <w:noProof/>
        </w:rPr>
        <w:t xml:space="preserve"> </w:t>
      </w:r>
      <w:r>
        <w:rPr>
          <w:noProof/>
        </w:rPr>
        <w:t xml:space="preserve">disagreed whereas 36% agreed. </w:t>
      </w:r>
      <w:r w:rsidRPr="002E50EB">
        <w:rPr>
          <w:noProof/>
          <w:szCs w:val="24"/>
        </w:rPr>
        <w:t xml:space="preserve">Similarly, 41% of respondents </w:t>
      </w:r>
      <w:r>
        <w:rPr>
          <w:noProof/>
          <w:szCs w:val="24"/>
        </w:rPr>
        <w:t xml:space="preserve">(many of which system operators) </w:t>
      </w:r>
      <w:r w:rsidRPr="002E50EB">
        <w:rPr>
          <w:noProof/>
          <w:szCs w:val="24"/>
        </w:rPr>
        <w:t>expressed disagreement with the TYNDP having a more top-down European approach to better link identified needs and priority projects of common European interest</w:t>
      </w:r>
      <w:r>
        <w:rPr>
          <w:noProof/>
          <w:szCs w:val="24"/>
        </w:rPr>
        <w:t xml:space="preserve">, whereas </w:t>
      </w:r>
      <w:r w:rsidRPr="002E50EB">
        <w:rPr>
          <w:noProof/>
          <w:szCs w:val="24"/>
        </w:rPr>
        <w:t>36%</w:t>
      </w:r>
      <w:r>
        <w:rPr>
          <w:noProof/>
          <w:szCs w:val="24"/>
        </w:rPr>
        <w:t xml:space="preserve"> agreed</w:t>
      </w:r>
      <w:r w:rsidRPr="002E50EB">
        <w:rPr>
          <w:noProof/>
          <w:szCs w:val="24"/>
        </w:rPr>
        <w:t>.</w:t>
      </w:r>
      <w:r w:rsidRPr="00EF4453">
        <w:rPr>
          <w:noProof/>
          <w:szCs w:val="24"/>
        </w:rPr>
        <w:t xml:space="preserve"> </w:t>
      </w:r>
      <w:r w:rsidR="007344AF" w:rsidRPr="00EF4453">
        <w:rPr>
          <w:noProof/>
          <w:szCs w:val="24"/>
        </w:rPr>
        <w:t xml:space="preserve">While this </w:t>
      </w:r>
      <w:r w:rsidR="000D142D" w:rsidRPr="00EF4453">
        <w:rPr>
          <w:noProof/>
          <w:szCs w:val="24"/>
        </w:rPr>
        <w:t>legislative proposal strengthens EU-level steer in the infrastructure planning process with the Commission taking over central scenario development and being empowered to launch calls for proposal to address infrastructure gaps</w:t>
      </w:r>
      <w:r w:rsidR="007344AF" w:rsidRPr="00EF4453">
        <w:rPr>
          <w:noProof/>
          <w:szCs w:val="24"/>
        </w:rPr>
        <w:t>, the proposal</w:t>
      </w:r>
      <w:r w:rsidR="000D142D" w:rsidRPr="00EF4453">
        <w:rPr>
          <w:noProof/>
          <w:szCs w:val="24"/>
        </w:rPr>
        <w:t xml:space="preserve"> maintains strong Member State involvement and validation of steps in the process striking a balance to also align with </w:t>
      </w:r>
      <w:r w:rsidR="00287F30">
        <w:rPr>
          <w:noProof/>
          <w:szCs w:val="24"/>
        </w:rPr>
        <w:t>the public consultation results</w:t>
      </w:r>
      <w:r w:rsidR="000D142D" w:rsidRPr="00EF4453">
        <w:rPr>
          <w:noProof/>
          <w:szCs w:val="24"/>
        </w:rPr>
        <w:t xml:space="preserve">. </w:t>
      </w:r>
      <w:r w:rsidR="00AF6218" w:rsidRPr="00AD7E0E">
        <w:rPr>
          <w:noProof/>
          <w:szCs w:val="24"/>
        </w:rPr>
        <w:t>On the frequency of the processes, most stakeholders (85%) found the current two-year cycle appropriate.</w:t>
      </w:r>
      <w:r w:rsidRPr="005551F4">
        <w:rPr>
          <w:noProof/>
          <w:szCs w:val="24"/>
        </w:rPr>
        <w:t xml:space="preserve"> </w:t>
      </w:r>
      <w:r w:rsidR="000E1256" w:rsidRPr="005551F4">
        <w:rPr>
          <w:noProof/>
          <w:szCs w:val="24"/>
        </w:rPr>
        <w:t>The</w:t>
      </w:r>
      <w:r w:rsidRPr="005551F4">
        <w:rPr>
          <w:noProof/>
          <w:szCs w:val="24"/>
        </w:rPr>
        <w:t xml:space="preserve"> legislative proposal prolong</w:t>
      </w:r>
      <w:r w:rsidR="00AF6218" w:rsidRPr="005551F4">
        <w:rPr>
          <w:noProof/>
          <w:szCs w:val="24"/>
        </w:rPr>
        <w:t>s</w:t>
      </w:r>
      <w:r w:rsidRPr="005551F4">
        <w:rPr>
          <w:noProof/>
          <w:szCs w:val="24"/>
        </w:rPr>
        <w:t xml:space="preserve"> the current two-year TYNDP cycle to four years, </w:t>
      </w:r>
      <w:r w:rsidR="000E1256" w:rsidRPr="005551F4">
        <w:rPr>
          <w:noProof/>
          <w:szCs w:val="24"/>
        </w:rPr>
        <w:t>but</w:t>
      </w:r>
      <w:r w:rsidRPr="005551F4">
        <w:rPr>
          <w:noProof/>
          <w:szCs w:val="24"/>
        </w:rPr>
        <w:t xml:space="preserve"> </w:t>
      </w:r>
      <w:r w:rsidR="00AF6218" w:rsidRPr="005551F4">
        <w:rPr>
          <w:noProof/>
          <w:szCs w:val="24"/>
        </w:rPr>
        <w:t>maintains</w:t>
      </w:r>
      <w:r w:rsidRPr="005551F4">
        <w:rPr>
          <w:noProof/>
          <w:szCs w:val="24"/>
        </w:rPr>
        <w:t xml:space="preserve"> flexibility if updates are needed</w:t>
      </w:r>
      <w:r w:rsidR="00AF6218" w:rsidRPr="005551F4">
        <w:rPr>
          <w:noProof/>
          <w:szCs w:val="24"/>
        </w:rPr>
        <w:t xml:space="preserve">. </w:t>
      </w:r>
    </w:p>
    <w:p w14:paraId="01F72373" w14:textId="77777777" w:rsidR="00E01E23" w:rsidRPr="001210DD" w:rsidRDefault="001149DA" w:rsidP="00F85AD4">
      <w:pPr>
        <w:rPr>
          <w:noProof/>
        </w:rPr>
      </w:pPr>
      <w:r>
        <w:rPr>
          <w:noProof/>
        </w:rPr>
        <w:t xml:space="preserve">A </w:t>
      </w:r>
      <w:r w:rsidR="00E01E23" w:rsidRPr="000E2A09">
        <w:rPr>
          <w:noProof/>
        </w:rPr>
        <w:t>majority of respondents were positive to the inclusion of internal reinforcements (72%) and non-wire solutions (54%) in infrastructure needs identification</w:t>
      </w:r>
      <w:r w:rsidR="007508D9">
        <w:rPr>
          <w:noProof/>
        </w:rPr>
        <w:t>,</w:t>
      </w:r>
      <w:r w:rsidR="007508D9" w:rsidRPr="007508D9">
        <w:rPr>
          <w:noProof/>
        </w:rPr>
        <w:t xml:space="preserve"> </w:t>
      </w:r>
      <w:r w:rsidR="007508D9">
        <w:rPr>
          <w:noProof/>
        </w:rPr>
        <w:t>aligning well with the legislative proposal.</w:t>
      </w:r>
      <w:r w:rsidR="00E01E23" w:rsidRPr="000E2A09">
        <w:rPr>
          <w:noProof/>
        </w:rPr>
        <w:t xml:space="preserve"> </w:t>
      </w:r>
      <w:r w:rsidR="00E01E23">
        <w:rPr>
          <w:noProof/>
        </w:rPr>
        <w:t xml:space="preserve">A majority (62%) of stakeholders </w:t>
      </w:r>
      <w:r w:rsidR="007508D9">
        <w:rPr>
          <w:noProof/>
        </w:rPr>
        <w:t xml:space="preserve">also </w:t>
      </w:r>
      <w:r w:rsidR="00E01E23">
        <w:rPr>
          <w:noProof/>
        </w:rPr>
        <w:t>agreed that more EU-</w:t>
      </w:r>
      <w:r w:rsidR="00E01E23" w:rsidRPr="002E50EB">
        <w:rPr>
          <w:noProof/>
        </w:rPr>
        <w:t xml:space="preserve">level action is needed to enhance the visibility and quantified benefits of digital, innovative, and grid-enhancing technologies. A larger majority, 76% argued that further measures are needed to increase the efficiency of the existing grid. </w:t>
      </w:r>
    </w:p>
    <w:p w14:paraId="01179686" w14:textId="77777777" w:rsidR="00E01E23" w:rsidRPr="008E02D9" w:rsidRDefault="00E01E23" w:rsidP="00F85AD4">
      <w:pPr>
        <w:rPr>
          <w:rFonts w:eastAsia="Arial Unicode MS"/>
          <w:b/>
          <w:bCs/>
          <w:noProof/>
        </w:rPr>
      </w:pPr>
      <w:r>
        <w:rPr>
          <w:noProof/>
        </w:rPr>
        <w:t>A</w:t>
      </w:r>
      <w:r w:rsidRPr="2DC760CE">
        <w:rPr>
          <w:noProof/>
        </w:rPr>
        <w:t xml:space="preserve">s regards the </w:t>
      </w:r>
      <w:r w:rsidRPr="2DC760CE">
        <w:rPr>
          <w:b/>
          <w:bCs/>
          <w:noProof/>
        </w:rPr>
        <w:t>cost-sharing</w:t>
      </w:r>
      <w:r>
        <w:rPr>
          <w:b/>
          <w:bCs/>
          <w:noProof/>
        </w:rPr>
        <w:t xml:space="preserve">, </w:t>
      </w:r>
      <w:r w:rsidRPr="2DC760CE">
        <w:rPr>
          <w:noProof/>
        </w:rPr>
        <w:t>38%</w:t>
      </w:r>
      <w:r w:rsidRPr="2DC760CE">
        <w:rPr>
          <w:rStyle w:val="FootnoteReference"/>
          <w:noProof/>
        </w:rPr>
        <w:footnoteReference w:id="25"/>
      </w:r>
      <w:r w:rsidRPr="2DC760CE">
        <w:rPr>
          <w:noProof/>
        </w:rPr>
        <w:t xml:space="preserve"> of respondents stated that the current framework is not fit for purpose</w:t>
      </w:r>
      <w:r w:rsidR="001C45E6">
        <w:rPr>
          <w:noProof/>
        </w:rPr>
        <w:t xml:space="preserve"> </w:t>
      </w:r>
      <w:r w:rsidR="003311FA">
        <w:rPr>
          <w:noProof/>
        </w:rPr>
        <w:t>and 36%</w:t>
      </w:r>
      <w:r w:rsidR="003311FA">
        <w:rPr>
          <w:rStyle w:val="FootnoteReference"/>
          <w:noProof/>
        </w:rPr>
        <w:footnoteReference w:id="26"/>
      </w:r>
      <w:r w:rsidR="003311FA">
        <w:rPr>
          <w:noProof/>
        </w:rPr>
        <w:t xml:space="preserve"> </w:t>
      </w:r>
      <w:r w:rsidR="003311FA" w:rsidRPr="001210DD">
        <w:rPr>
          <w:noProof/>
        </w:rPr>
        <w:t>favoured that the CBCA framework further develops to facilitate the sharing of investment costs among countries, beyond hosting Member States, in proportion to the expected benefits</w:t>
      </w:r>
      <w:r w:rsidR="00BF44F6">
        <w:rPr>
          <w:noProof/>
        </w:rPr>
        <w:t>,</w:t>
      </w:r>
      <w:r w:rsidR="003311FA">
        <w:rPr>
          <w:noProof/>
        </w:rPr>
        <w:t xml:space="preserve"> </w:t>
      </w:r>
      <w:r w:rsidR="001C45E6">
        <w:rPr>
          <w:noProof/>
        </w:rPr>
        <w:t xml:space="preserve">indicating </w:t>
      </w:r>
      <w:r w:rsidR="003C64FC">
        <w:rPr>
          <w:noProof/>
        </w:rPr>
        <w:t>support for legislative revision</w:t>
      </w:r>
      <w:r>
        <w:rPr>
          <w:bCs/>
          <w:noProof/>
        </w:rPr>
        <w:t xml:space="preserve">. </w:t>
      </w:r>
      <w:r w:rsidRPr="2DC760CE">
        <w:rPr>
          <w:noProof/>
        </w:rPr>
        <w:t>Further,</w:t>
      </w:r>
      <w:r w:rsidRPr="008113AD">
        <w:rPr>
          <w:bCs/>
          <w:noProof/>
        </w:rPr>
        <w:t xml:space="preserve"> </w:t>
      </w:r>
      <w:r w:rsidRPr="008113AD">
        <w:rPr>
          <w:noProof/>
        </w:rPr>
        <w:t>37%</w:t>
      </w:r>
      <w:r>
        <w:rPr>
          <w:rStyle w:val="FootnoteReference"/>
          <w:noProof/>
        </w:rPr>
        <w:footnoteReference w:id="27"/>
      </w:r>
      <w:r w:rsidRPr="008113AD">
        <w:rPr>
          <w:noProof/>
        </w:rPr>
        <w:t xml:space="preserve"> of respondents thought that an investment request within the CBCA framework could also cover several projects (‘bundling’</w:t>
      </w:r>
      <w:r>
        <w:rPr>
          <w:noProof/>
        </w:rPr>
        <w:t xml:space="preserve">) </w:t>
      </w:r>
      <w:r w:rsidRPr="002E50EB">
        <w:rPr>
          <w:noProof/>
          <w:szCs w:val="24"/>
        </w:rPr>
        <w:t xml:space="preserve">to facilitate cost sharing amongst more Member State beneficiaries </w:t>
      </w:r>
      <w:r w:rsidR="00E32700">
        <w:rPr>
          <w:noProof/>
          <w:szCs w:val="24"/>
        </w:rPr>
        <w:t>in line with th</w:t>
      </w:r>
      <w:r w:rsidR="00A86098">
        <w:rPr>
          <w:noProof/>
          <w:szCs w:val="24"/>
        </w:rPr>
        <w:t>is</w:t>
      </w:r>
      <w:r w:rsidR="00E32700">
        <w:rPr>
          <w:noProof/>
          <w:szCs w:val="24"/>
        </w:rPr>
        <w:t xml:space="preserve"> proposal</w:t>
      </w:r>
      <w:r>
        <w:rPr>
          <w:noProof/>
        </w:rPr>
        <w:t>.</w:t>
      </w:r>
      <w:r>
        <w:rPr>
          <w:bCs/>
          <w:noProof/>
        </w:rPr>
        <w:t xml:space="preserve"> </w:t>
      </w:r>
    </w:p>
    <w:p w14:paraId="00F63873" w14:textId="77777777" w:rsidR="00E01E23" w:rsidRDefault="007F5961" w:rsidP="00F85AD4">
      <w:pPr>
        <w:rPr>
          <w:noProof/>
        </w:rPr>
      </w:pPr>
      <w:r>
        <w:rPr>
          <w:b/>
          <w:bCs/>
          <w:noProof/>
        </w:rPr>
        <w:t xml:space="preserve">Permitting </w:t>
      </w:r>
      <w:r>
        <w:rPr>
          <w:noProof/>
        </w:rPr>
        <w:t xml:space="preserve">was ranked by most respondents as a key barrier to developing grid infrastructure at the necessary pace for the energy transition, indicating support for the strengthening of the </w:t>
      </w:r>
      <w:r w:rsidR="004667A4">
        <w:rPr>
          <w:noProof/>
        </w:rPr>
        <w:t xml:space="preserve">TEN-E </w:t>
      </w:r>
      <w:r>
        <w:rPr>
          <w:noProof/>
        </w:rPr>
        <w:t>framework</w:t>
      </w:r>
      <w:r w:rsidR="004667A4">
        <w:rPr>
          <w:noProof/>
        </w:rPr>
        <w:t xml:space="preserve"> in this respect</w:t>
      </w:r>
      <w:r>
        <w:rPr>
          <w:noProof/>
        </w:rPr>
        <w:t xml:space="preserve">. Further, </w:t>
      </w:r>
      <w:r w:rsidR="00E01E23">
        <w:rPr>
          <w:noProof/>
          <w:szCs w:val="24"/>
        </w:rPr>
        <w:t>a</w:t>
      </w:r>
      <w:r w:rsidR="00E01E23" w:rsidRPr="007703CC">
        <w:rPr>
          <w:noProof/>
          <w:szCs w:val="24"/>
        </w:rPr>
        <w:t xml:space="preserve">bout a third of respondents reported that the permitting provisions of the TEN-E </w:t>
      </w:r>
      <w:r w:rsidR="00BF44F6">
        <w:rPr>
          <w:noProof/>
          <w:szCs w:val="24"/>
        </w:rPr>
        <w:t>R</w:t>
      </w:r>
      <w:r w:rsidR="00E01E23" w:rsidRPr="007703CC">
        <w:rPr>
          <w:noProof/>
          <w:szCs w:val="24"/>
        </w:rPr>
        <w:t xml:space="preserve">egulation are not clear </w:t>
      </w:r>
      <w:r w:rsidR="00BF44F6">
        <w:rPr>
          <w:noProof/>
          <w:szCs w:val="24"/>
        </w:rPr>
        <w:t>or</w:t>
      </w:r>
      <w:r w:rsidR="00BF44F6" w:rsidRPr="007703CC">
        <w:rPr>
          <w:noProof/>
          <w:szCs w:val="24"/>
        </w:rPr>
        <w:t xml:space="preserve"> </w:t>
      </w:r>
      <w:r w:rsidR="00E01E23" w:rsidRPr="007703CC">
        <w:rPr>
          <w:noProof/>
          <w:szCs w:val="24"/>
        </w:rPr>
        <w:t xml:space="preserve">easy to implement, with 16% remaining neutral and 34% </w:t>
      </w:r>
      <w:r w:rsidR="00E01E23">
        <w:rPr>
          <w:noProof/>
          <w:szCs w:val="24"/>
        </w:rPr>
        <w:t>unsure</w:t>
      </w:r>
      <w:r w:rsidR="00021605">
        <w:rPr>
          <w:noProof/>
          <w:szCs w:val="24"/>
        </w:rPr>
        <w:t xml:space="preserve">. </w:t>
      </w:r>
      <w:r w:rsidR="00E01E23">
        <w:rPr>
          <w:noProof/>
          <w:szCs w:val="24"/>
        </w:rPr>
        <w:t>A</w:t>
      </w:r>
      <w:r w:rsidR="00E01E23" w:rsidRPr="2DC760CE">
        <w:rPr>
          <w:noProof/>
        </w:rPr>
        <w:t xml:space="preserve"> vast majority of </w:t>
      </w:r>
      <w:r w:rsidR="00E01E23">
        <w:rPr>
          <w:noProof/>
        </w:rPr>
        <w:t>stakeholders support simplifying a</w:t>
      </w:r>
      <w:r w:rsidR="00E01E23" w:rsidRPr="2DC760CE">
        <w:rPr>
          <w:noProof/>
        </w:rPr>
        <w:t xml:space="preserve">nd streamlining of environmental assessments, </w:t>
      </w:r>
      <w:r w:rsidR="00BF44F6" w:rsidRPr="2DC760CE">
        <w:rPr>
          <w:noProof/>
        </w:rPr>
        <w:t>digitalis</w:t>
      </w:r>
      <w:r w:rsidR="00BF44F6">
        <w:rPr>
          <w:noProof/>
        </w:rPr>
        <w:t>ing</w:t>
      </w:r>
      <w:r w:rsidR="00BF44F6" w:rsidRPr="2DC760CE">
        <w:rPr>
          <w:noProof/>
        </w:rPr>
        <w:t xml:space="preserve"> permit</w:t>
      </w:r>
      <w:r w:rsidR="00BF44F6">
        <w:rPr>
          <w:noProof/>
        </w:rPr>
        <w:t>-granting</w:t>
      </w:r>
      <w:r w:rsidR="00BF44F6" w:rsidRPr="2DC760CE">
        <w:rPr>
          <w:noProof/>
        </w:rPr>
        <w:t xml:space="preserve"> </w:t>
      </w:r>
      <w:r w:rsidR="00E01E23" w:rsidRPr="2DC760CE">
        <w:rPr>
          <w:noProof/>
        </w:rPr>
        <w:t>procedures, shortening of legal deadlines for permitting of networks</w:t>
      </w:r>
      <w:r>
        <w:rPr>
          <w:noProof/>
        </w:rPr>
        <w:t xml:space="preserve"> in line with the legislative proposal. </w:t>
      </w:r>
    </w:p>
    <w:p w14:paraId="00E04CDF" w14:textId="77777777" w:rsidR="0090509E" w:rsidRDefault="00E01E23" w:rsidP="00F85AD4">
      <w:pPr>
        <w:rPr>
          <w:noProof/>
          <w:szCs w:val="24"/>
        </w:rPr>
      </w:pPr>
      <w:r>
        <w:rPr>
          <w:noProof/>
        </w:rPr>
        <w:t xml:space="preserve">As regards </w:t>
      </w:r>
      <w:r>
        <w:rPr>
          <w:b/>
          <w:bCs/>
          <w:noProof/>
        </w:rPr>
        <w:t xml:space="preserve">security-related measures, </w:t>
      </w:r>
      <w:r w:rsidRPr="2DC760CE">
        <w:rPr>
          <w:noProof/>
        </w:rPr>
        <w:t>over a third</w:t>
      </w:r>
      <w:r>
        <w:rPr>
          <w:noProof/>
        </w:rPr>
        <w:t xml:space="preserve"> </w:t>
      </w:r>
      <w:r w:rsidRPr="2DC760CE">
        <w:rPr>
          <w:noProof/>
        </w:rPr>
        <w:t>of stakeholders agreed that the EU legal framework does not sufficiently address emerging security risks</w:t>
      </w:r>
      <w:r>
        <w:rPr>
          <w:bCs/>
          <w:noProof/>
        </w:rPr>
        <w:t xml:space="preserve"> (</w:t>
      </w:r>
      <w:r w:rsidRPr="2DC760CE">
        <w:rPr>
          <w:noProof/>
        </w:rPr>
        <w:t>38%)</w:t>
      </w:r>
      <w:r w:rsidRPr="2DC760CE">
        <w:rPr>
          <w:rStyle w:val="FootnoteReference"/>
          <w:noProof/>
        </w:rPr>
        <w:footnoteReference w:id="28"/>
      </w:r>
      <w:r w:rsidRPr="2DC760CE">
        <w:rPr>
          <w:noProof/>
        </w:rPr>
        <w:t xml:space="preserve"> and that additional security criteria for PCIs and PMIs are needed to enhance protection against physical and cyber risks (36%)</w:t>
      </w:r>
      <w:r w:rsidRPr="2DC760CE">
        <w:rPr>
          <w:rStyle w:val="FootnoteReference"/>
          <w:noProof/>
        </w:rPr>
        <w:footnoteReference w:id="29"/>
      </w:r>
      <w:r w:rsidR="007F5961">
        <w:rPr>
          <w:noProof/>
        </w:rPr>
        <w:t xml:space="preserve"> </w:t>
      </w:r>
      <w:r w:rsidR="00311D2E">
        <w:rPr>
          <w:noProof/>
        </w:rPr>
        <w:t>in line with the legislative proposal.</w:t>
      </w:r>
      <w:bookmarkStart w:id="2" w:name="_Hlk205989570"/>
      <w:r w:rsidR="007F5961" w:rsidRPr="002E50EB">
        <w:rPr>
          <w:noProof/>
          <w:szCs w:val="24"/>
        </w:rPr>
        <w:t xml:space="preserve"> </w:t>
      </w:r>
      <w:r w:rsidRPr="002E50EB">
        <w:rPr>
          <w:noProof/>
          <w:szCs w:val="24"/>
        </w:rPr>
        <w:t>Furthermore, only 14% indicated that the framework addresses the exclusion of non-trusted actors from participating in critical infrastructure projects, with 19% revealing neutrality and almost a majority, 45% (companies 41%, business associations 48%, NGOs 86%, public authorities 40%) being uncertain.</w:t>
      </w:r>
      <w:bookmarkEnd w:id="2"/>
      <w:r w:rsidR="007F5961">
        <w:rPr>
          <w:noProof/>
          <w:szCs w:val="24"/>
        </w:rPr>
        <w:t xml:space="preserve"> </w:t>
      </w:r>
    </w:p>
    <w:p w14:paraId="37F1B719" w14:textId="77777777" w:rsidR="00E01E23" w:rsidRDefault="00097ED3" w:rsidP="00F85AD4">
      <w:pPr>
        <w:rPr>
          <w:noProof/>
        </w:rPr>
      </w:pPr>
      <w:r>
        <w:rPr>
          <w:noProof/>
        </w:rPr>
        <w:t xml:space="preserve">The feedback received from stakeholders as part of the consultation was </w:t>
      </w:r>
      <w:r w:rsidR="000C0209">
        <w:rPr>
          <w:noProof/>
        </w:rPr>
        <w:t>taken into account in developing the proposal. The</w:t>
      </w:r>
      <w:r w:rsidR="007F5961">
        <w:rPr>
          <w:noProof/>
        </w:rPr>
        <w:t xml:space="preserve"> measures under this legislative proposal</w:t>
      </w:r>
      <w:r w:rsidR="000C0209">
        <w:rPr>
          <w:noProof/>
        </w:rPr>
        <w:t xml:space="preserve"> therefore</w:t>
      </w:r>
      <w:r w:rsidR="007F5961">
        <w:rPr>
          <w:noProof/>
        </w:rPr>
        <w:t xml:space="preserve"> align well with the stakeholder views</w:t>
      </w:r>
      <w:r w:rsidR="000C0209">
        <w:rPr>
          <w:noProof/>
        </w:rPr>
        <w:t>.</w:t>
      </w:r>
    </w:p>
    <w:p w14:paraId="4F0A0CEF" w14:textId="77777777" w:rsidR="000458B1" w:rsidRDefault="000458B1" w:rsidP="00F85AD4">
      <w:pPr>
        <w:rPr>
          <w:rFonts w:eastAsia="Arial Unicode MS"/>
          <w:b/>
          <w:bCs/>
          <w:noProof/>
        </w:rPr>
      </w:pPr>
      <w:r>
        <w:rPr>
          <w:noProof/>
        </w:rPr>
        <w:t>For a detailed analysis of the public consultation results, please see Annex 2 of the Impact Assessment</w:t>
      </w:r>
      <w:r w:rsidR="006E2B6F">
        <w:rPr>
          <w:noProof/>
        </w:rPr>
        <w:t xml:space="preserve"> Report</w:t>
      </w:r>
      <w:r>
        <w:rPr>
          <w:noProof/>
        </w:rPr>
        <w:t xml:space="preserve"> accompanying this initiative.</w:t>
      </w:r>
    </w:p>
    <w:p w14:paraId="4F9F15F3" w14:textId="77777777" w:rsidR="003E7EA6" w:rsidRDefault="003E7EA6">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Collection and use of expertise</w:t>
      </w:r>
    </w:p>
    <w:p w14:paraId="2519DF0D" w14:textId="77777777" w:rsidR="0026361A" w:rsidRPr="0026361A" w:rsidRDefault="0026361A" w:rsidP="00F85AD4">
      <w:pPr>
        <w:rPr>
          <w:noProof/>
        </w:rPr>
      </w:pPr>
      <w:r w:rsidRPr="0026361A">
        <w:rPr>
          <w:noProof/>
        </w:rPr>
        <w:t xml:space="preserve">The proposal and its underpinning impact assessment draws on evidence from the Implementation Report on the TEN-E Regulation, from stakeholder input to the extensive consultations carried out in this respect, as well as a literature review, PCI portfolio analysis and modelling. </w:t>
      </w:r>
    </w:p>
    <w:p w14:paraId="6C8EAC0B" w14:textId="77777777" w:rsidR="0026361A" w:rsidRPr="0026361A" w:rsidRDefault="0026361A" w:rsidP="00F85AD4">
      <w:pPr>
        <w:rPr>
          <w:noProof/>
        </w:rPr>
      </w:pPr>
      <w:r w:rsidRPr="0026361A">
        <w:rPr>
          <w:noProof/>
        </w:rPr>
        <w:t>Formal conclusions adopted in the framework of the Copenhagen Forum in 2023, 2024 and 2025 were also considered in the analysis. The Copenhagen Forum gathers annually representatives of the EU institutions, transmission system operators, project promoters, regulators, energy companies, NGOs and civil society and the financing community to discuss the challenges of developing Europe’s energy infrastructure.</w:t>
      </w:r>
    </w:p>
    <w:p w14:paraId="386B1649" w14:textId="77777777" w:rsidR="0026361A" w:rsidRPr="0026361A" w:rsidRDefault="0026361A" w:rsidP="00F85AD4">
      <w:pPr>
        <w:rPr>
          <w:noProof/>
        </w:rPr>
      </w:pPr>
      <w:r w:rsidRPr="0026361A">
        <w:rPr>
          <w:noProof/>
        </w:rPr>
        <w:t xml:space="preserve">ACER’s annual consolidated monitoring reports on the progress of electricity and gas PCIs, incremental capacity projects and virtual interconnection points, on the electricity and gas market monitoring and capacity allocation and congestion management, as well as other updates on the cross-border cost allocation decisions, project-specific risk-based incentives were equally considered. </w:t>
      </w:r>
    </w:p>
    <w:p w14:paraId="7F42C4C2" w14:textId="77777777" w:rsidR="008067F5" w:rsidRPr="008067F5" w:rsidRDefault="00AA6074" w:rsidP="00F85AD4">
      <w:pPr>
        <w:rPr>
          <w:noProof/>
        </w:rPr>
      </w:pPr>
      <w:r>
        <w:rPr>
          <w:noProof/>
        </w:rPr>
        <w:t xml:space="preserve">The proposal and its underpinning impact assessment draws on evidence from the Implementation Report on the TEN-E Regulation, from stakeholder input and extensive consultations carried out in this respect, </w:t>
      </w:r>
      <w:r w:rsidR="00671F28">
        <w:rPr>
          <w:noProof/>
        </w:rPr>
        <w:t>a</w:t>
      </w:r>
      <w:r w:rsidR="00BE2EAF">
        <w:rPr>
          <w:noProof/>
        </w:rPr>
        <w:t xml:space="preserve">s well as a literature review, PCI portfolio analysis and modelling. </w:t>
      </w:r>
      <w:r w:rsidR="007F16C8" w:rsidRPr="008067F5">
        <w:rPr>
          <w:noProof/>
        </w:rPr>
        <w:t>Further information was gathered through several support studies to support the development of policy options and assessment on</w:t>
      </w:r>
      <w:r w:rsidR="007D2726" w:rsidRPr="007D2726">
        <w:rPr>
          <w:noProof/>
        </w:rPr>
        <w:t xml:space="preserve"> </w:t>
      </w:r>
      <w:r w:rsidR="007D2726">
        <w:rPr>
          <w:noProof/>
        </w:rPr>
        <w:t>i</w:t>
      </w:r>
      <w:r w:rsidR="007D2726" w:rsidRPr="008067F5">
        <w:rPr>
          <w:noProof/>
        </w:rPr>
        <w:t>nvestment needs in infrastructure, infrastructure planning and costs of delays</w:t>
      </w:r>
      <w:r w:rsidR="00BF7B63" w:rsidRPr="008067F5">
        <w:rPr>
          <w:noProof/>
        </w:rPr>
        <w:t>.</w:t>
      </w:r>
      <w:r w:rsidR="003F40D2" w:rsidRPr="008067F5">
        <w:rPr>
          <w:noProof/>
        </w:rPr>
        <w:t xml:space="preserve"> </w:t>
      </w:r>
    </w:p>
    <w:p w14:paraId="3F83494D" w14:textId="77777777" w:rsidR="003E7EA6" w:rsidRDefault="003E7EA6">
      <w:pPr>
        <w:pStyle w:val="ManualHeading2"/>
        <w:rPr>
          <w:rFonts w:eastAsia="Arial Unicode MS"/>
          <w:noProof/>
          <w:bdr w:val="nil"/>
          <w:lang w:eastAsia="en-GB"/>
        </w:rPr>
      </w:pPr>
      <w:r w:rsidRPr="07079FBC">
        <w:rPr>
          <w:rFonts w:eastAsia="Arial Unicode MS"/>
          <w:noProof/>
          <w:bdr w:val="nil"/>
          <w:lang w:eastAsia="en-GB"/>
        </w:rPr>
        <w:t>•</w:t>
      </w:r>
      <w:r w:rsidRPr="007718A8">
        <w:rPr>
          <w:rFonts w:eastAsia="Arial Unicode MS"/>
          <w:noProof/>
          <w:u w:color="000000"/>
          <w:bdr w:val="nil"/>
          <w:lang w:val="en-US" w:eastAsia="en-GB"/>
        </w:rPr>
        <w:tab/>
      </w:r>
      <w:r w:rsidRPr="07079FBC">
        <w:rPr>
          <w:rFonts w:eastAsia="Arial Unicode MS"/>
          <w:noProof/>
          <w:bdr w:val="nil"/>
          <w:lang w:eastAsia="en-GB"/>
        </w:rPr>
        <w:t>Impact assessment</w:t>
      </w:r>
    </w:p>
    <w:p w14:paraId="2A9FEE82" w14:textId="77777777" w:rsidR="00B40014" w:rsidRPr="002A75D5" w:rsidRDefault="002D468C" w:rsidP="00F85AD4">
      <w:pPr>
        <w:rPr>
          <w:noProof/>
        </w:rPr>
      </w:pPr>
      <w:r>
        <w:rPr>
          <w:noProof/>
          <w:lang w:val="en-IE"/>
        </w:rPr>
        <w:t>In accordance with</w:t>
      </w:r>
      <w:r w:rsidRPr="00450D18">
        <w:rPr>
          <w:noProof/>
          <w:lang w:val="en-IE"/>
        </w:rPr>
        <w:t xml:space="preserve"> </w:t>
      </w:r>
      <w:r w:rsidR="00B40014" w:rsidRPr="00450D18">
        <w:rPr>
          <w:noProof/>
          <w:lang w:val="en-IE"/>
        </w:rPr>
        <w:t>the Better Regulation guidelines</w:t>
      </w:r>
      <w:r>
        <w:rPr>
          <w:noProof/>
          <w:lang w:val="en-IE"/>
        </w:rPr>
        <w:t>,</w:t>
      </w:r>
      <w:r w:rsidR="00B40014" w:rsidRPr="00450D18">
        <w:rPr>
          <w:noProof/>
          <w:lang w:val="en-IE"/>
        </w:rPr>
        <w:t xml:space="preserve"> the Commission carried out an </w:t>
      </w:r>
      <w:r w:rsidR="00DE7394">
        <w:rPr>
          <w:noProof/>
          <w:lang w:val="en-IE"/>
        </w:rPr>
        <w:t>i</w:t>
      </w:r>
      <w:r w:rsidR="00B40014" w:rsidRPr="00450D18">
        <w:rPr>
          <w:noProof/>
          <w:lang w:val="en-IE"/>
        </w:rPr>
        <w:t xml:space="preserve">mpact </w:t>
      </w:r>
      <w:r w:rsidR="00DE7394">
        <w:rPr>
          <w:noProof/>
          <w:lang w:val="en-IE"/>
        </w:rPr>
        <w:t>a</w:t>
      </w:r>
      <w:r w:rsidR="00B40014" w:rsidRPr="00450D18">
        <w:rPr>
          <w:noProof/>
          <w:lang w:val="en-IE"/>
        </w:rPr>
        <w:t>ssessment of several policy options. This work was supported by structured consultation within the Commission via an Inter-Service Steering Group.</w:t>
      </w:r>
      <w:r w:rsidR="00B40014">
        <w:rPr>
          <w:noProof/>
          <w:lang w:val="en-IE"/>
        </w:rPr>
        <w:t xml:space="preserve"> The impact assessment was presented to and discussed with the Regulatory Scrutiny Board (RSB). </w:t>
      </w:r>
      <w:r w:rsidR="00192977">
        <w:rPr>
          <w:noProof/>
          <w:lang w:val="en-IE"/>
        </w:rPr>
        <w:t>The</w:t>
      </w:r>
      <w:r w:rsidR="00B40014">
        <w:rPr>
          <w:noProof/>
          <w:lang w:val="en-IE"/>
        </w:rPr>
        <w:t xml:space="preserve"> RSB </w:t>
      </w:r>
      <w:r w:rsidR="00192977">
        <w:rPr>
          <w:noProof/>
          <w:color w:val="000000" w:themeColor="text1"/>
          <w:lang w:val="en-IE"/>
        </w:rPr>
        <w:t>gave a</w:t>
      </w:r>
      <w:r w:rsidR="00B40014" w:rsidRPr="00043481">
        <w:rPr>
          <w:noProof/>
          <w:color w:val="000000" w:themeColor="text1"/>
          <w:lang w:val="en-IE"/>
        </w:rPr>
        <w:t xml:space="preserve"> positive opinion with </w:t>
      </w:r>
      <w:r w:rsidR="00043481">
        <w:rPr>
          <w:noProof/>
          <w:color w:val="000000" w:themeColor="text1"/>
          <w:lang w:val="en-IE"/>
        </w:rPr>
        <w:t>reservations on 2</w:t>
      </w:r>
      <w:r w:rsidR="00160C49">
        <w:rPr>
          <w:noProof/>
          <w:color w:val="000000" w:themeColor="text1"/>
          <w:lang w:val="en-IE"/>
        </w:rPr>
        <w:t>6</w:t>
      </w:r>
      <w:r w:rsidR="00B40014" w:rsidRPr="002A75D5">
        <w:rPr>
          <w:noProof/>
        </w:rPr>
        <w:t xml:space="preserve"> September 2025 </w:t>
      </w:r>
      <w:r w:rsidR="00160C49" w:rsidRPr="002A75D5">
        <w:rPr>
          <w:noProof/>
        </w:rPr>
        <w:t>which</w:t>
      </w:r>
      <w:r w:rsidR="006D7180">
        <w:rPr>
          <w:noProof/>
          <w:color w:val="000000" w:themeColor="text1"/>
          <w:lang w:val="en-IE"/>
        </w:rPr>
        <w:t xml:space="preserve"> were notably addressed by: i) further </w:t>
      </w:r>
      <w:r w:rsidR="005D1569">
        <w:rPr>
          <w:noProof/>
          <w:color w:val="000000" w:themeColor="text1"/>
          <w:lang w:val="en-IE"/>
        </w:rPr>
        <w:t>clarifying the problem drivers</w:t>
      </w:r>
      <w:r w:rsidR="00C44D03">
        <w:rPr>
          <w:noProof/>
          <w:color w:val="000000" w:themeColor="text1"/>
          <w:lang w:val="en-IE"/>
        </w:rPr>
        <w:t xml:space="preserve"> and root causes and their links to the proposed measures, ii) elaborating the assessment of subsidiarity considerations, iii)</w:t>
      </w:r>
      <w:r w:rsidR="00193DAA">
        <w:rPr>
          <w:noProof/>
          <w:color w:val="000000" w:themeColor="text1"/>
          <w:lang w:val="en-IE"/>
        </w:rPr>
        <w:t xml:space="preserve"> </w:t>
      </w:r>
      <w:r w:rsidR="00000B6F">
        <w:rPr>
          <w:noProof/>
          <w:color w:val="000000" w:themeColor="text1"/>
          <w:lang w:val="en-IE"/>
        </w:rPr>
        <w:t xml:space="preserve">revising </w:t>
      </w:r>
      <w:r w:rsidR="00F754F3">
        <w:rPr>
          <w:noProof/>
          <w:color w:val="000000" w:themeColor="text1"/>
          <w:lang w:val="en-IE"/>
        </w:rPr>
        <w:t xml:space="preserve">the general and specific </w:t>
      </w:r>
      <w:r w:rsidR="00000B6F">
        <w:rPr>
          <w:noProof/>
          <w:color w:val="000000" w:themeColor="text1"/>
          <w:lang w:val="en-IE"/>
        </w:rPr>
        <w:t xml:space="preserve">objectives, </w:t>
      </w:r>
      <w:r w:rsidR="00193DAA">
        <w:rPr>
          <w:noProof/>
          <w:color w:val="000000" w:themeColor="text1"/>
          <w:lang w:val="en-IE"/>
        </w:rPr>
        <w:t xml:space="preserve">specifying </w:t>
      </w:r>
      <w:r w:rsidR="001A0355">
        <w:rPr>
          <w:noProof/>
          <w:color w:val="000000" w:themeColor="text1"/>
          <w:lang w:val="en-IE"/>
        </w:rPr>
        <w:t>what success will look like</w:t>
      </w:r>
      <w:r w:rsidR="00723E95">
        <w:rPr>
          <w:noProof/>
          <w:color w:val="000000" w:themeColor="text1"/>
          <w:lang w:val="en-IE"/>
        </w:rPr>
        <w:t xml:space="preserve">, </w:t>
      </w:r>
      <w:r w:rsidR="007432E8">
        <w:rPr>
          <w:noProof/>
          <w:color w:val="000000" w:themeColor="text1"/>
          <w:lang w:val="en-IE"/>
        </w:rPr>
        <w:t xml:space="preserve">making the operational objectives more S.M.A.R.T, </w:t>
      </w:r>
      <w:r w:rsidR="00723E95">
        <w:rPr>
          <w:noProof/>
          <w:color w:val="000000" w:themeColor="text1"/>
          <w:lang w:val="en-IE"/>
        </w:rPr>
        <w:t>and elaborating on monitoring arrangements, iv)</w:t>
      </w:r>
      <w:r w:rsidR="00465E30">
        <w:rPr>
          <w:noProof/>
          <w:color w:val="000000" w:themeColor="text1"/>
          <w:lang w:val="en-IE"/>
        </w:rPr>
        <w:t xml:space="preserve"> more clearly presenting and justifying how the different options compare in terms of costs and benefits, </w:t>
      </w:r>
      <w:r w:rsidR="00FB64A8">
        <w:rPr>
          <w:noProof/>
          <w:color w:val="000000" w:themeColor="text1"/>
          <w:lang w:val="en-IE"/>
        </w:rPr>
        <w:t>v) further describ</w:t>
      </w:r>
      <w:r w:rsidR="005D113D">
        <w:rPr>
          <w:noProof/>
          <w:color w:val="000000" w:themeColor="text1"/>
          <w:lang w:val="en-IE"/>
        </w:rPr>
        <w:t>ing</w:t>
      </w:r>
      <w:r w:rsidR="00FB64A8">
        <w:rPr>
          <w:noProof/>
          <w:color w:val="000000" w:themeColor="text1"/>
          <w:lang w:val="en-IE"/>
        </w:rPr>
        <w:t xml:space="preserve"> the content of permitting measures and their impacts, vi) </w:t>
      </w:r>
      <w:r w:rsidR="005D113D">
        <w:rPr>
          <w:noProof/>
          <w:color w:val="000000" w:themeColor="text1"/>
          <w:lang w:val="en-IE"/>
        </w:rPr>
        <w:t>highlighting possible trade-offs with other EU</w:t>
      </w:r>
      <w:r w:rsidR="00B2750F">
        <w:rPr>
          <w:noProof/>
          <w:color w:val="000000" w:themeColor="text1"/>
          <w:lang w:val="en-IE"/>
        </w:rPr>
        <w:t xml:space="preserve"> </w:t>
      </w:r>
      <w:r w:rsidR="005D113D">
        <w:rPr>
          <w:noProof/>
          <w:color w:val="000000" w:themeColor="text1"/>
          <w:lang w:val="en-IE"/>
        </w:rPr>
        <w:t>objectives</w:t>
      </w:r>
      <w:r w:rsidR="00B3188A">
        <w:rPr>
          <w:noProof/>
          <w:color w:val="000000" w:themeColor="text1"/>
          <w:lang w:val="en-IE"/>
        </w:rPr>
        <w:t xml:space="preserve"> </w:t>
      </w:r>
      <w:r w:rsidR="00B3188A" w:rsidRPr="00B3188A">
        <w:rPr>
          <w:noProof/>
          <w:color w:val="000000" w:themeColor="text1"/>
        </w:rPr>
        <w:t>(see Annex 1 of the Impact Assessment Report)</w:t>
      </w:r>
      <w:r w:rsidR="005D113D">
        <w:rPr>
          <w:noProof/>
          <w:color w:val="000000" w:themeColor="text1"/>
          <w:lang w:val="en-IE"/>
        </w:rPr>
        <w:t xml:space="preserve">. </w:t>
      </w:r>
      <w:r w:rsidR="00F85AD4">
        <w:rPr>
          <w:rStyle w:val="CommentReference"/>
          <w:noProof/>
        </w:rPr>
        <w:t xml:space="preserve"> </w:t>
      </w:r>
    </w:p>
    <w:p w14:paraId="548DBB68" w14:textId="77777777" w:rsidR="0092206D" w:rsidRDefault="00E240E9" w:rsidP="00F85AD4">
      <w:pPr>
        <w:rPr>
          <w:noProof/>
        </w:rPr>
      </w:pPr>
      <w:r>
        <w:rPr>
          <w:rFonts w:eastAsia="Arial Unicode MS"/>
          <w:noProof/>
          <w:lang w:val="en-IE"/>
        </w:rPr>
        <w:t xml:space="preserve">The </w:t>
      </w:r>
      <w:r w:rsidR="00B40014">
        <w:rPr>
          <w:rFonts w:eastAsia="Arial Unicode MS"/>
          <w:noProof/>
          <w:lang w:val="en-IE"/>
        </w:rPr>
        <w:t xml:space="preserve">impact assessment identified three key problems and their </w:t>
      </w:r>
      <w:r w:rsidR="0062330C">
        <w:rPr>
          <w:rFonts w:eastAsia="Arial Unicode MS"/>
          <w:noProof/>
          <w:lang w:val="en-IE"/>
        </w:rPr>
        <w:t xml:space="preserve">corresponding </w:t>
      </w:r>
      <w:r w:rsidR="00B40014">
        <w:rPr>
          <w:rFonts w:eastAsia="Arial Unicode MS"/>
          <w:noProof/>
          <w:lang w:val="en-IE"/>
        </w:rPr>
        <w:t xml:space="preserve">problem drivers. </w:t>
      </w:r>
      <w:r w:rsidR="00B40014" w:rsidRPr="00450D18">
        <w:rPr>
          <w:rFonts w:eastAsia="Arial Unicode MS"/>
          <w:noProof/>
          <w:lang w:val="en-IE"/>
        </w:rPr>
        <w:t xml:space="preserve">Throughout the impact assessment work, a range of measures were considered across </w:t>
      </w:r>
      <w:r w:rsidR="00B40014">
        <w:rPr>
          <w:rFonts w:eastAsia="Arial Unicode MS"/>
          <w:noProof/>
          <w:lang w:val="en-IE"/>
        </w:rPr>
        <w:t>four intervention areas</w:t>
      </w:r>
      <w:r w:rsidR="00C26A71">
        <w:rPr>
          <w:rFonts w:eastAsia="Arial Unicode MS"/>
          <w:noProof/>
          <w:lang w:val="en-IE"/>
        </w:rPr>
        <w:t xml:space="preserve"> – i) infrastructure planning and project implementation, ii) cost and benefit sharing, iii) permitting, and iv) security – </w:t>
      </w:r>
      <w:r w:rsidR="00B40014" w:rsidRPr="00450D18">
        <w:rPr>
          <w:rFonts w:eastAsia="Arial Unicode MS"/>
          <w:noProof/>
          <w:lang w:val="en-IE"/>
        </w:rPr>
        <w:t xml:space="preserve">to address the identified problems </w:t>
      </w:r>
      <w:r w:rsidR="00F616D6">
        <w:rPr>
          <w:rFonts w:eastAsia="Arial Unicode MS"/>
          <w:noProof/>
          <w:lang w:val="en-IE"/>
        </w:rPr>
        <w:t xml:space="preserve">and achieve </w:t>
      </w:r>
      <w:r w:rsidR="00B40014" w:rsidRPr="00450D18">
        <w:rPr>
          <w:rFonts w:eastAsia="Arial Unicode MS"/>
          <w:noProof/>
          <w:lang w:val="en-IE"/>
        </w:rPr>
        <w:t xml:space="preserve">the </w:t>
      </w:r>
      <w:r w:rsidR="00F616D6">
        <w:rPr>
          <w:rFonts w:eastAsia="Arial Unicode MS"/>
          <w:noProof/>
          <w:lang w:val="en-IE"/>
        </w:rPr>
        <w:t xml:space="preserve">general and specific </w:t>
      </w:r>
      <w:r w:rsidR="00B40014" w:rsidRPr="00450D18">
        <w:rPr>
          <w:rFonts w:eastAsia="Arial Unicode MS"/>
          <w:noProof/>
          <w:lang w:val="en-IE"/>
        </w:rPr>
        <w:t>objectives of the initiative.</w:t>
      </w:r>
      <w:r w:rsidR="00B40014">
        <w:rPr>
          <w:rFonts w:eastAsia="Arial Unicode MS"/>
          <w:noProof/>
          <w:lang w:val="en-IE"/>
        </w:rPr>
        <w:t xml:space="preserve"> The measures under each intervention area were grouped into three policy options, </w:t>
      </w:r>
      <w:r w:rsidR="00B40014">
        <w:rPr>
          <w:noProof/>
        </w:rPr>
        <w:t xml:space="preserve">following </w:t>
      </w:r>
      <w:r w:rsidR="00B40014" w:rsidRPr="008113AD">
        <w:rPr>
          <w:noProof/>
        </w:rPr>
        <w:t xml:space="preserve">a logic of varying degrees of EU-level intervention and </w:t>
      </w:r>
      <w:r w:rsidR="00B40014">
        <w:rPr>
          <w:noProof/>
        </w:rPr>
        <w:t>coordination, and taking into account internal compatibility and coherence of the measures</w:t>
      </w:r>
      <w:r w:rsidR="00C26A71">
        <w:rPr>
          <w:noProof/>
        </w:rPr>
        <w:t xml:space="preserve"> (see Section 5.2.2 of the </w:t>
      </w:r>
      <w:r w:rsidR="00B3188A">
        <w:rPr>
          <w:noProof/>
        </w:rPr>
        <w:t>Impact Assessment Report</w:t>
      </w:r>
      <w:r w:rsidR="00C26A71">
        <w:rPr>
          <w:noProof/>
        </w:rPr>
        <w:t>).</w:t>
      </w:r>
    </w:p>
    <w:p w14:paraId="5C5B57E0" w14:textId="77777777" w:rsidR="001115AD" w:rsidRPr="00BE5749" w:rsidRDefault="00551AD5" w:rsidP="00F85AD4">
      <w:pPr>
        <w:rPr>
          <w:noProof/>
        </w:rPr>
      </w:pPr>
      <w:r>
        <w:rPr>
          <w:i/>
          <w:iCs/>
          <w:noProof/>
        </w:rPr>
        <w:t>Policy option 1</w:t>
      </w:r>
      <w:r w:rsidR="00BE5749">
        <w:rPr>
          <w:noProof/>
        </w:rPr>
        <w:t xml:space="preserve"> entails </w:t>
      </w:r>
      <w:r w:rsidR="00BE5749" w:rsidRPr="00F66593">
        <w:rPr>
          <w:b/>
          <w:bCs/>
          <w:noProof/>
        </w:rPr>
        <w:t>an enhanced bottom-up approach</w:t>
      </w:r>
      <w:r w:rsidR="00BE5749">
        <w:rPr>
          <w:noProof/>
        </w:rPr>
        <w:t>, introducing only a limited number of change</w:t>
      </w:r>
      <w:r w:rsidR="00CF0687">
        <w:rPr>
          <w:noProof/>
        </w:rPr>
        <w:t>s</w:t>
      </w:r>
      <w:r w:rsidR="00BE5749">
        <w:rPr>
          <w:noProof/>
        </w:rPr>
        <w:t xml:space="preserve"> to the current EU legislative and policy framework in comparison to the business as usual and involves minimal additional EU-level intervention</w:t>
      </w:r>
      <w:r w:rsidR="0092206D">
        <w:rPr>
          <w:noProof/>
        </w:rPr>
        <w:t xml:space="preserve">. </w:t>
      </w:r>
      <w:r w:rsidR="00BE5749">
        <w:rPr>
          <w:noProof/>
        </w:rPr>
        <w:t xml:space="preserve">As regards </w:t>
      </w:r>
      <w:r w:rsidR="00BE5749" w:rsidRPr="005B5502">
        <w:rPr>
          <w:i/>
          <w:iCs/>
          <w:noProof/>
        </w:rPr>
        <w:t>infrastructure planning and project implementation</w:t>
      </w:r>
      <w:r w:rsidR="00BE5749">
        <w:rPr>
          <w:b/>
          <w:bCs/>
          <w:noProof/>
        </w:rPr>
        <w:t xml:space="preserve">, </w:t>
      </w:r>
      <w:r w:rsidR="00313611">
        <w:rPr>
          <w:noProof/>
        </w:rPr>
        <w:t>it strengthens the existing framework</w:t>
      </w:r>
      <w:r w:rsidR="00FF6BF2">
        <w:rPr>
          <w:noProof/>
        </w:rPr>
        <w:t xml:space="preserve"> by better defining certain requirements and simplifying processes (including PCI/PMI s</w:t>
      </w:r>
      <w:r w:rsidR="00E25CBD">
        <w:rPr>
          <w:noProof/>
        </w:rPr>
        <w:t xml:space="preserve">election and Commission and ACER approvals) </w:t>
      </w:r>
      <w:r w:rsidR="00FF6BF2">
        <w:rPr>
          <w:noProof/>
        </w:rPr>
        <w:t>to ensure a leaner and more robust planning process</w:t>
      </w:r>
      <w:r w:rsidR="00E25CBD">
        <w:rPr>
          <w:noProof/>
        </w:rPr>
        <w:t xml:space="preserve">. It also </w:t>
      </w:r>
      <w:r w:rsidR="00BD2888">
        <w:rPr>
          <w:noProof/>
        </w:rPr>
        <w:t>align</w:t>
      </w:r>
      <w:r w:rsidR="003F4096">
        <w:rPr>
          <w:noProof/>
        </w:rPr>
        <w:t>s</w:t>
      </w:r>
      <w:r w:rsidR="00BD2888">
        <w:rPr>
          <w:noProof/>
        </w:rPr>
        <w:t xml:space="preserve"> the scope of PC</w:t>
      </w:r>
      <w:r w:rsidR="00084728">
        <w:rPr>
          <w:noProof/>
        </w:rPr>
        <w:t>I/</w:t>
      </w:r>
      <w:r w:rsidR="00BD2888">
        <w:rPr>
          <w:noProof/>
        </w:rPr>
        <w:t>PMI project categories, including by strengthening requirements related to electrolysers and remov</w:t>
      </w:r>
      <w:r w:rsidR="00E17165">
        <w:rPr>
          <w:noProof/>
        </w:rPr>
        <w:t>ing</w:t>
      </w:r>
      <w:r w:rsidR="00BD2888">
        <w:rPr>
          <w:noProof/>
        </w:rPr>
        <w:t xml:space="preserve"> the smart gas grid category.</w:t>
      </w:r>
      <w:r w:rsidR="0092206D">
        <w:rPr>
          <w:noProof/>
        </w:rPr>
        <w:t xml:space="preserve"> </w:t>
      </w:r>
      <w:r w:rsidR="00C310C8">
        <w:rPr>
          <w:noProof/>
        </w:rPr>
        <w:t xml:space="preserve">As regards </w:t>
      </w:r>
      <w:r w:rsidR="00C310C8" w:rsidRPr="005B5502">
        <w:rPr>
          <w:i/>
          <w:iCs/>
          <w:noProof/>
        </w:rPr>
        <w:t>cost and benefit sharing</w:t>
      </w:r>
      <w:r w:rsidR="00C310C8" w:rsidRPr="0092206D">
        <w:rPr>
          <w:b/>
          <w:bCs/>
          <w:noProof/>
        </w:rPr>
        <w:t xml:space="preserve">, </w:t>
      </w:r>
      <w:r w:rsidR="00C310C8">
        <w:rPr>
          <w:noProof/>
        </w:rPr>
        <w:t xml:space="preserve">it enhances transparency and strengthens EU principles </w:t>
      </w:r>
      <w:r w:rsidR="00E17165">
        <w:rPr>
          <w:noProof/>
        </w:rPr>
        <w:t xml:space="preserve">as well as </w:t>
      </w:r>
      <w:r w:rsidR="00C310C8">
        <w:rPr>
          <w:noProof/>
        </w:rPr>
        <w:t xml:space="preserve">better enables the use of congestion income </w:t>
      </w:r>
      <w:r w:rsidR="00CD53FE">
        <w:rPr>
          <w:noProof/>
        </w:rPr>
        <w:t xml:space="preserve">for financing cross-border electricity </w:t>
      </w:r>
      <w:r w:rsidR="00E17165">
        <w:rPr>
          <w:noProof/>
        </w:rPr>
        <w:t>infrastructure</w:t>
      </w:r>
      <w:r w:rsidR="00CD53FE">
        <w:rPr>
          <w:noProof/>
        </w:rPr>
        <w:t xml:space="preserve"> as an incentive to cost-sharing.</w:t>
      </w:r>
      <w:r w:rsidR="00F83EC9">
        <w:rPr>
          <w:noProof/>
        </w:rPr>
        <w:t xml:space="preserve"> </w:t>
      </w:r>
      <w:r w:rsidR="00CD53FE">
        <w:rPr>
          <w:noProof/>
        </w:rPr>
        <w:t xml:space="preserve">On </w:t>
      </w:r>
      <w:r w:rsidR="00CD53FE" w:rsidRPr="005B5502">
        <w:rPr>
          <w:i/>
          <w:iCs/>
          <w:noProof/>
        </w:rPr>
        <w:t>permitting,</w:t>
      </w:r>
      <w:r w:rsidR="00CD53FE" w:rsidRPr="00F83EC9">
        <w:rPr>
          <w:b/>
          <w:bCs/>
          <w:noProof/>
        </w:rPr>
        <w:t xml:space="preserve"> </w:t>
      </w:r>
      <w:r w:rsidR="00CD53FE">
        <w:rPr>
          <w:noProof/>
        </w:rPr>
        <w:t xml:space="preserve">it supports implementation of existing legislation, including by </w:t>
      </w:r>
      <w:r w:rsidR="00846F1A">
        <w:rPr>
          <w:noProof/>
        </w:rPr>
        <w:t>issuing guidance</w:t>
      </w:r>
      <w:r w:rsidR="001115AD">
        <w:rPr>
          <w:noProof/>
        </w:rPr>
        <w:t xml:space="preserve"> on the implementation of certain aspects of the environmental assessment framework.</w:t>
      </w:r>
      <w:r w:rsidR="00F83EC9">
        <w:rPr>
          <w:noProof/>
        </w:rPr>
        <w:t xml:space="preserve"> </w:t>
      </w:r>
      <w:r w:rsidR="001115AD">
        <w:rPr>
          <w:noProof/>
        </w:rPr>
        <w:t>On</w:t>
      </w:r>
      <w:r w:rsidR="001115AD" w:rsidRPr="005B5502">
        <w:rPr>
          <w:i/>
          <w:iCs/>
          <w:noProof/>
        </w:rPr>
        <w:t xml:space="preserve"> security</w:t>
      </w:r>
      <w:r w:rsidR="001115AD" w:rsidRPr="00F83EC9">
        <w:rPr>
          <w:b/>
          <w:bCs/>
          <w:noProof/>
        </w:rPr>
        <w:t xml:space="preserve">, </w:t>
      </w:r>
      <w:r w:rsidR="001115AD">
        <w:rPr>
          <w:noProof/>
        </w:rPr>
        <w:t>it</w:t>
      </w:r>
      <w:r w:rsidR="004532F7">
        <w:rPr>
          <w:noProof/>
        </w:rPr>
        <w:t xml:space="preserve"> introduces physical and cyber-risk resilience considerations in the monitoring of PCIs and PMIs. </w:t>
      </w:r>
    </w:p>
    <w:p w14:paraId="37471713" w14:textId="77777777" w:rsidR="00CF0687" w:rsidRPr="00CF0687" w:rsidRDefault="00551AD5" w:rsidP="00F85AD4">
      <w:pPr>
        <w:rPr>
          <w:noProof/>
        </w:rPr>
      </w:pPr>
      <w:r>
        <w:rPr>
          <w:i/>
          <w:iCs/>
          <w:noProof/>
        </w:rPr>
        <w:t xml:space="preserve">Policy option </w:t>
      </w:r>
      <w:r w:rsidR="00F66593">
        <w:rPr>
          <w:i/>
          <w:iCs/>
          <w:noProof/>
        </w:rPr>
        <w:t>2</w:t>
      </w:r>
      <w:r>
        <w:rPr>
          <w:i/>
          <w:iCs/>
          <w:noProof/>
        </w:rPr>
        <w:t xml:space="preserve"> </w:t>
      </w:r>
      <w:r w:rsidR="004532F7">
        <w:rPr>
          <w:noProof/>
        </w:rPr>
        <w:t xml:space="preserve">entails </w:t>
      </w:r>
      <w:r w:rsidR="004532F7" w:rsidRPr="005E3301">
        <w:rPr>
          <w:b/>
          <w:bCs/>
          <w:noProof/>
        </w:rPr>
        <w:t>moving from a bottom-up approach towards a more top-down approach</w:t>
      </w:r>
      <w:r w:rsidR="004532F7">
        <w:rPr>
          <w:noProof/>
        </w:rPr>
        <w:t xml:space="preserve"> with stronger steer from the EU</w:t>
      </w:r>
      <w:r w:rsidR="00BE74A4">
        <w:rPr>
          <w:noProof/>
        </w:rPr>
        <w:t>-l</w:t>
      </w:r>
      <w:r w:rsidR="004532F7">
        <w:rPr>
          <w:noProof/>
        </w:rPr>
        <w:t>evel and enhanced coordination with</w:t>
      </w:r>
      <w:r w:rsidR="005271DB">
        <w:rPr>
          <w:noProof/>
        </w:rPr>
        <w:t xml:space="preserve"> the current</w:t>
      </w:r>
      <w:r w:rsidR="004532F7">
        <w:rPr>
          <w:noProof/>
        </w:rPr>
        <w:t xml:space="preserve"> actors at Member State level. It introduces more significant changes to the current EU legislative and policy framework as compared to policy option 1, with additional EU-level coordination and reallocation of certain responsibilities among relevant stakeholders. As regards </w:t>
      </w:r>
      <w:r w:rsidR="004532F7" w:rsidRPr="005B5502">
        <w:rPr>
          <w:i/>
          <w:iCs/>
          <w:noProof/>
        </w:rPr>
        <w:t>infrastructure planning and project implementation</w:t>
      </w:r>
      <w:r w:rsidR="004532F7" w:rsidRPr="003D1421">
        <w:rPr>
          <w:b/>
          <w:bCs/>
          <w:noProof/>
        </w:rPr>
        <w:t>,</w:t>
      </w:r>
      <w:r w:rsidR="005E367F">
        <w:rPr>
          <w:b/>
          <w:bCs/>
          <w:noProof/>
        </w:rPr>
        <w:t xml:space="preserve"> </w:t>
      </w:r>
      <w:r w:rsidR="005E367F">
        <w:rPr>
          <w:noProof/>
        </w:rPr>
        <w:t xml:space="preserve">it </w:t>
      </w:r>
      <w:r w:rsidR="00256459">
        <w:rPr>
          <w:noProof/>
        </w:rPr>
        <w:t xml:space="preserve">notably </w:t>
      </w:r>
      <w:r w:rsidR="005E367F">
        <w:rPr>
          <w:noProof/>
        </w:rPr>
        <w:t xml:space="preserve">enhances the role of the Commission by entrusting it with central scenario development for the infrastructure needs identification </w:t>
      </w:r>
      <w:r w:rsidR="00256459">
        <w:rPr>
          <w:noProof/>
        </w:rPr>
        <w:t>as well as introduces a gap filling mechanism to ensure all infrastructure needs are addressed by project proposals</w:t>
      </w:r>
      <w:r w:rsidR="00D7665A">
        <w:rPr>
          <w:noProof/>
        </w:rPr>
        <w:t xml:space="preserve">. It also broadens the scope of </w:t>
      </w:r>
      <w:r w:rsidR="00256459">
        <w:rPr>
          <w:noProof/>
        </w:rPr>
        <w:t xml:space="preserve">the electricity </w:t>
      </w:r>
      <w:r w:rsidR="00D7665A">
        <w:rPr>
          <w:noProof/>
        </w:rPr>
        <w:t>PCI categor</w:t>
      </w:r>
      <w:r w:rsidR="00256459">
        <w:rPr>
          <w:noProof/>
        </w:rPr>
        <w:t>y</w:t>
      </w:r>
      <w:r w:rsidR="00097166">
        <w:rPr>
          <w:noProof/>
        </w:rPr>
        <w:t xml:space="preserve"> to more prominently include non-wire solutions and better acknowledge the role of internal lines</w:t>
      </w:r>
      <w:r w:rsidR="00D7665A">
        <w:rPr>
          <w:noProof/>
        </w:rPr>
        <w:t xml:space="preserve">. As regards </w:t>
      </w:r>
      <w:r w:rsidR="00D7665A" w:rsidRPr="005B5502">
        <w:rPr>
          <w:i/>
          <w:iCs/>
          <w:noProof/>
        </w:rPr>
        <w:t>cost-benefit sharing</w:t>
      </w:r>
      <w:r w:rsidR="00D7665A" w:rsidRPr="005B5502">
        <w:rPr>
          <w:noProof/>
        </w:rPr>
        <w:t xml:space="preserve">, </w:t>
      </w:r>
      <w:r w:rsidR="00283F75" w:rsidRPr="005B5502">
        <w:rPr>
          <w:noProof/>
        </w:rPr>
        <w:t>it</w:t>
      </w:r>
      <w:r w:rsidR="00283F75">
        <w:rPr>
          <w:b/>
          <w:bCs/>
          <w:noProof/>
        </w:rPr>
        <w:t xml:space="preserve"> </w:t>
      </w:r>
      <w:r w:rsidR="0064183F">
        <w:rPr>
          <w:noProof/>
        </w:rPr>
        <w:t>introduces</w:t>
      </w:r>
      <w:r w:rsidR="00D7665A">
        <w:rPr>
          <w:noProof/>
        </w:rPr>
        <w:t xml:space="preserve"> an enabling framework for the voluntary bundling of </w:t>
      </w:r>
      <w:r w:rsidR="00A266D8">
        <w:rPr>
          <w:noProof/>
        </w:rPr>
        <w:t xml:space="preserve">cross-border </w:t>
      </w:r>
      <w:r w:rsidR="00D7665A">
        <w:rPr>
          <w:noProof/>
        </w:rPr>
        <w:t>projects</w:t>
      </w:r>
      <w:r w:rsidR="00A266D8">
        <w:rPr>
          <w:noProof/>
        </w:rPr>
        <w:t xml:space="preserve"> to enable and encourage </w:t>
      </w:r>
      <w:r w:rsidR="00927CE2">
        <w:rPr>
          <w:noProof/>
        </w:rPr>
        <w:t>discussions amongst relevant Member States and third countries</w:t>
      </w:r>
      <w:r w:rsidR="00D7665A">
        <w:rPr>
          <w:noProof/>
        </w:rPr>
        <w:t>.</w:t>
      </w:r>
      <w:r w:rsidR="0064183F">
        <w:rPr>
          <w:noProof/>
        </w:rPr>
        <w:t xml:space="preserve"> </w:t>
      </w:r>
      <w:r w:rsidR="00857694">
        <w:rPr>
          <w:noProof/>
        </w:rPr>
        <w:t xml:space="preserve">On </w:t>
      </w:r>
      <w:r w:rsidR="00857694" w:rsidRPr="005B5502">
        <w:rPr>
          <w:i/>
          <w:iCs/>
          <w:noProof/>
        </w:rPr>
        <w:t>permitting</w:t>
      </w:r>
      <w:r w:rsidR="00857694" w:rsidRPr="0064183F">
        <w:rPr>
          <w:b/>
          <w:bCs/>
          <w:noProof/>
        </w:rPr>
        <w:t xml:space="preserve">, </w:t>
      </w:r>
      <w:r w:rsidR="006D3DC0">
        <w:rPr>
          <w:noProof/>
        </w:rPr>
        <w:t>it entails targeted legislative changes to accelerate permitting processes for cross-border infrastructure covered under the TEN-E Regulation</w:t>
      </w:r>
      <w:r w:rsidR="00332D93">
        <w:rPr>
          <w:noProof/>
        </w:rPr>
        <w:t xml:space="preserve">. On </w:t>
      </w:r>
      <w:r w:rsidR="00AF7A3D" w:rsidRPr="005B5502">
        <w:rPr>
          <w:i/>
          <w:iCs/>
          <w:noProof/>
        </w:rPr>
        <w:t>security,</w:t>
      </w:r>
      <w:r w:rsidR="00AF7A3D" w:rsidRPr="0064183F">
        <w:rPr>
          <w:b/>
          <w:bCs/>
          <w:noProof/>
        </w:rPr>
        <w:t xml:space="preserve"> </w:t>
      </w:r>
      <w:r w:rsidR="00315DE5">
        <w:rPr>
          <w:noProof/>
        </w:rPr>
        <w:t xml:space="preserve">it </w:t>
      </w:r>
      <w:r w:rsidR="00CF0687">
        <w:rPr>
          <w:noProof/>
        </w:rPr>
        <w:t xml:space="preserve">introduces additional transparency requirements regarding the ultimate beneficial owners of candidate PCIs/PMIs and including security and resilience-related equipment for the upgrade of existing electricity cross-border infrastructure under TEN-E scope. </w:t>
      </w:r>
    </w:p>
    <w:p w14:paraId="3D4D008E" w14:textId="77777777" w:rsidR="00B13BE6" w:rsidRDefault="00551AD5" w:rsidP="00F85AD4">
      <w:pPr>
        <w:rPr>
          <w:noProof/>
        </w:rPr>
      </w:pPr>
      <w:r>
        <w:rPr>
          <w:i/>
          <w:iCs/>
          <w:noProof/>
        </w:rPr>
        <w:t>Policy option 3</w:t>
      </w:r>
      <w:r w:rsidR="00CF0687">
        <w:rPr>
          <w:i/>
          <w:iCs/>
          <w:noProof/>
        </w:rPr>
        <w:t xml:space="preserve"> </w:t>
      </w:r>
      <w:r w:rsidR="00CF0687">
        <w:rPr>
          <w:noProof/>
        </w:rPr>
        <w:t xml:space="preserve">entails a full </w:t>
      </w:r>
      <w:r w:rsidR="00CF0687" w:rsidRPr="006166D4">
        <w:rPr>
          <w:b/>
          <w:bCs/>
          <w:noProof/>
        </w:rPr>
        <w:t>top-down approach</w:t>
      </w:r>
      <w:r w:rsidR="00CF0687">
        <w:rPr>
          <w:noProof/>
        </w:rPr>
        <w:t xml:space="preserve"> for cross-border infrastructure. It includes substantial structural and institutional changes to the status quo and a higher degree of centralising and streamlining at EU level</w:t>
      </w:r>
      <w:r w:rsidR="0013386B">
        <w:rPr>
          <w:noProof/>
        </w:rPr>
        <w:t xml:space="preserve">, including through entrusting </w:t>
      </w:r>
      <w:r w:rsidR="0013386B" w:rsidRPr="00F84C0E">
        <w:rPr>
          <w:i/>
          <w:iCs/>
          <w:noProof/>
        </w:rPr>
        <w:t>infrastructure planning</w:t>
      </w:r>
      <w:r w:rsidR="0013386B">
        <w:rPr>
          <w:noProof/>
        </w:rPr>
        <w:t xml:space="preserve"> and coordination of </w:t>
      </w:r>
      <w:r w:rsidR="0013386B" w:rsidRPr="00F84C0E">
        <w:rPr>
          <w:i/>
          <w:iCs/>
          <w:noProof/>
        </w:rPr>
        <w:t>permitting</w:t>
      </w:r>
      <w:r w:rsidR="0013386B">
        <w:rPr>
          <w:noProof/>
        </w:rPr>
        <w:t xml:space="preserve"> </w:t>
      </w:r>
      <w:r w:rsidR="000B1481">
        <w:rPr>
          <w:noProof/>
        </w:rPr>
        <w:t>for cross-border infrastructure projects to EU bodies.</w:t>
      </w:r>
      <w:r w:rsidR="004F799C">
        <w:rPr>
          <w:noProof/>
        </w:rPr>
        <w:t xml:space="preserve"> </w:t>
      </w:r>
      <w:r w:rsidR="00421C30">
        <w:rPr>
          <w:noProof/>
        </w:rPr>
        <w:t xml:space="preserve">As regards </w:t>
      </w:r>
      <w:r w:rsidR="00421C30" w:rsidRPr="00F84C0E">
        <w:rPr>
          <w:i/>
          <w:iCs/>
          <w:noProof/>
        </w:rPr>
        <w:t>cost-benefit sharing,</w:t>
      </w:r>
      <w:r w:rsidR="00421C30" w:rsidRPr="000B1481">
        <w:rPr>
          <w:b/>
          <w:bCs/>
          <w:noProof/>
        </w:rPr>
        <w:t xml:space="preserve"> </w:t>
      </w:r>
      <w:r w:rsidR="00421C30">
        <w:rPr>
          <w:noProof/>
        </w:rPr>
        <w:t xml:space="preserve">it builds on the measures of policy option 2 but introduces also mandatory regional planning and cost-sharing </w:t>
      </w:r>
      <w:r w:rsidR="00607538">
        <w:rPr>
          <w:noProof/>
        </w:rPr>
        <w:t>for offshore cross-border infrastructure projects.</w:t>
      </w:r>
      <w:r w:rsidR="000B1481">
        <w:rPr>
          <w:noProof/>
        </w:rPr>
        <w:t xml:space="preserve"> </w:t>
      </w:r>
      <w:r w:rsidR="00F3725B">
        <w:rPr>
          <w:noProof/>
        </w:rPr>
        <w:t>O</w:t>
      </w:r>
      <w:r w:rsidR="00D5292F">
        <w:rPr>
          <w:noProof/>
        </w:rPr>
        <w:t xml:space="preserve">n </w:t>
      </w:r>
      <w:r w:rsidR="00D5292F" w:rsidRPr="00F84C0E">
        <w:rPr>
          <w:i/>
          <w:iCs/>
          <w:noProof/>
        </w:rPr>
        <w:t>security</w:t>
      </w:r>
      <w:r w:rsidR="00D5292F" w:rsidRPr="000B1481">
        <w:rPr>
          <w:b/>
          <w:bCs/>
          <w:noProof/>
        </w:rPr>
        <w:t xml:space="preserve">, </w:t>
      </w:r>
      <w:r w:rsidR="00D5292F">
        <w:rPr>
          <w:noProof/>
        </w:rPr>
        <w:t xml:space="preserve">policy option 2 and 3 are identical. </w:t>
      </w:r>
    </w:p>
    <w:p w14:paraId="4E1B1A75" w14:textId="77777777" w:rsidR="00923EB2" w:rsidRDefault="00923EB2" w:rsidP="00F85AD4">
      <w:pPr>
        <w:rPr>
          <w:noProof/>
        </w:rPr>
      </w:pPr>
      <w:r>
        <w:rPr>
          <w:noProof/>
        </w:rPr>
        <w:t xml:space="preserve">The policy options were compared along their </w:t>
      </w:r>
      <w:r w:rsidRPr="005B5502">
        <w:rPr>
          <w:b/>
          <w:bCs/>
          <w:noProof/>
        </w:rPr>
        <w:t>effectiveness, efficiency, coherence, and proportionality</w:t>
      </w:r>
      <w:r>
        <w:rPr>
          <w:noProof/>
        </w:rPr>
        <w:t>. Policy option 2 and 3 are considered more</w:t>
      </w:r>
      <w:r w:rsidRPr="008113AD">
        <w:rPr>
          <w:noProof/>
        </w:rPr>
        <w:t xml:space="preserve"> effective, efficient an</w:t>
      </w:r>
      <w:r>
        <w:rPr>
          <w:noProof/>
        </w:rPr>
        <w:t>d</w:t>
      </w:r>
      <w:r w:rsidRPr="008113AD">
        <w:rPr>
          <w:noProof/>
        </w:rPr>
        <w:t xml:space="preserve"> coherent with the overall EU policy framework than </w:t>
      </w:r>
      <w:r>
        <w:rPr>
          <w:noProof/>
        </w:rPr>
        <w:t>policy option 1</w:t>
      </w:r>
      <w:r w:rsidRPr="008113AD">
        <w:rPr>
          <w:noProof/>
        </w:rPr>
        <w:t xml:space="preserve">. </w:t>
      </w:r>
      <w:r>
        <w:rPr>
          <w:noProof/>
        </w:rPr>
        <w:t xml:space="preserve">Policy option 1 </w:t>
      </w:r>
      <w:r w:rsidRPr="008113AD">
        <w:rPr>
          <w:noProof/>
        </w:rPr>
        <w:t xml:space="preserve">only performs slightly better in terms of subsidiarity and proportionality. Therefore, </w:t>
      </w:r>
      <w:r w:rsidR="002B2C43">
        <w:rPr>
          <w:noProof/>
        </w:rPr>
        <w:t>policy option 1</w:t>
      </w:r>
      <w:r w:rsidR="005B5502">
        <w:rPr>
          <w:noProof/>
        </w:rPr>
        <w:t xml:space="preserve"> </w:t>
      </w:r>
      <w:r w:rsidRPr="008113AD">
        <w:rPr>
          <w:noProof/>
        </w:rPr>
        <w:t>is not considered as possible preferred policy option.</w:t>
      </w:r>
      <w:r>
        <w:rPr>
          <w:noProof/>
        </w:rPr>
        <w:t xml:space="preserve"> While policy options 2 and 3</w:t>
      </w:r>
      <w:r w:rsidRPr="008113AD">
        <w:rPr>
          <w:noProof/>
        </w:rPr>
        <w:t xml:space="preserve"> </w:t>
      </w:r>
      <w:r>
        <w:rPr>
          <w:noProof/>
        </w:rPr>
        <w:t xml:space="preserve">both </w:t>
      </w:r>
      <w:r w:rsidRPr="008113AD">
        <w:rPr>
          <w:noProof/>
        </w:rPr>
        <w:t>perform</w:t>
      </w:r>
      <w:r>
        <w:rPr>
          <w:noProof/>
        </w:rPr>
        <w:t xml:space="preserve"> better than policy option 1 as</w:t>
      </w:r>
      <w:r w:rsidRPr="008113AD">
        <w:rPr>
          <w:noProof/>
        </w:rPr>
        <w:t xml:space="preserve"> conc</w:t>
      </w:r>
      <w:r>
        <w:rPr>
          <w:noProof/>
        </w:rPr>
        <w:t>erns</w:t>
      </w:r>
      <w:r w:rsidRPr="008113AD">
        <w:rPr>
          <w:noProof/>
        </w:rPr>
        <w:t xml:space="preserve"> their effectiveness in meeting the specific objectives, </w:t>
      </w:r>
      <w:r>
        <w:rPr>
          <w:noProof/>
        </w:rPr>
        <w:t>policy option 2</w:t>
      </w:r>
      <w:r w:rsidRPr="008113AD">
        <w:rPr>
          <w:noProof/>
        </w:rPr>
        <w:t xml:space="preserve"> </w:t>
      </w:r>
      <w:r>
        <w:rPr>
          <w:noProof/>
        </w:rPr>
        <w:t>seems overall</w:t>
      </w:r>
      <w:r w:rsidRPr="008113AD">
        <w:rPr>
          <w:noProof/>
        </w:rPr>
        <w:t xml:space="preserve"> more effective </w:t>
      </w:r>
      <w:r>
        <w:rPr>
          <w:noProof/>
        </w:rPr>
        <w:t xml:space="preserve">at this stage </w:t>
      </w:r>
      <w:r w:rsidRPr="008113AD">
        <w:rPr>
          <w:noProof/>
        </w:rPr>
        <w:t>when it comes to ensur</w:t>
      </w:r>
      <w:r>
        <w:rPr>
          <w:noProof/>
        </w:rPr>
        <w:t>ing</w:t>
      </w:r>
      <w:r w:rsidRPr="008113AD">
        <w:rPr>
          <w:noProof/>
        </w:rPr>
        <w:t xml:space="preserve"> that projects included in network plans and selected as PCI/PMIs address appropriately identified infrastructure needs as well as to shorten and simplify permitting procedures. As regards the efficiency</w:t>
      </w:r>
      <w:r w:rsidR="00122105">
        <w:rPr>
          <w:noProof/>
        </w:rPr>
        <w:t>,</w:t>
      </w:r>
      <w:r w:rsidRPr="008113AD">
        <w:rPr>
          <w:noProof/>
        </w:rPr>
        <w:t xml:space="preserve"> </w:t>
      </w:r>
      <w:r>
        <w:rPr>
          <w:noProof/>
        </w:rPr>
        <w:t xml:space="preserve">policy option 3 is considered </w:t>
      </w:r>
      <w:r w:rsidRPr="008113AD">
        <w:rPr>
          <w:noProof/>
        </w:rPr>
        <w:t xml:space="preserve">less efficient due to the additional resources needed and high-up front costs to set up two new entities at EU level (or reinforce existing ones) responsible for infrastructure planning and coordinated permitting procedures. In terms of subsidiarity and proportionality, measures proposed in </w:t>
      </w:r>
      <w:r>
        <w:rPr>
          <w:noProof/>
        </w:rPr>
        <w:t xml:space="preserve">policy option </w:t>
      </w:r>
      <w:r w:rsidRPr="008113AD">
        <w:rPr>
          <w:noProof/>
        </w:rPr>
        <w:t xml:space="preserve">3 </w:t>
      </w:r>
      <w:r>
        <w:rPr>
          <w:noProof/>
        </w:rPr>
        <w:t xml:space="preserve">(i.e. </w:t>
      </w:r>
      <w:r w:rsidRPr="008113AD">
        <w:rPr>
          <w:noProof/>
        </w:rPr>
        <w:t>EU entities responsible for infrastructure planning and permitting as well as mandatory offshore grid planning) with a high degree of EU level intervention appear disproportionate at this stage considering they do not result in a higher level of effectiveness</w:t>
      </w:r>
      <w:r>
        <w:rPr>
          <w:noProof/>
        </w:rPr>
        <w:t xml:space="preserve"> and are expected to entail substantially higher additional costs.</w:t>
      </w:r>
    </w:p>
    <w:p w14:paraId="00D2D04D" w14:textId="77777777" w:rsidR="002F3E5B" w:rsidRPr="002A75D5" w:rsidRDefault="00B40014" w:rsidP="00F85AD4">
      <w:pPr>
        <w:rPr>
          <w:noProof/>
        </w:rPr>
      </w:pPr>
      <w:r w:rsidRPr="00450D18">
        <w:rPr>
          <w:noProof/>
          <w:lang w:val="en-IE"/>
        </w:rPr>
        <w:t xml:space="preserve">Following </w:t>
      </w:r>
      <w:r w:rsidR="009A66BC">
        <w:rPr>
          <w:noProof/>
          <w:lang w:val="en-IE"/>
        </w:rPr>
        <w:t>comparison of the policy options</w:t>
      </w:r>
      <w:r w:rsidRPr="00450D18">
        <w:rPr>
          <w:noProof/>
          <w:lang w:val="en-IE"/>
        </w:rPr>
        <w:t xml:space="preserve">, </w:t>
      </w:r>
      <w:r w:rsidR="005F5463" w:rsidRPr="005F5463">
        <w:rPr>
          <w:b/>
          <w:bCs/>
          <w:noProof/>
          <w:lang w:val="en-IE"/>
        </w:rPr>
        <w:t>pol</w:t>
      </w:r>
      <w:r w:rsidRPr="005F5463">
        <w:rPr>
          <w:b/>
          <w:bCs/>
          <w:noProof/>
          <w:lang w:val="en-IE"/>
        </w:rPr>
        <w:t xml:space="preserve">icy </w:t>
      </w:r>
      <w:r w:rsidR="005F5463" w:rsidRPr="005F5463">
        <w:rPr>
          <w:b/>
          <w:bCs/>
          <w:noProof/>
          <w:lang w:val="en-IE"/>
        </w:rPr>
        <w:t>o</w:t>
      </w:r>
      <w:r w:rsidRPr="005F5463">
        <w:rPr>
          <w:b/>
          <w:bCs/>
          <w:noProof/>
          <w:lang w:val="en-IE"/>
        </w:rPr>
        <w:t>ption 2 was identified as the preferred option,</w:t>
      </w:r>
      <w:r>
        <w:rPr>
          <w:noProof/>
          <w:lang w:val="en-IE"/>
        </w:rPr>
        <w:t xml:space="preserve"> best suited to achieve the general and specific objectives of the initiative in a proportionate </w:t>
      </w:r>
      <w:r w:rsidR="00154F1D">
        <w:rPr>
          <w:noProof/>
          <w:lang w:val="en-IE"/>
        </w:rPr>
        <w:t xml:space="preserve">manner. </w:t>
      </w:r>
      <w:r w:rsidR="002F3E5B">
        <w:rPr>
          <w:noProof/>
          <w:lang w:val="en-IE"/>
        </w:rPr>
        <w:t xml:space="preserve">Policy option 2 </w:t>
      </w:r>
      <w:r w:rsidR="0077061E" w:rsidRPr="002A75D5">
        <w:rPr>
          <w:noProof/>
        </w:rPr>
        <w:t xml:space="preserve">is expected to </w:t>
      </w:r>
      <w:r w:rsidR="0077061E" w:rsidRPr="002A75D5">
        <w:rPr>
          <w:b/>
          <w:bCs/>
          <w:noProof/>
        </w:rPr>
        <w:t>have positive economic, social and environmental im</w:t>
      </w:r>
      <w:r w:rsidR="002F3E5B" w:rsidRPr="002A75D5">
        <w:rPr>
          <w:b/>
          <w:bCs/>
          <w:noProof/>
        </w:rPr>
        <w:t>pacts</w:t>
      </w:r>
      <w:r w:rsidR="007A531B" w:rsidRPr="002A75D5">
        <w:rPr>
          <w:noProof/>
        </w:rPr>
        <w:t xml:space="preserve">. </w:t>
      </w:r>
      <w:r w:rsidR="0000166A" w:rsidRPr="00450D18">
        <w:rPr>
          <w:noProof/>
          <w:color w:val="000000" w:themeColor="text1"/>
          <w:lang w:val="en-IE"/>
        </w:rPr>
        <w:t xml:space="preserve">The key target groups </w:t>
      </w:r>
      <w:r w:rsidR="001206EF">
        <w:rPr>
          <w:noProof/>
          <w:color w:val="000000" w:themeColor="text1"/>
          <w:lang w:val="en-IE"/>
        </w:rPr>
        <w:t xml:space="preserve">expected to be impacted </w:t>
      </w:r>
      <w:r w:rsidR="0000166A" w:rsidRPr="00450D18">
        <w:rPr>
          <w:noProof/>
          <w:color w:val="000000" w:themeColor="text1"/>
          <w:lang w:val="en-IE"/>
        </w:rPr>
        <w:t>by this initiative</w:t>
      </w:r>
      <w:r w:rsidR="001206EF">
        <w:rPr>
          <w:noProof/>
          <w:color w:val="000000" w:themeColor="text1"/>
          <w:lang w:val="en-IE"/>
        </w:rPr>
        <w:t xml:space="preserve"> are</w:t>
      </w:r>
      <w:r w:rsidR="0000166A" w:rsidRPr="00450D18">
        <w:rPr>
          <w:noProof/>
          <w:color w:val="000000" w:themeColor="text1"/>
          <w:lang w:val="en-IE"/>
        </w:rPr>
        <w:t xml:space="preserve"> European citizens and consumers, </w:t>
      </w:r>
      <w:r w:rsidR="0000166A">
        <w:rPr>
          <w:noProof/>
          <w:color w:val="000000" w:themeColor="text1"/>
          <w:lang w:val="en-IE"/>
        </w:rPr>
        <w:t>project promoters (including TSOs), European TSO associations (</w:t>
      </w:r>
      <w:r w:rsidR="00946412">
        <w:rPr>
          <w:noProof/>
          <w:color w:val="000000" w:themeColor="text1"/>
          <w:lang w:val="en-IE"/>
        </w:rPr>
        <w:t>ENTSO for Electricity</w:t>
      </w:r>
      <w:r w:rsidR="0000166A">
        <w:rPr>
          <w:noProof/>
          <w:color w:val="000000" w:themeColor="text1"/>
          <w:lang w:val="en-IE"/>
        </w:rPr>
        <w:t xml:space="preserve">, </w:t>
      </w:r>
      <w:r w:rsidR="00946412">
        <w:rPr>
          <w:noProof/>
          <w:color w:val="000000" w:themeColor="text1"/>
          <w:lang w:val="en-IE"/>
        </w:rPr>
        <w:t>ENTSO for Gas</w:t>
      </w:r>
      <w:r w:rsidR="0000166A">
        <w:rPr>
          <w:noProof/>
          <w:color w:val="000000" w:themeColor="text1"/>
          <w:lang w:val="en-IE"/>
        </w:rPr>
        <w:t>, and ENNOH), National Competent Authorities and their local and regional representatives, National Regulatory Authorities, European Union Regulators, Distribution system operators and DSO branch organisations, and energy producers/industry.</w:t>
      </w:r>
      <w:r w:rsidR="00F85AD4">
        <w:rPr>
          <w:rStyle w:val="CommentReference"/>
          <w:noProof/>
        </w:rPr>
        <w:t xml:space="preserve"> </w:t>
      </w:r>
    </w:p>
    <w:p w14:paraId="328DCCA0" w14:textId="77777777" w:rsidR="00EE426D" w:rsidRPr="00F40D9F" w:rsidRDefault="002F3E5B" w:rsidP="00F85AD4">
      <w:pPr>
        <w:rPr>
          <w:noProof/>
          <w:color w:val="000000" w:themeColor="text1"/>
          <w:lang w:val="en-IE"/>
        </w:rPr>
      </w:pPr>
      <w:r w:rsidRPr="002A75D5">
        <w:rPr>
          <w:noProof/>
        </w:rPr>
        <w:t>As regards e</w:t>
      </w:r>
      <w:r w:rsidR="00EA3280" w:rsidRPr="002A75D5">
        <w:rPr>
          <w:noProof/>
        </w:rPr>
        <w:t>conomic impacts</w:t>
      </w:r>
      <w:r w:rsidRPr="002A75D5">
        <w:rPr>
          <w:noProof/>
        </w:rPr>
        <w:t>,</w:t>
      </w:r>
      <w:r w:rsidR="00B40014" w:rsidRPr="002A75D5">
        <w:rPr>
          <w:noProof/>
        </w:rPr>
        <w:t xml:space="preserve"> </w:t>
      </w:r>
      <w:r w:rsidRPr="002A75D5">
        <w:rPr>
          <w:noProof/>
        </w:rPr>
        <w:t>it</w:t>
      </w:r>
      <w:r w:rsidR="00B40014" w:rsidRPr="002A75D5">
        <w:rPr>
          <w:noProof/>
        </w:rPr>
        <w:t xml:space="preserve"> is expected to significantly reduce energy system costs in line with the optimal grid scenario </w:t>
      </w:r>
      <w:r w:rsidR="00B40014" w:rsidRPr="008113AD">
        <w:rPr>
          <w:noProof/>
        </w:rPr>
        <w:t xml:space="preserve">by ensuring that </w:t>
      </w:r>
      <w:r w:rsidR="00B40014" w:rsidRPr="002F3E5B">
        <w:rPr>
          <w:iCs/>
          <w:noProof/>
        </w:rPr>
        <w:t>identified projects better match and fully cover the identified needs</w:t>
      </w:r>
      <w:r w:rsidR="00B40014" w:rsidRPr="002A75D5">
        <w:rPr>
          <w:noProof/>
        </w:rPr>
        <w:t>.</w:t>
      </w:r>
      <w:r w:rsidR="00F85AD4" w:rsidRPr="002A75D5">
        <w:rPr>
          <w:noProof/>
        </w:rPr>
        <w:t xml:space="preserve"> </w:t>
      </w:r>
      <w:r w:rsidR="00B40014" w:rsidRPr="008113AD">
        <w:rPr>
          <w:noProof/>
        </w:rPr>
        <w:t>For 2040, investments of EUR 6 bn/year into the optimal grid would lead to EUR 14 bn/year reduction in system costs, that is EUR 8 bn/year net saving</w:t>
      </w:r>
      <w:r w:rsidR="00B40014">
        <w:rPr>
          <w:noProof/>
        </w:rPr>
        <w:t>. It is also expected to have a substantial impact on wholesale electricity prices by improving interconnectivity</w:t>
      </w:r>
      <w:r w:rsidR="009063DF">
        <w:rPr>
          <w:noProof/>
        </w:rPr>
        <w:t xml:space="preserve">, leading </w:t>
      </w:r>
      <w:r w:rsidR="00B40014" w:rsidRPr="008113AD">
        <w:rPr>
          <w:noProof/>
        </w:rPr>
        <w:t>to price convergence and</w:t>
      </w:r>
      <w:r w:rsidR="00B40014">
        <w:rPr>
          <w:noProof/>
        </w:rPr>
        <w:t>,</w:t>
      </w:r>
      <w:r w:rsidR="00B40014" w:rsidRPr="008113AD">
        <w:rPr>
          <w:noProof/>
        </w:rPr>
        <w:t xml:space="preserve"> overall</w:t>
      </w:r>
      <w:r w:rsidR="00B40014">
        <w:rPr>
          <w:noProof/>
        </w:rPr>
        <w:t>,</w:t>
      </w:r>
      <w:r w:rsidR="00B40014" w:rsidRPr="008113AD">
        <w:rPr>
          <w:noProof/>
        </w:rPr>
        <w:t xml:space="preserve"> more stable and lower prices</w:t>
      </w:r>
      <w:r w:rsidR="00A8111D">
        <w:rPr>
          <w:noProof/>
        </w:rPr>
        <w:t>, across the EU</w:t>
      </w:r>
      <w:r w:rsidR="004F4D37">
        <w:rPr>
          <w:noProof/>
        </w:rPr>
        <w:t>.</w:t>
      </w:r>
      <w:r w:rsidR="00B40014" w:rsidRPr="008113AD">
        <w:rPr>
          <w:noProof/>
        </w:rPr>
        <w:t xml:space="preserve"> </w:t>
      </w:r>
      <w:r w:rsidR="00EE426D" w:rsidRPr="00F40D9F">
        <w:rPr>
          <w:noProof/>
          <w:color w:val="000000" w:themeColor="text1"/>
          <w:lang w:val="en-IE"/>
        </w:rPr>
        <w:t xml:space="preserve">An improved </w:t>
      </w:r>
      <w:r w:rsidR="00EE426D" w:rsidRPr="009063DF">
        <w:rPr>
          <w:noProof/>
          <w:color w:val="000000" w:themeColor="text1"/>
          <w:lang w:val="en-IE"/>
        </w:rPr>
        <w:t>cost-sharing framework</w:t>
      </w:r>
      <w:r w:rsidR="00EE426D" w:rsidRPr="00F40D9F">
        <w:rPr>
          <w:b/>
          <w:bCs/>
          <w:noProof/>
          <w:color w:val="000000" w:themeColor="text1"/>
          <w:lang w:val="en-IE"/>
        </w:rPr>
        <w:t xml:space="preserve"> </w:t>
      </w:r>
      <w:r w:rsidR="00AC2703">
        <w:rPr>
          <w:noProof/>
          <w:color w:val="000000" w:themeColor="text1"/>
          <w:lang w:val="en-IE"/>
        </w:rPr>
        <w:t>should</w:t>
      </w:r>
      <w:r w:rsidR="00EE426D" w:rsidRPr="00F40D9F">
        <w:rPr>
          <w:noProof/>
          <w:color w:val="000000" w:themeColor="text1"/>
          <w:lang w:val="en-IE"/>
        </w:rPr>
        <w:t xml:space="preserve"> facilitate the materialisation and quicker implementation of cross-border projects, with significant socio-economic welfare </w:t>
      </w:r>
      <w:r w:rsidR="00AC2703">
        <w:rPr>
          <w:noProof/>
          <w:color w:val="000000" w:themeColor="text1"/>
          <w:lang w:val="en-IE"/>
        </w:rPr>
        <w:t>gains.</w:t>
      </w:r>
      <w:r w:rsidR="00EE426D" w:rsidRPr="00F40D9F">
        <w:rPr>
          <w:noProof/>
          <w:color w:val="000000" w:themeColor="text1"/>
          <w:lang w:val="en-IE"/>
        </w:rPr>
        <w:t xml:space="preserve"> Further, </w:t>
      </w:r>
      <w:r w:rsidR="00AC2703">
        <w:rPr>
          <w:noProof/>
          <w:color w:val="000000" w:themeColor="text1"/>
          <w:lang w:val="en-IE"/>
        </w:rPr>
        <w:t>quicker</w:t>
      </w:r>
      <w:r w:rsidR="00EE426D" w:rsidRPr="00F40D9F">
        <w:rPr>
          <w:noProof/>
          <w:color w:val="000000" w:themeColor="text1"/>
          <w:lang w:val="en-IE"/>
        </w:rPr>
        <w:t xml:space="preserve"> </w:t>
      </w:r>
      <w:r w:rsidR="00EE426D" w:rsidRPr="009063DF">
        <w:rPr>
          <w:noProof/>
          <w:color w:val="000000" w:themeColor="text1"/>
          <w:lang w:val="en-IE"/>
        </w:rPr>
        <w:t>permitting times</w:t>
      </w:r>
      <w:r w:rsidR="00EE426D" w:rsidRPr="00F40D9F">
        <w:rPr>
          <w:b/>
          <w:bCs/>
          <w:noProof/>
          <w:color w:val="000000" w:themeColor="text1"/>
          <w:lang w:val="en-IE"/>
        </w:rPr>
        <w:t xml:space="preserve"> </w:t>
      </w:r>
      <w:r w:rsidR="00EE426D" w:rsidRPr="00F40D9F">
        <w:rPr>
          <w:noProof/>
          <w:color w:val="000000" w:themeColor="text1"/>
          <w:lang w:val="en-IE"/>
        </w:rPr>
        <w:t xml:space="preserve">and thereby project implementation, </w:t>
      </w:r>
      <w:r w:rsidR="00AC2703">
        <w:rPr>
          <w:noProof/>
          <w:color w:val="000000" w:themeColor="text1"/>
          <w:lang w:val="en-IE"/>
        </w:rPr>
        <w:t>is expected to</w:t>
      </w:r>
      <w:r w:rsidR="00EE426D" w:rsidRPr="00F40D9F">
        <w:rPr>
          <w:noProof/>
          <w:color w:val="000000" w:themeColor="text1"/>
          <w:lang w:val="en-IE"/>
        </w:rPr>
        <w:t xml:space="preserve"> generate </w:t>
      </w:r>
      <w:r w:rsidR="00AC2703">
        <w:rPr>
          <w:noProof/>
          <w:color w:val="000000" w:themeColor="text1"/>
          <w:lang w:val="en-IE"/>
        </w:rPr>
        <w:t xml:space="preserve">economic </w:t>
      </w:r>
      <w:r w:rsidR="00EE426D" w:rsidRPr="00F40D9F">
        <w:rPr>
          <w:noProof/>
          <w:color w:val="000000" w:themeColor="text1"/>
          <w:lang w:val="en-IE"/>
        </w:rPr>
        <w:t xml:space="preserve">benefits in terms of avoided costs of delays for project promoters. Finally, through improved </w:t>
      </w:r>
      <w:r w:rsidR="00EE426D" w:rsidRPr="009063DF">
        <w:rPr>
          <w:noProof/>
          <w:color w:val="000000" w:themeColor="text1"/>
          <w:lang w:val="en-IE"/>
        </w:rPr>
        <w:t>energy infrastructure security</w:t>
      </w:r>
      <w:r w:rsidR="00EE426D" w:rsidRPr="00F40D9F">
        <w:rPr>
          <w:noProof/>
          <w:color w:val="000000" w:themeColor="text1"/>
          <w:lang w:val="en-IE"/>
        </w:rPr>
        <w:t xml:space="preserve">, </w:t>
      </w:r>
      <w:r w:rsidR="00AC2703">
        <w:rPr>
          <w:noProof/>
          <w:color w:val="000000" w:themeColor="text1"/>
          <w:lang w:val="en-IE"/>
        </w:rPr>
        <w:t>the preferred option c</w:t>
      </w:r>
      <w:r w:rsidR="00EE426D" w:rsidRPr="00F40D9F">
        <w:rPr>
          <w:noProof/>
          <w:color w:val="000000" w:themeColor="text1"/>
          <w:lang w:val="en-IE"/>
        </w:rPr>
        <w:t xml:space="preserve">ould bring about benefits in terms of avoided loss of economic welfare and of costs of repairs. </w:t>
      </w:r>
    </w:p>
    <w:p w14:paraId="04EFE7E0" w14:textId="77777777" w:rsidR="00E539DD" w:rsidRPr="009063DF" w:rsidRDefault="00E03FE4" w:rsidP="00F85AD4">
      <w:pPr>
        <w:rPr>
          <w:noProof/>
          <w:lang w:val="en-IE"/>
        </w:rPr>
      </w:pPr>
      <w:r>
        <w:rPr>
          <w:noProof/>
        </w:rPr>
        <w:t>E</w:t>
      </w:r>
      <w:r w:rsidR="00B40014">
        <w:rPr>
          <w:noProof/>
        </w:rPr>
        <w:t>nergy system cost reductions</w:t>
      </w:r>
      <w:r>
        <w:rPr>
          <w:noProof/>
        </w:rPr>
        <w:t xml:space="preserve"> are expected to have positive implications for </w:t>
      </w:r>
      <w:r w:rsidRPr="00E03FE4">
        <w:rPr>
          <w:i/>
          <w:iCs/>
          <w:noProof/>
        </w:rPr>
        <w:t>competitiveness</w:t>
      </w:r>
      <w:r>
        <w:rPr>
          <w:i/>
          <w:iCs/>
          <w:noProof/>
        </w:rPr>
        <w:t xml:space="preserve">, </w:t>
      </w:r>
      <w:r>
        <w:rPr>
          <w:noProof/>
        </w:rPr>
        <w:t>through avoided costs and</w:t>
      </w:r>
      <w:r w:rsidR="00D1298A">
        <w:rPr>
          <w:noProof/>
        </w:rPr>
        <w:t xml:space="preserve"> mitigating</w:t>
      </w:r>
      <w:r>
        <w:rPr>
          <w:noProof/>
        </w:rPr>
        <w:t xml:space="preserve"> network tariff increases</w:t>
      </w:r>
      <w:r w:rsidR="00D1298A">
        <w:rPr>
          <w:noProof/>
        </w:rPr>
        <w:t xml:space="preserve"> for consumers, including indust</w:t>
      </w:r>
      <w:r w:rsidR="0065321B">
        <w:rPr>
          <w:noProof/>
        </w:rPr>
        <w:t>r</w:t>
      </w:r>
      <w:r w:rsidR="00D1298A">
        <w:rPr>
          <w:noProof/>
        </w:rPr>
        <w:t>y</w:t>
      </w:r>
      <w:r>
        <w:rPr>
          <w:noProof/>
        </w:rPr>
        <w:t xml:space="preserve">. </w:t>
      </w:r>
      <w:r w:rsidR="00B40014">
        <w:rPr>
          <w:noProof/>
        </w:rPr>
        <w:t xml:space="preserve">The preferred option also shows positive impacts on </w:t>
      </w:r>
      <w:r w:rsidR="00B40014">
        <w:rPr>
          <w:i/>
          <w:iCs/>
          <w:noProof/>
        </w:rPr>
        <w:t xml:space="preserve">digitalisation, </w:t>
      </w:r>
      <w:r w:rsidR="00B40014">
        <w:rPr>
          <w:noProof/>
        </w:rPr>
        <w:t xml:space="preserve">through stronger emphasis on the use of non-wire solutions in grid </w:t>
      </w:r>
      <w:r>
        <w:rPr>
          <w:noProof/>
        </w:rPr>
        <w:t xml:space="preserve">planning and digitalisation of permitting procedures. </w:t>
      </w:r>
      <w:r w:rsidR="00F6647F">
        <w:rPr>
          <w:noProof/>
          <w:color w:val="000000" w:themeColor="text1"/>
        </w:rPr>
        <w:t xml:space="preserve">The preferred option </w:t>
      </w:r>
      <w:r w:rsidR="00651495">
        <w:rPr>
          <w:noProof/>
          <w:color w:val="000000" w:themeColor="text1"/>
        </w:rPr>
        <w:t>overall</w:t>
      </w:r>
      <w:r w:rsidR="00F6647F">
        <w:rPr>
          <w:noProof/>
          <w:color w:val="000000" w:themeColor="text1"/>
        </w:rPr>
        <w:t xml:space="preserve"> </w:t>
      </w:r>
      <w:r w:rsidR="00F6647F" w:rsidRPr="6930FFDF">
        <w:rPr>
          <w:noProof/>
          <w:color w:val="000000" w:themeColor="text1"/>
        </w:rPr>
        <w:t xml:space="preserve">expected to </w:t>
      </w:r>
      <w:r w:rsidR="00F6647F" w:rsidRPr="009063DF">
        <w:rPr>
          <w:bCs/>
          <w:i/>
          <w:iCs/>
          <w:noProof/>
          <w:color w:val="000000" w:themeColor="text1"/>
        </w:rPr>
        <w:t>reduce administrative and adjustment costs</w:t>
      </w:r>
      <w:r w:rsidR="00F6647F" w:rsidRPr="6930FFDF">
        <w:rPr>
          <w:b/>
          <w:noProof/>
          <w:color w:val="000000" w:themeColor="text1"/>
        </w:rPr>
        <w:t xml:space="preserve"> </w:t>
      </w:r>
      <w:r w:rsidR="00F6647F" w:rsidRPr="6930FFDF">
        <w:rPr>
          <w:noProof/>
          <w:color w:val="000000" w:themeColor="text1"/>
        </w:rPr>
        <w:t>for businesses (including energy generators, project promoters, TSOs and ENTSOs) through streamlining infrastructure planning, PCI/PMI application and evaluation processes as well as permitting procedures.</w:t>
      </w:r>
      <w:r w:rsidR="00E539DD" w:rsidRPr="00F40D9F">
        <w:rPr>
          <w:noProof/>
          <w:color w:val="000000" w:themeColor="text1"/>
          <w:lang w:val="en-IE"/>
        </w:rPr>
        <w:t xml:space="preserve">While the annual costs savings for businesses cannot be fully estimated as </w:t>
      </w:r>
      <w:r w:rsidR="00E539DD">
        <w:rPr>
          <w:noProof/>
          <w:color w:val="000000" w:themeColor="text1"/>
          <w:lang w:val="en-IE"/>
        </w:rPr>
        <w:t>r</w:t>
      </w:r>
      <w:r w:rsidR="00E539DD" w:rsidRPr="00F40D9F">
        <w:rPr>
          <w:noProof/>
          <w:color w:val="000000" w:themeColor="text1"/>
          <w:lang w:val="en-IE"/>
        </w:rPr>
        <w:t xml:space="preserve">elevant data were not available, it can be concluded that </w:t>
      </w:r>
      <w:r w:rsidR="009063DF">
        <w:rPr>
          <w:noProof/>
          <w:color w:val="000000" w:themeColor="text1"/>
          <w:lang w:val="en-IE"/>
        </w:rPr>
        <w:t>the preferred option</w:t>
      </w:r>
      <w:r w:rsidR="00893DE0">
        <w:rPr>
          <w:noProof/>
          <w:color w:val="000000" w:themeColor="text1"/>
          <w:lang w:val="en-IE"/>
        </w:rPr>
        <w:t xml:space="preserve"> </w:t>
      </w:r>
      <w:r w:rsidR="00E539DD" w:rsidRPr="00F40D9F">
        <w:rPr>
          <w:noProof/>
          <w:color w:val="000000" w:themeColor="text1"/>
          <w:lang w:val="en-IE"/>
        </w:rPr>
        <w:t xml:space="preserve">would lead to recurrent cost saving. For </w:t>
      </w:r>
      <w:r w:rsidR="00E539DD" w:rsidRPr="00893DE0">
        <w:rPr>
          <w:noProof/>
          <w:color w:val="000000" w:themeColor="text1"/>
          <w:lang w:val="en-IE"/>
        </w:rPr>
        <w:t>Member States and national authorities,</w:t>
      </w:r>
      <w:r w:rsidR="00E539DD" w:rsidRPr="00F40D9F">
        <w:rPr>
          <w:noProof/>
          <w:color w:val="000000" w:themeColor="text1"/>
          <w:lang w:val="en-IE"/>
        </w:rPr>
        <w:t xml:space="preserve"> </w:t>
      </w:r>
      <w:r w:rsidR="00914E36">
        <w:rPr>
          <w:noProof/>
          <w:color w:val="000000" w:themeColor="text1"/>
          <w:lang w:val="en-IE"/>
        </w:rPr>
        <w:t>policy option 2</w:t>
      </w:r>
      <w:r w:rsidR="00E539DD" w:rsidRPr="00F40D9F">
        <w:rPr>
          <w:noProof/>
          <w:color w:val="000000" w:themeColor="text1"/>
          <w:lang w:val="en-IE"/>
        </w:rPr>
        <w:t xml:space="preserve"> would create additional administrative costs in the short-term, related to the implementation of revised legislative framework</w:t>
      </w:r>
      <w:r w:rsidR="00551ADC">
        <w:rPr>
          <w:noProof/>
          <w:color w:val="000000" w:themeColor="text1"/>
          <w:lang w:val="en-IE"/>
        </w:rPr>
        <w:t>.</w:t>
      </w:r>
    </w:p>
    <w:p w14:paraId="029F41E0" w14:textId="77777777" w:rsidR="00CF2160" w:rsidRPr="009D2298" w:rsidRDefault="00CF2160" w:rsidP="00F85AD4">
      <w:pPr>
        <w:rPr>
          <w:b/>
          <w:bCs/>
          <w:noProof/>
        </w:rPr>
      </w:pPr>
      <w:r>
        <w:rPr>
          <w:noProof/>
        </w:rPr>
        <w:t xml:space="preserve">The initiative is expected to have positive </w:t>
      </w:r>
      <w:r>
        <w:rPr>
          <w:i/>
          <w:iCs/>
          <w:noProof/>
        </w:rPr>
        <w:t>social impacts</w:t>
      </w:r>
      <w:r w:rsidR="006E49D4">
        <w:rPr>
          <w:i/>
          <w:iCs/>
          <w:noProof/>
        </w:rPr>
        <w:t xml:space="preserve">, </w:t>
      </w:r>
      <w:r w:rsidR="006E49D4">
        <w:rPr>
          <w:noProof/>
        </w:rPr>
        <w:t>though the quantitative impacts and distributional effects are difficult to estimate. A</w:t>
      </w:r>
      <w:r w:rsidR="009D2298">
        <w:rPr>
          <w:noProof/>
        </w:rPr>
        <w:t xml:space="preserve">n optimised grid planning </w:t>
      </w:r>
      <w:r w:rsidR="00ED367A">
        <w:rPr>
          <w:noProof/>
        </w:rPr>
        <w:t xml:space="preserve">based on precise estimates of </w:t>
      </w:r>
      <w:r w:rsidR="00DE0501">
        <w:rPr>
          <w:noProof/>
        </w:rPr>
        <w:t xml:space="preserve">future development of </w:t>
      </w:r>
      <w:r w:rsidR="00EB28AC">
        <w:rPr>
          <w:noProof/>
        </w:rPr>
        <w:t xml:space="preserve">demand and supply </w:t>
      </w:r>
      <w:r w:rsidR="009D2298">
        <w:rPr>
          <w:noProof/>
        </w:rPr>
        <w:t>should avoid future stranded assets</w:t>
      </w:r>
      <w:r w:rsidR="006E49D4">
        <w:rPr>
          <w:noProof/>
        </w:rPr>
        <w:t>, minimising grid costs for consumers, a</w:t>
      </w:r>
      <w:r w:rsidR="009D2298">
        <w:rPr>
          <w:noProof/>
        </w:rPr>
        <w:t>nd enable further electrification allowing to spread grid investment costs over a higher number of kWh.</w:t>
      </w:r>
      <w:r w:rsidR="000434D7">
        <w:rPr>
          <w:noProof/>
        </w:rPr>
        <w:t xml:space="preserve"> </w:t>
      </w:r>
    </w:p>
    <w:p w14:paraId="32AEE0C4" w14:textId="77777777" w:rsidR="00B40014" w:rsidRPr="008067F5" w:rsidRDefault="00B40014" w:rsidP="00F85AD4">
      <w:pPr>
        <w:rPr>
          <w:rFonts w:eastAsia="Arial Unicode MS"/>
          <w:noProof/>
          <w:color w:val="000000" w:themeColor="text1"/>
        </w:rPr>
      </w:pPr>
      <w:r w:rsidRPr="00F40D9F">
        <w:rPr>
          <w:rFonts w:eastAsia="Arial Unicode MS"/>
          <w:noProof/>
          <w:color w:val="000000" w:themeColor="text1"/>
          <w:lang w:val="en-IE"/>
        </w:rPr>
        <w:t xml:space="preserve">As regards </w:t>
      </w:r>
      <w:r w:rsidRPr="00467259">
        <w:rPr>
          <w:rFonts w:eastAsia="Arial Unicode MS"/>
          <w:i/>
          <w:iCs/>
          <w:noProof/>
          <w:color w:val="000000" w:themeColor="text1"/>
          <w:lang w:val="en-IE"/>
        </w:rPr>
        <w:t>environmental benefits</w:t>
      </w:r>
      <w:r w:rsidRPr="00F40D9F">
        <w:rPr>
          <w:rFonts w:eastAsia="Arial Unicode MS"/>
          <w:noProof/>
          <w:color w:val="000000" w:themeColor="text1"/>
          <w:lang w:val="en-IE"/>
        </w:rPr>
        <w:t xml:space="preserve">, the preferred policy option </w:t>
      </w:r>
      <w:r w:rsidR="00EC49FD">
        <w:rPr>
          <w:rFonts w:eastAsia="Arial Unicode MS"/>
          <w:noProof/>
          <w:color w:val="000000" w:themeColor="text1"/>
          <w:lang w:val="en-IE"/>
        </w:rPr>
        <w:t xml:space="preserve">is expected to </w:t>
      </w:r>
      <w:r w:rsidRPr="00F40D9F">
        <w:rPr>
          <w:rFonts w:eastAsia="Arial Unicode MS"/>
          <w:noProof/>
          <w:color w:val="000000" w:themeColor="text1"/>
          <w:lang w:val="en-IE"/>
        </w:rPr>
        <w:t>lead to a reduction of CO2 emissions (around 27 Mtonnes/year</w:t>
      </w:r>
      <w:r w:rsidR="00EC49FD">
        <w:rPr>
          <w:rFonts w:eastAsia="Arial Unicode MS"/>
          <w:noProof/>
          <w:color w:val="000000" w:themeColor="text1"/>
          <w:lang w:val="en-IE"/>
        </w:rPr>
        <w:t>)</w:t>
      </w:r>
      <w:r w:rsidR="00766BF1">
        <w:rPr>
          <w:rFonts w:eastAsia="Arial Unicode MS"/>
          <w:noProof/>
          <w:color w:val="000000" w:themeColor="text1"/>
          <w:lang w:val="en-IE"/>
        </w:rPr>
        <w:t xml:space="preserve"> by aligning with the optimal grid scenario</w:t>
      </w:r>
      <w:r w:rsidR="00986106">
        <w:rPr>
          <w:rFonts w:eastAsia="Arial Unicode MS"/>
          <w:noProof/>
          <w:color w:val="000000" w:themeColor="text1"/>
          <w:lang w:val="en-IE"/>
        </w:rPr>
        <w:t xml:space="preserve"> and decreasing renewable e</w:t>
      </w:r>
      <w:r w:rsidR="007933FA">
        <w:rPr>
          <w:rFonts w:eastAsia="Arial Unicode MS"/>
          <w:noProof/>
          <w:color w:val="000000" w:themeColor="text1"/>
          <w:lang w:val="en-IE"/>
        </w:rPr>
        <w:t>n</w:t>
      </w:r>
      <w:r w:rsidR="00986106">
        <w:rPr>
          <w:rFonts w:eastAsia="Arial Unicode MS"/>
          <w:noProof/>
          <w:color w:val="000000" w:themeColor="text1"/>
          <w:lang w:val="en-IE"/>
        </w:rPr>
        <w:t>ergy curtailment</w:t>
      </w:r>
      <w:r>
        <w:rPr>
          <w:rFonts w:eastAsia="Arial Unicode MS"/>
          <w:noProof/>
          <w:color w:val="000000" w:themeColor="text1"/>
          <w:lang w:val="en-IE"/>
        </w:rPr>
        <w:t>.</w:t>
      </w:r>
      <w:r w:rsidRPr="00467259">
        <w:rPr>
          <w:noProof/>
        </w:rPr>
        <w:t xml:space="preserve"> </w:t>
      </w:r>
      <w:r w:rsidRPr="008113AD">
        <w:rPr>
          <w:noProof/>
        </w:rPr>
        <w:t>The additional 108 GW cross-border capacities needed by 2040 in line with the</w:t>
      </w:r>
      <w:r>
        <w:rPr>
          <w:noProof/>
        </w:rPr>
        <w:t xml:space="preserve"> 2024</w:t>
      </w:r>
      <w:r w:rsidRPr="008113AD">
        <w:rPr>
          <w:noProof/>
        </w:rPr>
        <w:t xml:space="preserve"> TYNDP</w:t>
      </w:r>
      <w:r>
        <w:rPr>
          <w:noProof/>
        </w:rPr>
        <w:t xml:space="preserve"> </w:t>
      </w:r>
      <w:r w:rsidRPr="008113AD">
        <w:rPr>
          <w:noProof/>
        </w:rPr>
        <w:t xml:space="preserve">would also allow to substitute 65 TWh of electricity produced by gas </w:t>
      </w:r>
      <w:r w:rsidR="00817AC9">
        <w:rPr>
          <w:noProof/>
        </w:rPr>
        <w:t>with</w:t>
      </w:r>
      <w:r w:rsidR="00817AC9" w:rsidRPr="008113AD">
        <w:rPr>
          <w:noProof/>
        </w:rPr>
        <w:t xml:space="preserve"> </w:t>
      </w:r>
      <w:r w:rsidRPr="008113AD">
        <w:rPr>
          <w:noProof/>
        </w:rPr>
        <w:t>RES generation, by allowing a better integration of non-CO</w:t>
      </w:r>
      <w:r w:rsidRPr="008113AD">
        <w:rPr>
          <w:noProof/>
          <w:vertAlign w:val="subscript"/>
        </w:rPr>
        <w:t>2</w:t>
      </w:r>
      <w:r w:rsidRPr="008113AD">
        <w:rPr>
          <w:noProof/>
        </w:rPr>
        <w:t xml:space="preserve"> emitting generation, leading to a significant reduction of European CO</w:t>
      </w:r>
      <w:r w:rsidRPr="008113AD">
        <w:rPr>
          <w:noProof/>
          <w:vertAlign w:val="subscript"/>
        </w:rPr>
        <w:t>2</w:t>
      </w:r>
      <w:r w:rsidRPr="008113AD">
        <w:rPr>
          <w:noProof/>
        </w:rPr>
        <w:t xml:space="preserve"> emissions estimated at 27 </w:t>
      </w:r>
      <w:r>
        <w:rPr>
          <w:noProof/>
        </w:rPr>
        <w:t xml:space="preserve">million </w:t>
      </w:r>
      <w:r w:rsidRPr="008113AD">
        <w:rPr>
          <w:noProof/>
        </w:rPr>
        <w:t>ton</w:t>
      </w:r>
      <w:r>
        <w:rPr>
          <w:noProof/>
        </w:rPr>
        <w:t>nes</w:t>
      </w:r>
      <w:r w:rsidRPr="008113AD">
        <w:rPr>
          <w:noProof/>
        </w:rPr>
        <w:t xml:space="preserve"> of CO</w:t>
      </w:r>
      <w:r w:rsidRPr="008113AD">
        <w:rPr>
          <w:noProof/>
          <w:vertAlign w:val="subscript"/>
        </w:rPr>
        <w:t>2</w:t>
      </w:r>
      <w:r w:rsidRPr="008113AD">
        <w:rPr>
          <w:noProof/>
        </w:rPr>
        <w:t xml:space="preserve"> emissions avoided in 2040.</w:t>
      </w:r>
      <w:r w:rsidRPr="005A3B7D">
        <w:rPr>
          <w:rStyle w:val="FootnoteReference"/>
          <w:noProof/>
        </w:rPr>
        <w:footnoteReference w:id="30"/>
      </w:r>
      <w:r>
        <w:rPr>
          <w:noProof/>
        </w:rPr>
        <w:t xml:space="preserve"> </w:t>
      </w:r>
      <w:r w:rsidR="00471663">
        <w:rPr>
          <w:noProof/>
        </w:rPr>
        <w:t xml:space="preserve">As regards permitting, </w:t>
      </w:r>
      <w:r w:rsidR="00830345">
        <w:rPr>
          <w:noProof/>
        </w:rPr>
        <w:t xml:space="preserve">environmental impacts are highly dependent on </w:t>
      </w:r>
      <w:r w:rsidR="00813630">
        <w:rPr>
          <w:noProof/>
        </w:rPr>
        <w:t xml:space="preserve">the technology used and the assets’ location </w:t>
      </w:r>
      <w:r w:rsidR="00677D22">
        <w:rPr>
          <w:noProof/>
          <w:color w:val="333333"/>
        </w:rPr>
        <w:t xml:space="preserve"> </w:t>
      </w:r>
      <w:r w:rsidR="00ED5F0E">
        <w:rPr>
          <w:noProof/>
          <w:color w:val="333333"/>
        </w:rPr>
        <w:t xml:space="preserve">and the environmental status of the surrounding fauna and flora. </w:t>
      </w:r>
      <w:r w:rsidR="00A25EC4">
        <w:rPr>
          <w:noProof/>
          <w:color w:val="333333"/>
        </w:rPr>
        <w:t>The potential impacts are however addressed in the design of the proposed measures through introducing safeguard</w:t>
      </w:r>
      <w:r w:rsidR="00801DFE">
        <w:rPr>
          <w:noProof/>
          <w:color w:val="333333"/>
        </w:rPr>
        <w:t xml:space="preserve">s. </w:t>
      </w:r>
    </w:p>
    <w:p w14:paraId="79F18BBE" w14:textId="77777777" w:rsidR="003E7EA6" w:rsidRDefault="003E7EA6">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14:paraId="428AEAA0" w14:textId="77777777" w:rsidR="00BA0664" w:rsidRDefault="002727B7" w:rsidP="00F85AD4">
      <w:pPr>
        <w:rPr>
          <w:noProof/>
        </w:rPr>
      </w:pPr>
      <w:r w:rsidRPr="008113AD">
        <w:rPr>
          <w:noProof/>
        </w:rPr>
        <w:t xml:space="preserve">The </w:t>
      </w:r>
      <w:r w:rsidR="001B10F0">
        <w:rPr>
          <w:noProof/>
        </w:rPr>
        <w:t xml:space="preserve">revised TEN-E Regulation is expected to bring </w:t>
      </w:r>
      <w:r w:rsidRPr="008113AD">
        <w:rPr>
          <w:noProof/>
        </w:rPr>
        <w:t>positive impacts in terms of simplification and improved efficiency</w:t>
      </w:r>
      <w:r w:rsidR="00C62DC9">
        <w:rPr>
          <w:noProof/>
        </w:rPr>
        <w:t xml:space="preserve">. </w:t>
      </w:r>
      <w:r w:rsidR="00C62DC9">
        <w:rPr>
          <w:rFonts w:eastAsia="Arial Unicode MS"/>
          <w:noProof/>
        </w:rPr>
        <w:t xml:space="preserve">The initiative </w:t>
      </w:r>
      <w:r w:rsidR="00E541A6">
        <w:rPr>
          <w:rFonts w:eastAsia="Arial Unicode MS"/>
          <w:noProof/>
        </w:rPr>
        <w:t xml:space="preserve">is expected to </w:t>
      </w:r>
      <w:r w:rsidR="00C62DC9">
        <w:rPr>
          <w:rFonts w:eastAsia="Arial Unicode MS"/>
          <w:noProof/>
        </w:rPr>
        <w:t xml:space="preserve">reduce the administrative burden </w:t>
      </w:r>
      <w:r w:rsidR="00E541A6" w:rsidRPr="008113AD">
        <w:rPr>
          <w:noProof/>
        </w:rPr>
        <w:t xml:space="preserve">on ENTSOs, TSOs and project promoters </w:t>
      </w:r>
      <w:r w:rsidR="00E541A6">
        <w:rPr>
          <w:noProof/>
        </w:rPr>
        <w:t xml:space="preserve">notably as regards infrastructure planning </w:t>
      </w:r>
      <w:r w:rsidR="00E541A6" w:rsidRPr="008113AD">
        <w:rPr>
          <w:noProof/>
        </w:rPr>
        <w:t xml:space="preserve">as a result of the Commission taking over central scenario development and </w:t>
      </w:r>
      <w:r w:rsidR="00E541A6">
        <w:rPr>
          <w:noProof/>
        </w:rPr>
        <w:t xml:space="preserve">through </w:t>
      </w:r>
      <w:r w:rsidR="00E541A6" w:rsidRPr="008113AD">
        <w:rPr>
          <w:noProof/>
        </w:rPr>
        <w:t>simplification</w:t>
      </w:r>
      <w:r w:rsidR="00E541A6">
        <w:rPr>
          <w:noProof/>
        </w:rPr>
        <w:t>s</w:t>
      </w:r>
      <w:r w:rsidR="00E541A6" w:rsidRPr="008113AD">
        <w:rPr>
          <w:noProof/>
        </w:rPr>
        <w:t xml:space="preserve"> such as the reduced frequency </w:t>
      </w:r>
      <w:r w:rsidR="00E541A6">
        <w:rPr>
          <w:noProof/>
        </w:rPr>
        <w:t xml:space="preserve">to a four-year cycle </w:t>
      </w:r>
      <w:r w:rsidR="00E541A6" w:rsidRPr="008113AD">
        <w:rPr>
          <w:noProof/>
        </w:rPr>
        <w:t xml:space="preserve">and the </w:t>
      </w:r>
      <w:r w:rsidR="00543ADA">
        <w:rPr>
          <w:noProof/>
        </w:rPr>
        <w:t>amended</w:t>
      </w:r>
      <w:r w:rsidR="00543ADA" w:rsidRPr="008113AD">
        <w:rPr>
          <w:noProof/>
        </w:rPr>
        <w:t xml:space="preserve"> </w:t>
      </w:r>
      <w:r w:rsidR="00E541A6" w:rsidRPr="008113AD">
        <w:rPr>
          <w:noProof/>
        </w:rPr>
        <w:t>application and evaluation process for mature PCIs.</w:t>
      </w:r>
      <w:r w:rsidR="00E541A6">
        <w:rPr>
          <w:noProof/>
        </w:rPr>
        <w:t xml:space="preserve"> </w:t>
      </w:r>
      <w:r w:rsidR="002F6117">
        <w:rPr>
          <w:noProof/>
        </w:rPr>
        <w:t>T</w:t>
      </w:r>
      <w:r w:rsidR="002F6117" w:rsidRPr="008113AD">
        <w:rPr>
          <w:noProof/>
        </w:rPr>
        <w:t xml:space="preserve">he streamlined, simplified and digitalised permitting procedures </w:t>
      </w:r>
      <w:r w:rsidR="002912AD">
        <w:rPr>
          <w:noProof/>
        </w:rPr>
        <w:t xml:space="preserve">for PCIs and PMIs </w:t>
      </w:r>
      <w:r w:rsidR="002F6117" w:rsidRPr="008113AD">
        <w:rPr>
          <w:noProof/>
        </w:rPr>
        <w:t xml:space="preserve">would </w:t>
      </w:r>
      <w:r w:rsidR="002F6117">
        <w:rPr>
          <w:noProof/>
        </w:rPr>
        <w:t xml:space="preserve">also </w:t>
      </w:r>
      <w:r w:rsidR="002F6117" w:rsidRPr="008113AD">
        <w:rPr>
          <w:noProof/>
        </w:rPr>
        <w:t xml:space="preserve">reduce the administrative burden for businesses. </w:t>
      </w:r>
      <w:r w:rsidR="002F6117" w:rsidRPr="002E50EB">
        <w:rPr>
          <w:noProof/>
        </w:rPr>
        <w:t xml:space="preserve">The annual cost savings for businesses cannot be fully estimated as relevant data were not available, but it can be concluded that the </w:t>
      </w:r>
      <w:r w:rsidR="002912AD">
        <w:rPr>
          <w:noProof/>
        </w:rPr>
        <w:t xml:space="preserve">proposal will </w:t>
      </w:r>
      <w:r w:rsidR="002F6117" w:rsidRPr="002E50EB">
        <w:rPr>
          <w:noProof/>
        </w:rPr>
        <w:t>lead to recurrent cost saving</w:t>
      </w:r>
      <w:r w:rsidR="002912AD">
        <w:rPr>
          <w:noProof/>
        </w:rPr>
        <w:t>s</w:t>
      </w:r>
      <w:r w:rsidR="002F6117" w:rsidRPr="002E50EB">
        <w:rPr>
          <w:noProof/>
        </w:rPr>
        <w:t>.</w:t>
      </w:r>
    </w:p>
    <w:p w14:paraId="6657E240" w14:textId="77777777" w:rsidR="00BA279C" w:rsidRDefault="00BA279C" w:rsidP="00F85AD4">
      <w:pPr>
        <w:rPr>
          <w:noProof/>
          <w:lang w:val="en-IE"/>
        </w:rPr>
      </w:pPr>
      <w:r w:rsidRPr="00BA279C">
        <w:rPr>
          <w:noProof/>
          <w:lang w:val="en-IE"/>
        </w:rPr>
        <w:t xml:space="preserve">No direct impacts in terms of compliance or administrative costs for SMEs </w:t>
      </w:r>
      <w:r>
        <w:rPr>
          <w:noProof/>
          <w:lang w:val="en-IE"/>
        </w:rPr>
        <w:t xml:space="preserve">or micro-enterprises </w:t>
      </w:r>
      <w:r w:rsidRPr="00BA279C">
        <w:rPr>
          <w:noProof/>
          <w:lang w:val="en-IE"/>
        </w:rPr>
        <w:t>are identified</w:t>
      </w:r>
      <w:r>
        <w:rPr>
          <w:noProof/>
          <w:lang w:val="en-IE"/>
        </w:rPr>
        <w:t xml:space="preserve">. </w:t>
      </w:r>
      <w:r w:rsidR="00CD5A24" w:rsidRPr="00CD5A24">
        <w:rPr>
          <w:noProof/>
        </w:rPr>
        <w:t xml:space="preserve">SMEs could benefit from </w:t>
      </w:r>
      <w:r w:rsidR="008551AE">
        <w:rPr>
          <w:noProof/>
        </w:rPr>
        <w:t xml:space="preserve">positive competitiveness impacts as a result of lower energy system costs, as well as </w:t>
      </w:r>
      <w:r w:rsidR="008C1B40">
        <w:rPr>
          <w:noProof/>
        </w:rPr>
        <w:t>increased competitiveness in those technology areas that are included or strengthened in the proposal (</w:t>
      </w:r>
      <w:r w:rsidR="004226F9">
        <w:rPr>
          <w:noProof/>
        </w:rPr>
        <w:t>e.g. high-voltage technologies</w:t>
      </w:r>
      <w:r w:rsidR="00F33E8F">
        <w:rPr>
          <w:noProof/>
        </w:rPr>
        <w:t xml:space="preserve">). </w:t>
      </w:r>
    </w:p>
    <w:p w14:paraId="548FA131" w14:textId="77777777" w:rsidR="008937E5" w:rsidRDefault="006F310C" w:rsidP="00F85AD4">
      <w:pPr>
        <w:rPr>
          <w:rFonts w:eastAsia="Arial Unicode MS"/>
          <w:noProof/>
        </w:rPr>
      </w:pPr>
      <w:r>
        <w:rPr>
          <w:rFonts w:eastAsia="Arial Unicode MS"/>
          <w:noProof/>
        </w:rPr>
        <w:t>The initiative is consistent with the Digital Check and is internet ready and appropriate for both the physical and digital environment.</w:t>
      </w:r>
      <w:r w:rsidR="008937E5">
        <w:rPr>
          <w:rFonts w:eastAsia="Arial Unicode MS"/>
          <w:noProof/>
        </w:rPr>
        <w:t xml:space="preserve"> The proposal includes measures to promote digitalisation </w:t>
      </w:r>
      <w:r w:rsidR="003200E4">
        <w:rPr>
          <w:rFonts w:eastAsia="Arial Unicode MS"/>
          <w:noProof/>
        </w:rPr>
        <w:t>(see the Legislative Financial and Digital Statement)</w:t>
      </w:r>
      <w:r w:rsidR="001778CA">
        <w:rPr>
          <w:rFonts w:eastAsia="Arial Unicode MS"/>
          <w:noProof/>
        </w:rPr>
        <w:t>.</w:t>
      </w:r>
    </w:p>
    <w:p w14:paraId="2527BCE1" w14:textId="77777777" w:rsidR="003E7EA6" w:rsidRDefault="003E7EA6">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0085C2AF" w14:textId="77777777" w:rsidR="005A0087" w:rsidRPr="00044058" w:rsidRDefault="005A0087" w:rsidP="00F85AD4">
      <w:pPr>
        <w:rPr>
          <w:noProof/>
        </w:rPr>
      </w:pPr>
      <w:r w:rsidRPr="002A75D5">
        <w:rPr>
          <w:noProof/>
        </w:rPr>
        <w:t xml:space="preserve">The initiative is not expected to have an impact on fundamental rights. </w:t>
      </w:r>
      <w:r w:rsidR="00F85AD4">
        <w:rPr>
          <w:rStyle w:val="CommentReference"/>
          <w:noProof/>
        </w:rPr>
        <w:t xml:space="preserve"> </w:t>
      </w:r>
    </w:p>
    <w:p w14:paraId="268A56DE" w14:textId="77777777" w:rsidR="003E7EA6" w:rsidRDefault="003E7EA6">
      <w:pPr>
        <w:pStyle w:val="ManualHeading1"/>
        <w:rPr>
          <w:noProof/>
        </w:rPr>
      </w:pPr>
      <w:r w:rsidRPr="00550536">
        <w:rPr>
          <w:noProof/>
        </w:rPr>
        <w:t>4.</w:t>
      </w:r>
      <w:r w:rsidRPr="00550536">
        <w:rPr>
          <w:noProof/>
        </w:rPr>
        <w:tab/>
        <w:t>BUDGETARY IMPLICATIONS</w:t>
      </w:r>
    </w:p>
    <w:p w14:paraId="24334B55" w14:textId="77777777" w:rsidR="002C5F8B" w:rsidRPr="002A75D5" w:rsidRDefault="002C5F8B" w:rsidP="00980D2E">
      <w:pPr>
        <w:rPr>
          <w:noProof/>
        </w:rPr>
      </w:pPr>
      <w:r w:rsidRPr="002A75D5">
        <w:rPr>
          <w:noProof/>
        </w:rPr>
        <w:t>The budgetary impact associated to the proposal concerns the resources of the European Commission</w:t>
      </w:r>
      <w:r w:rsidR="00226E15" w:rsidRPr="002A75D5">
        <w:rPr>
          <w:noProof/>
        </w:rPr>
        <w:t xml:space="preserve"> </w:t>
      </w:r>
      <w:r w:rsidRPr="002A75D5">
        <w:rPr>
          <w:noProof/>
        </w:rPr>
        <w:t>Directorate-General for Energy</w:t>
      </w:r>
      <w:r w:rsidR="00226E15" w:rsidRPr="002A75D5">
        <w:rPr>
          <w:noProof/>
        </w:rPr>
        <w:t xml:space="preserve"> and </w:t>
      </w:r>
      <w:r w:rsidRPr="002A75D5">
        <w:rPr>
          <w:noProof/>
        </w:rPr>
        <w:t>the Joint Research Centre, as well as the Agency for the Cooperation of Energy Regulators (ACER). The Commission will take on substantial additional responsibilities for central scenario development as part of the infrastructure needs identification process in the Ten-Year Network Development Plan. These responsibilities</w:t>
      </w:r>
      <w:r w:rsidR="00A27D74" w:rsidRPr="002A75D5">
        <w:rPr>
          <w:noProof/>
        </w:rPr>
        <w:t xml:space="preserve"> </w:t>
      </w:r>
      <w:r w:rsidRPr="002A75D5">
        <w:rPr>
          <w:noProof/>
        </w:rPr>
        <w:t>will require additional resources (see Legislative Financial and Digital Statement).</w:t>
      </w:r>
      <w:r w:rsidR="00F85AD4">
        <w:rPr>
          <w:rStyle w:val="CommentReference"/>
          <w:noProof/>
        </w:rPr>
        <w:t xml:space="preserve"> </w:t>
      </w:r>
    </w:p>
    <w:p w14:paraId="5EDDC233" w14:textId="77777777" w:rsidR="002C5F8B" w:rsidRPr="005D538C" w:rsidRDefault="002C5F8B" w:rsidP="00980D2E">
      <w:pPr>
        <w:rPr>
          <w:noProof/>
        </w:rPr>
      </w:pPr>
      <w:r w:rsidRPr="002A75D5">
        <w:rPr>
          <w:noProof/>
        </w:rPr>
        <w:t>The ACER will be tasked with additional responsibilities in the oversight of the Ten-Year Network Development Plan, as well as the cross-border cost allocation framework. T</w:t>
      </w:r>
      <w:r w:rsidR="00F17CF1" w:rsidRPr="002A75D5">
        <w:rPr>
          <w:noProof/>
        </w:rPr>
        <w:t xml:space="preserve">hese additional responsibilities will also require </w:t>
      </w:r>
      <w:r w:rsidRPr="002A75D5">
        <w:rPr>
          <w:noProof/>
        </w:rPr>
        <w:t xml:space="preserve">additional resources (see Legislative Financial and Digital Statement). </w:t>
      </w:r>
      <w:r w:rsidR="00F85AD4">
        <w:rPr>
          <w:rStyle w:val="CommentReference"/>
          <w:noProof/>
        </w:rPr>
        <w:t xml:space="preserve"> </w:t>
      </w:r>
    </w:p>
    <w:p w14:paraId="7C6FF734" w14:textId="77777777" w:rsidR="003E7EA6" w:rsidRPr="00550536" w:rsidRDefault="003E7EA6">
      <w:pPr>
        <w:pStyle w:val="ManualHeading1"/>
        <w:rPr>
          <w:noProof/>
        </w:rPr>
      </w:pPr>
      <w:r w:rsidRPr="00550536">
        <w:rPr>
          <w:noProof/>
        </w:rPr>
        <w:t>5.</w:t>
      </w:r>
      <w:r w:rsidRPr="00550536">
        <w:rPr>
          <w:noProof/>
        </w:rPr>
        <w:tab/>
        <w:t>OTHER ELEMENTS</w:t>
      </w:r>
    </w:p>
    <w:p w14:paraId="6E6B71C9" w14:textId="77777777" w:rsidR="003E7EA6" w:rsidRDefault="003E7EA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14:paraId="2AF91B71" w14:textId="77777777" w:rsidR="00A139A5" w:rsidRDefault="008425EC" w:rsidP="00980D2E">
      <w:pPr>
        <w:rPr>
          <w:noProof/>
          <w:lang w:val="en-IE"/>
        </w:rPr>
      </w:pPr>
      <w:r w:rsidRPr="00787914">
        <w:rPr>
          <w:noProof/>
          <w:lang w:val="en-IE"/>
        </w:rPr>
        <w:t>Building on the existing processes for monitoring data from regular reports prepared by project promoters and national regulators, several indicators have been developed to measure the achievement of each of the specific objective of the revised TEN-E Regulation. The actual impacts of the legislation will be monitored and evaluated against a set of indicators tailored to the specific policy objectives to be achieved with the legislation.</w:t>
      </w:r>
    </w:p>
    <w:p w14:paraId="319E756D" w14:textId="77777777" w:rsidR="008425EC" w:rsidRPr="008425EC" w:rsidRDefault="008425EC" w:rsidP="00980D2E">
      <w:pPr>
        <w:rPr>
          <w:noProof/>
          <w:color w:val="000000" w:themeColor="text1"/>
          <w:lang w:val="en-IE"/>
        </w:rPr>
      </w:pPr>
      <w:r>
        <w:rPr>
          <w:noProof/>
          <w:lang w:val="en-IE"/>
        </w:rPr>
        <w:t xml:space="preserve">All data will be monitored on </w:t>
      </w:r>
      <w:r w:rsidRPr="008425EC">
        <w:rPr>
          <w:noProof/>
          <w:color w:val="000000" w:themeColor="text1"/>
          <w:lang w:val="en-IE"/>
        </w:rPr>
        <w:t>the basis of regula</w:t>
      </w:r>
      <w:r w:rsidR="009F09AF">
        <w:rPr>
          <w:noProof/>
          <w:color w:val="000000" w:themeColor="text1"/>
          <w:lang w:val="en-IE"/>
        </w:rPr>
        <w:t>r</w:t>
      </w:r>
      <w:r w:rsidRPr="008425EC">
        <w:rPr>
          <w:noProof/>
          <w:color w:val="000000" w:themeColor="text1"/>
          <w:lang w:val="en-IE"/>
        </w:rPr>
        <w:t xml:space="preserve"> reports from project promoters and national regulators</w:t>
      </w:r>
      <w:r w:rsidR="000865CF">
        <w:rPr>
          <w:noProof/>
          <w:color w:val="000000" w:themeColor="text1"/>
          <w:lang w:val="en-IE"/>
        </w:rPr>
        <w:t xml:space="preserve">, and on the basis of the </w:t>
      </w:r>
      <w:r w:rsidR="002865D9">
        <w:rPr>
          <w:noProof/>
          <w:color w:val="000000" w:themeColor="text1"/>
          <w:lang w:val="en-IE"/>
        </w:rPr>
        <w:t xml:space="preserve">existing </w:t>
      </w:r>
      <w:r w:rsidR="000865CF">
        <w:rPr>
          <w:noProof/>
          <w:color w:val="000000" w:themeColor="text1"/>
          <w:lang w:val="en-IE"/>
        </w:rPr>
        <w:t>monitoring requirements of ACER including the biennial monitoring of consistency between the Union-wide TYNDP and national network development plans, annual monitoring of progress of PCIs and PMIs and permitting processes, annual monitoring report on congestion management and capacity allocation</w:t>
      </w:r>
      <w:r w:rsidR="002F14FB">
        <w:rPr>
          <w:noProof/>
          <w:color w:val="000000" w:themeColor="text1"/>
          <w:lang w:val="en-IE"/>
        </w:rPr>
        <w:t xml:space="preserve">, </w:t>
      </w:r>
      <w:r w:rsidR="002865D9">
        <w:rPr>
          <w:noProof/>
          <w:color w:val="000000" w:themeColor="text1"/>
          <w:lang w:val="en-IE"/>
        </w:rPr>
        <w:t>monitoring of the application of non-wire and grid enhancing technologies based on data available by the Joint Allocation Office, and annual monitoring of the achievement of the interconnection target, done as part of the European Semester.</w:t>
      </w:r>
    </w:p>
    <w:p w14:paraId="270B92FE" w14:textId="77777777" w:rsidR="00713B24" w:rsidRPr="00185722" w:rsidRDefault="00713B24" w:rsidP="00980D2E">
      <w:pPr>
        <w:rPr>
          <w:noProof/>
        </w:rPr>
      </w:pPr>
      <w:r w:rsidRPr="00185722">
        <w:rPr>
          <w:noProof/>
        </w:rPr>
        <w:t xml:space="preserve">By 30 June </w:t>
      </w:r>
      <w:r w:rsidRPr="00185722">
        <w:rPr>
          <w:rFonts w:eastAsia="Times New Roman"/>
          <w:noProof/>
          <w:lang w:eastAsia="en-IE"/>
        </w:rPr>
        <w:t>2033</w:t>
      </w:r>
      <w:r w:rsidRPr="00185722">
        <w:rPr>
          <w:noProof/>
        </w:rPr>
        <w:t>, the Commission shall carry out a review of this Regulation, on the basis of the results of the reporting and evaluation provided for in Article 2</w:t>
      </w:r>
      <w:r w:rsidR="006F1F5F">
        <w:rPr>
          <w:noProof/>
        </w:rPr>
        <w:t>4</w:t>
      </w:r>
      <w:r w:rsidRPr="00185722">
        <w:rPr>
          <w:noProof/>
        </w:rPr>
        <w:t xml:space="preserve"> of this Regulation, as well as the monitoring, reporting and evaluation carried out pursuant to Articles 22 and 23 of Regulation (EU) 2021/1153.</w:t>
      </w:r>
    </w:p>
    <w:p w14:paraId="0212DD30" w14:textId="77777777" w:rsidR="003E7EA6" w:rsidRDefault="003E7EA6">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14:paraId="28BC35C8" w14:textId="77777777" w:rsidR="003E7EA6" w:rsidRPr="004D60A9" w:rsidRDefault="6E550B29" w:rsidP="00980D2E">
      <w:pPr>
        <w:rPr>
          <w:noProof/>
        </w:rPr>
      </w:pPr>
      <w:r w:rsidRPr="5B57A53C">
        <w:rPr>
          <w:noProof/>
        </w:rPr>
        <w:t xml:space="preserve">Chapter I of the Regulation outlines the general provisions, notably </w:t>
      </w:r>
      <w:r w:rsidR="2D40EB5B" w:rsidRPr="5B57A53C">
        <w:rPr>
          <w:noProof/>
        </w:rPr>
        <w:t>its</w:t>
      </w:r>
      <w:r w:rsidRPr="5B57A53C">
        <w:rPr>
          <w:noProof/>
        </w:rPr>
        <w:t xml:space="preserve"> subject matter, objectives and scope</w:t>
      </w:r>
      <w:r w:rsidR="757069AC" w:rsidRPr="5B57A53C">
        <w:rPr>
          <w:noProof/>
        </w:rPr>
        <w:t xml:space="preserve"> as well as the definitions applicable</w:t>
      </w:r>
      <w:r w:rsidRPr="5B57A53C">
        <w:rPr>
          <w:noProof/>
        </w:rPr>
        <w:t>. It introduces</w:t>
      </w:r>
      <w:r w:rsidR="4B0DC525" w:rsidRPr="5B57A53C">
        <w:rPr>
          <w:noProof/>
        </w:rPr>
        <w:t>, complemented by Annex I</w:t>
      </w:r>
      <w:r w:rsidR="1F7955D0" w:rsidRPr="5B57A53C">
        <w:rPr>
          <w:noProof/>
        </w:rPr>
        <w:t>I</w:t>
      </w:r>
      <w:r w:rsidR="4B0DC525" w:rsidRPr="5B57A53C">
        <w:rPr>
          <w:noProof/>
        </w:rPr>
        <w:t xml:space="preserve">, </w:t>
      </w:r>
      <w:r w:rsidRPr="5B57A53C">
        <w:rPr>
          <w:noProof/>
        </w:rPr>
        <w:t xml:space="preserve">new infrastructure categories </w:t>
      </w:r>
      <w:r w:rsidR="1CB787A6" w:rsidRPr="5B57A53C">
        <w:rPr>
          <w:noProof/>
        </w:rPr>
        <w:t xml:space="preserve">compared </w:t>
      </w:r>
      <w:r w:rsidRPr="5B57A53C">
        <w:rPr>
          <w:noProof/>
        </w:rPr>
        <w:t xml:space="preserve">to Regulation (EU) 2022/869 to ensure strengthened safety, security and efficiency of existing networks, notably to enable existing high-voltage networks elements to operate systems safely through investments in monitoring control and digitalisation equipment and installations and to increase the protection and resilience of critical network elements through investment in equipment that is specifically designed for that purpose and physically connected to those elements. Project categories and definitions are also adjusted to align with the </w:t>
      </w:r>
      <w:r w:rsidRPr="5B57A53C">
        <w:rPr>
          <w:noProof/>
          <w:color w:val="000000" w:themeColor="text1"/>
        </w:rPr>
        <w:t>EU’s decarbonised gas and hydrogen legislative package</w:t>
      </w:r>
      <w:r w:rsidR="0079489D">
        <w:rPr>
          <w:noProof/>
          <w:color w:val="000000" w:themeColor="text1"/>
        </w:rPr>
        <w:t xml:space="preserve"> </w:t>
      </w:r>
      <w:r w:rsidR="0079489D" w:rsidRPr="0079489D">
        <w:rPr>
          <w:noProof/>
          <w:color w:val="000000" w:themeColor="text1"/>
        </w:rPr>
        <w:t xml:space="preserve">adopted in 2024 </w:t>
      </w:r>
      <w:r w:rsidRPr="5B57A53C">
        <w:rPr>
          <w:noProof/>
        </w:rPr>
        <w:t>setting common rules for the transition to renewable and low-carbon gases</w:t>
      </w:r>
      <w:r w:rsidR="517FF82A" w:rsidRPr="5B57A53C">
        <w:rPr>
          <w:noProof/>
        </w:rPr>
        <w:t>; this package</w:t>
      </w:r>
      <w:r w:rsidRPr="5B57A53C">
        <w:rPr>
          <w:noProof/>
        </w:rPr>
        <w:t xml:space="preserve"> prioritises the production and use of hydrogen in its pure form and its transportation in the dedicated hydrogen system. A definition of “non-wire</w:t>
      </w:r>
      <w:r w:rsidR="5F2267ED">
        <w:rPr>
          <w:noProof/>
        </w:rPr>
        <w:t>”</w:t>
      </w:r>
      <w:r w:rsidR="2C996883" w:rsidRPr="5B57A53C">
        <w:rPr>
          <w:noProof/>
        </w:rPr>
        <w:t xml:space="preserve"> </w:t>
      </w:r>
      <w:r w:rsidRPr="5B57A53C">
        <w:rPr>
          <w:noProof/>
        </w:rPr>
        <w:t>solutions</w:t>
      </w:r>
      <w:r w:rsidR="00181D05">
        <w:rPr>
          <w:noProof/>
        </w:rPr>
        <w:t xml:space="preserve"> in electricity</w:t>
      </w:r>
      <w:r w:rsidRPr="5B57A53C">
        <w:rPr>
          <w:noProof/>
        </w:rPr>
        <w:t xml:space="preserve"> is also introduced</w:t>
      </w:r>
      <w:r w:rsidR="005D2F4C">
        <w:rPr>
          <w:noProof/>
        </w:rPr>
        <w:t>;</w:t>
      </w:r>
      <w:r w:rsidRPr="5B57A53C">
        <w:rPr>
          <w:noProof/>
        </w:rPr>
        <w:t xml:space="preserve"> these </w:t>
      </w:r>
      <w:r w:rsidR="005D2F4C">
        <w:rPr>
          <w:noProof/>
        </w:rPr>
        <w:t xml:space="preserve">solutions </w:t>
      </w:r>
      <w:r w:rsidRPr="5B57A53C">
        <w:rPr>
          <w:noProof/>
        </w:rPr>
        <w:t xml:space="preserve">need to be carefully considered as they </w:t>
      </w:r>
      <w:r w:rsidR="161DD7E9" w:rsidRPr="5B57A53C">
        <w:rPr>
          <w:noProof/>
        </w:rPr>
        <w:t>may be</w:t>
      </w:r>
      <w:r w:rsidRPr="5B57A53C">
        <w:rPr>
          <w:noProof/>
        </w:rPr>
        <w:t xml:space="preserve"> cheaper than grid expansion to ensure cost-optimal grid planning. </w:t>
      </w:r>
    </w:p>
    <w:p w14:paraId="57680E1A" w14:textId="77777777" w:rsidR="00C57154" w:rsidRDefault="365434B2" w:rsidP="00980D2E">
      <w:pPr>
        <w:rPr>
          <w:noProof/>
        </w:rPr>
      </w:pPr>
      <w:r w:rsidRPr="5B57A53C">
        <w:rPr>
          <w:noProof/>
        </w:rPr>
        <w:t xml:space="preserve">Chapter II outlines the provisions as regards the process of preparing the Union lists of projects of common interest and projects of mutual interest within the regional groups, the criteria for </w:t>
      </w:r>
      <w:r w:rsidR="1474EAF0" w:rsidRPr="5B57A53C">
        <w:rPr>
          <w:noProof/>
        </w:rPr>
        <w:t>the assessment of projects by the groups</w:t>
      </w:r>
      <w:r w:rsidRPr="5B57A53C">
        <w:rPr>
          <w:noProof/>
        </w:rPr>
        <w:t xml:space="preserve"> and </w:t>
      </w:r>
      <w:r w:rsidR="005D2F4C">
        <w:rPr>
          <w:noProof/>
        </w:rPr>
        <w:t>the</w:t>
      </w:r>
      <w:r w:rsidR="0A051D59" w:rsidRPr="5B57A53C">
        <w:rPr>
          <w:noProof/>
        </w:rPr>
        <w:t xml:space="preserve"> </w:t>
      </w:r>
      <w:r w:rsidRPr="5B57A53C">
        <w:rPr>
          <w:noProof/>
        </w:rPr>
        <w:t>monitoring of project implementation.</w:t>
      </w:r>
      <w:r w:rsidR="00C57154" w:rsidRPr="5B57A53C">
        <w:rPr>
          <w:noProof/>
        </w:rPr>
        <w:t xml:space="preserve"> </w:t>
      </w:r>
    </w:p>
    <w:p w14:paraId="4DF1E11F" w14:textId="77777777" w:rsidR="00C57154" w:rsidRDefault="00617CB9" w:rsidP="00980D2E">
      <w:pPr>
        <w:rPr>
          <w:noProof/>
        </w:rPr>
      </w:pPr>
      <w:r w:rsidRPr="5B57A53C">
        <w:rPr>
          <w:noProof/>
        </w:rPr>
        <w:t xml:space="preserve">Article </w:t>
      </w:r>
      <w:r w:rsidR="00D07271" w:rsidRPr="5B57A53C">
        <w:rPr>
          <w:noProof/>
        </w:rPr>
        <w:t xml:space="preserve">3, complemented by Annex III, </w:t>
      </w:r>
      <w:r w:rsidR="007E322B" w:rsidRPr="5B57A53C">
        <w:rPr>
          <w:noProof/>
        </w:rPr>
        <w:t>provides</w:t>
      </w:r>
      <w:r w:rsidR="002D4835" w:rsidRPr="5B57A53C">
        <w:rPr>
          <w:noProof/>
        </w:rPr>
        <w:t xml:space="preserve"> rules </w:t>
      </w:r>
      <w:r w:rsidR="7103899E" w:rsidRPr="5B57A53C">
        <w:rPr>
          <w:noProof/>
        </w:rPr>
        <w:t>for</w:t>
      </w:r>
      <w:r w:rsidR="007E322B" w:rsidRPr="5B57A53C">
        <w:rPr>
          <w:noProof/>
        </w:rPr>
        <w:t xml:space="preserve"> the establishment </w:t>
      </w:r>
      <w:r w:rsidR="006354E4" w:rsidRPr="5B57A53C">
        <w:rPr>
          <w:noProof/>
        </w:rPr>
        <w:t>of regional groups</w:t>
      </w:r>
      <w:r w:rsidR="006A1407" w:rsidRPr="5B57A53C">
        <w:rPr>
          <w:noProof/>
        </w:rPr>
        <w:t xml:space="preserve"> as well as </w:t>
      </w:r>
      <w:r w:rsidR="2198FC01" w:rsidRPr="5B57A53C">
        <w:rPr>
          <w:noProof/>
        </w:rPr>
        <w:t xml:space="preserve">for </w:t>
      </w:r>
      <w:r w:rsidR="006A1407" w:rsidRPr="5B57A53C">
        <w:rPr>
          <w:noProof/>
        </w:rPr>
        <w:t xml:space="preserve">the process for </w:t>
      </w:r>
      <w:r w:rsidR="00187F25" w:rsidRPr="5B57A53C">
        <w:rPr>
          <w:noProof/>
        </w:rPr>
        <w:t xml:space="preserve">establishing </w:t>
      </w:r>
      <w:r w:rsidR="00F0491D" w:rsidRPr="5B57A53C">
        <w:rPr>
          <w:noProof/>
        </w:rPr>
        <w:t xml:space="preserve">the Union list of </w:t>
      </w:r>
      <w:r w:rsidR="00B648C4" w:rsidRPr="5B57A53C">
        <w:rPr>
          <w:noProof/>
        </w:rPr>
        <w:t>projects of common interest and projects of mutual interest.</w:t>
      </w:r>
      <w:r w:rsidR="00B038BE" w:rsidRPr="5B57A53C">
        <w:rPr>
          <w:noProof/>
        </w:rPr>
        <w:t xml:space="preserve"> Compared with Regulation</w:t>
      </w:r>
      <w:r w:rsidR="473BB301" w:rsidRPr="5B57A53C">
        <w:rPr>
          <w:noProof/>
        </w:rPr>
        <w:t xml:space="preserve"> </w:t>
      </w:r>
      <w:r w:rsidR="00235E95">
        <w:rPr>
          <w:noProof/>
        </w:rPr>
        <w:t>(</w:t>
      </w:r>
      <w:r w:rsidR="473BB301" w:rsidRPr="5B57A53C">
        <w:rPr>
          <w:noProof/>
        </w:rPr>
        <w:t>EU) 2022/869</w:t>
      </w:r>
      <w:r w:rsidR="00B038BE" w:rsidRPr="5B57A53C">
        <w:rPr>
          <w:noProof/>
        </w:rPr>
        <w:t xml:space="preserve">, </w:t>
      </w:r>
      <w:r w:rsidR="01B40934" w:rsidRPr="5B57A53C">
        <w:rPr>
          <w:noProof/>
        </w:rPr>
        <w:t>Article 3 and Annex III</w:t>
      </w:r>
      <w:r w:rsidR="007C26E0" w:rsidRPr="5B57A53C">
        <w:rPr>
          <w:noProof/>
        </w:rPr>
        <w:t xml:space="preserve"> provide for a simplified approach </w:t>
      </w:r>
      <w:r w:rsidR="006E542C" w:rsidRPr="5B57A53C">
        <w:rPr>
          <w:noProof/>
        </w:rPr>
        <w:t>for</w:t>
      </w:r>
      <w:r w:rsidR="002B7CE8" w:rsidRPr="5B57A53C">
        <w:rPr>
          <w:noProof/>
        </w:rPr>
        <w:t xml:space="preserve"> advanced</w:t>
      </w:r>
      <w:r w:rsidR="006E542C" w:rsidRPr="5B57A53C">
        <w:rPr>
          <w:noProof/>
        </w:rPr>
        <w:t xml:space="preserve"> projects already on the Union list</w:t>
      </w:r>
      <w:r w:rsidR="002B7CE8" w:rsidRPr="5B57A53C">
        <w:rPr>
          <w:noProof/>
        </w:rPr>
        <w:t xml:space="preserve"> to maintain their status of project of common interest or project of mutual interest.</w:t>
      </w:r>
      <w:r w:rsidR="00C57154" w:rsidRPr="5B57A53C">
        <w:rPr>
          <w:noProof/>
        </w:rPr>
        <w:t xml:space="preserve"> </w:t>
      </w:r>
    </w:p>
    <w:p w14:paraId="53564EC2" w14:textId="77777777" w:rsidR="00C57154" w:rsidRDefault="5E8BDF6F" w:rsidP="00980D2E">
      <w:pPr>
        <w:rPr>
          <w:rFonts w:eastAsia="Times New Roman"/>
          <w:noProof/>
        </w:rPr>
      </w:pPr>
      <w:r w:rsidRPr="5B57A53C">
        <w:rPr>
          <w:rFonts w:eastAsia="Times New Roman"/>
          <w:noProof/>
        </w:rPr>
        <w:t xml:space="preserve">Compared with </w:t>
      </w:r>
      <w:r w:rsidR="41E829B4" w:rsidRPr="5B57A53C">
        <w:rPr>
          <w:rFonts w:eastAsia="Times New Roman"/>
          <w:noProof/>
        </w:rPr>
        <w:t xml:space="preserve">Regulation </w:t>
      </w:r>
      <w:r w:rsidR="00925C6E">
        <w:rPr>
          <w:rFonts w:eastAsia="Times New Roman"/>
          <w:noProof/>
        </w:rPr>
        <w:t>(</w:t>
      </w:r>
      <w:r w:rsidR="41E829B4" w:rsidRPr="5B57A53C">
        <w:rPr>
          <w:rFonts w:eastAsia="Times New Roman"/>
          <w:noProof/>
        </w:rPr>
        <w:t>EU) 2022/869</w:t>
      </w:r>
      <w:r w:rsidRPr="5B57A53C">
        <w:rPr>
          <w:rFonts w:eastAsia="Times New Roman"/>
          <w:noProof/>
        </w:rPr>
        <w:t>, Article 4</w:t>
      </w:r>
      <w:r w:rsidR="4C114A24" w:rsidRPr="5B57A53C">
        <w:rPr>
          <w:rFonts w:eastAsia="Times New Roman"/>
          <w:noProof/>
        </w:rPr>
        <w:t xml:space="preserve"> </w:t>
      </w:r>
      <w:r w:rsidR="0C53260C" w:rsidRPr="5B57A53C">
        <w:rPr>
          <w:rFonts w:eastAsia="Times New Roman"/>
          <w:noProof/>
        </w:rPr>
        <w:t>which sets out the criteria for the assessment of projects by the groups</w:t>
      </w:r>
      <w:r w:rsidRPr="5B57A53C">
        <w:rPr>
          <w:rFonts w:eastAsia="Times New Roman"/>
          <w:noProof/>
        </w:rPr>
        <w:t xml:space="preserve">, complemented by Annex IV, further clarifies that projects </w:t>
      </w:r>
      <w:r w:rsidR="6E463F15" w:rsidRPr="5B57A53C">
        <w:rPr>
          <w:rFonts w:eastAsia="Times New Roman"/>
          <w:noProof/>
        </w:rPr>
        <w:t xml:space="preserve">of mutual interest </w:t>
      </w:r>
      <w:r w:rsidRPr="5B57A53C">
        <w:rPr>
          <w:rFonts w:eastAsia="Times New Roman"/>
          <w:noProof/>
        </w:rPr>
        <w:t xml:space="preserve">extend to the first connection point in the third country and ensures that these projects are accompanied by corresponding development in internal infrastructure in third countries. For Energy Community contracting countries, the benefits brought by individual projects are considered for both EU and Energy Community contracting countries, and not only for the EU as done so far. </w:t>
      </w:r>
    </w:p>
    <w:p w14:paraId="311842EB" w14:textId="77777777" w:rsidR="003E7EA6" w:rsidRPr="004D60A9" w:rsidRDefault="2B6B29DB" w:rsidP="00980D2E">
      <w:pPr>
        <w:rPr>
          <w:noProof/>
        </w:rPr>
      </w:pPr>
      <w:r w:rsidRPr="1ADABFE6">
        <w:rPr>
          <w:noProof/>
        </w:rPr>
        <w:t>In Article 5 t</w:t>
      </w:r>
      <w:r w:rsidR="5E8BDF6F" w:rsidRPr="004D60A9">
        <w:rPr>
          <w:noProof/>
        </w:rPr>
        <w:t>he provisions on the implementation and monitoring of projects on the Union list are strengthened by requirements related to risk assessments as regards physical and cyber security, building on Directive (EU)</w:t>
      </w:r>
      <w:r w:rsidR="00F96158">
        <w:rPr>
          <w:noProof/>
        </w:rPr>
        <w:t xml:space="preserve"> </w:t>
      </w:r>
      <w:r w:rsidR="5E8BDF6F" w:rsidRPr="004D60A9">
        <w:rPr>
          <w:noProof/>
        </w:rPr>
        <w:t>2022/2557 on the resilience of critical entities and Directive (EU)</w:t>
      </w:r>
      <w:r w:rsidR="00F96158">
        <w:rPr>
          <w:noProof/>
        </w:rPr>
        <w:t xml:space="preserve"> </w:t>
      </w:r>
      <w:r w:rsidR="5E8BDF6F" w:rsidRPr="004D60A9">
        <w:rPr>
          <w:noProof/>
        </w:rPr>
        <w:t xml:space="preserve">2022/2555 on measures for a high common level of cybersecurity across the Union. As regards European coordinators that may be designated where a project encounters significant implementation difficulties, Article 6 provides that the period for which the designation applies may be renewed. </w:t>
      </w:r>
    </w:p>
    <w:p w14:paraId="0ACBEE11" w14:textId="77777777" w:rsidR="47B3188D" w:rsidRPr="00403738" w:rsidRDefault="47B3188D" w:rsidP="00980D2E">
      <w:pPr>
        <w:rPr>
          <w:noProof/>
        </w:rPr>
      </w:pPr>
      <w:r w:rsidRPr="5B57A53C">
        <w:rPr>
          <w:noProof/>
        </w:rPr>
        <w:t xml:space="preserve">Chapter III </w:t>
      </w:r>
      <w:r w:rsidR="4004CEC6" w:rsidRPr="5B57A53C">
        <w:rPr>
          <w:noProof/>
        </w:rPr>
        <w:t>addresses</w:t>
      </w:r>
      <w:r w:rsidRPr="5B57A53C">
        <w:rPr>
          <w:noProof/>
        </w:rPr>
        <w:t xml:space="preserve"> the </w:t>
      </w:r>
      <w:r w:rsidR="40480DA9" w:rsidRPr="5B57A53C">
        <w:rPr>
          <w:noProof/>
        </w:rPr>
        <w:t>permit</w:t>
      </w:r>
      <w:r w:rsidRPr="5B57A53C">
        <w:rPr>
          <w:noProof/>
        </w:rPr>
        <w:t xml:space="preserve"> granting and public acceptance of projects of common interest. </w:t>
      </w:r>
      <w:r w:rsidR="278B055C" w:rsidRPr="5B57A53C">
        <w:rPr>
          <w:noProof/>
        </w:rPr>
        <w:t xml:space="preserve">Compared with Regulation </w:t>
      </w:r>
      <w:r w:rsidR="00B43461">
        <w:rPr>
          <w:noProof/>
        </w:rPr>
        <w:t>(</w:t>
      </w:r>
      <w:r w:rsidR="278B055C" w:rsidRPr="5B57A53C">
        <w:rPr>
          <w:noProof/>
        </w:rPr>
        <w:t>EU) 2022/869  t</w:t>
      </w:r>
      <w:r w:rsidR="152D737A" w:rsidRPr="5B57A53C">
        <w:rPr>
          <w:noProof/>
        </w:rPr>
        <w:t>h</w:t>
      </w:r>
      <w:r w:rsidRPr="5B57A53C">
        <w:rPr>
          <w:noProof/>
        </w:rPr>
        <w:t xml:space="preserve">is chapter has been revised </w:t>
      </w:r>
      <w:r w:rsidR="696ABA18" w:rsidRPr="5B57A53C">
        <w:rPr>
          <w:noProof/>
        </w:rPr>
        <w:t>with</w:t>
      </w:r>
      <w:r w:rsidR="7C3DC6D7" w:rsidRPr="5B57A53C">
        <w:rPr>
          <w:noProof/>
        </w:rPr>
        <w:t xml:space="preserve"> three main objectives: (1) update the permitting framework to ensure that </w:t>
      </w:r>
      <w:r w:rsidR="769B547E" w:rsidRPr="5B57A53C">
        <w:rPr>
          <w:noProof/>
        </w:rPr>
        <w:t xml:space="preserve">projects of common interest </w:t>
      </w:r>
      <w:r w:rsidR="7C3DC6D7" w:rsidRPr="5B57A53C">
        <w:rPr>
          <w:noProof/>
        </w:rPr>
        <w:t xml:space="preserve"> and </w:t>
      </w:r>
      <w:r w:rsidR="2EACAC94" w:rsidRPr="5B57A53C">
        <w:rPr>
          <w:noProof/>
        </w:rPr>
        <w:t>projects of mutual interest</w:t>
      </w:r>
      <w:r w:rsidR="7C3DC6D7" w:rsidRPr="5B57A53C">
        <w:rPr>
          <w:noProof/>
        </w:rPr>
        <w:t xml:space="preserve"> are granted the </w:t>
      </w:r>
      <w:r w:rsidR="75FA1746" w:rsidRPr="5B57A53C">
        <w:rPr>
          <w:noProof/>
        </w:rPr>
        <w:t>best treatment possible</w:t>
      </w:r>
      <w:r w:rsidR="7C3DC6D7" w:rsidRPr="5B57A53C">
        <w:rPr>
          <w:noProof/>
        </w:rPr>
        <w:t xml:space="preserve"> in line with</w:t>
      </w:r>
      <w:r w:rsidR="42AD7AF3" w:rsidRPr="5B57A53C">
        <w:rPr>
          <w:noProof/>
        </w:rPr>
        <w:t xml:space="preserve"> their strategic importance and special status</w:t>
      </w:r>
      <w:r w:rsidR="0BCB6BA7" w:rsidRPr="5B57A53C">
        <w:rPr>
          <w:noProof/>
        </w:rPr>
        <w:t xml:space="preserve">, </w:t>
      </w:r>
      <w:r w:rsidR="722B813F" w:rsidRPr="5B57A53C">
        <w:rPr>
          <w:noProof/>
        </w:rPr>
        <w:t>especially</w:t>
      </w:r>
      <w:r w:rsidR="0BCB6BA7" w:rsidRPr="5B57A53C">
        <w:rPr>
          <w:noProof/>
        </w:rPr>
        <w:t xml:space="preserve"> when considering the permitting measures introduced in the </w:t>
      </w:r>
      <w:r w:rsidR="598C0292" w:rsidRPr="5B57A53C">
        <w:rPr>
          <w:noProof/>
        </w:rPr>
        <w:t>Hydrogen and Decarbonised Gas Market Package</w:t>
      </w:r>
      <w:r w:rsidR="0BCB6BA7" w:rsidRPr="5B57A53C">
        <w:rPr>
          <w:noProof/>
        </w:rPr>
        <w:t xml:space="preserve"> and the </w:t>
      </w:r>
      <w:r w:rsidR="6CA95584" w:rsidRPr="5B57A53C">
        <w:rPr>
          <w:noProof/>
        </w:rPr>
        <w:t>revised R</w:t>
      </w:r>
      <w:r w:rsidR="5C3C2DFC" w:rsidRPr="5B57A53C">
        <w:rPr>
          <w:noProof/>
        </w:rPr>
        <w:t>enewable Energy Directive</w:t>
      </w:r>
      <w:r w:rsidR="42AD7AF3" w:rsidRPr="5B57A53C">
        <w:rPr>
          <w:noProof/>
        </w:rPr>
        <w:t xml:space="preserve">; (2) </w:t>
      </w:r>
      <w:r w:rsidR="764DCEEA" w:rsidRPr="5B57A53C">
        <w:rPr>
          <w:noProof/>
        </w:rPr>
        <w:t>u</w:t>
      </w:r>
      <w:r w:rsidR="5ACFFCFF" w:rsidRPr="5B57A53C">
        <w:rPr>
          <w:noProof/>
        </w:rPr>
        <w:t>pdate the permitting regi</w:t>
      </w:r>
      <w:r w:rsidR="53D79B4A" w:rsidRPr="5B57A53C">
        <w:rPr>
          <w:noProof/>
        </w:rPr>
        <w:t>me</w:t>
      </w:r>
      <w:r w:rsidR="5ACFFCFF" w:rsidRPr="5B57A53C">
        <w:rPr>
          <w:noProof/>
        </w:rPr>
        <w:t xml:space="preserve"> to support the </w:t>
      </w:r>
      <w:r w:rsidR="038DFF90" w:rsidRPr="5B57A53C">
        <w:rPr>
          <w:noProof/>
        </w:rPr>
        <w:t>accelerated</w:t>
      </w:r>
      <w:r w:rsidR="5ACFFCFF" w:rsidRPr="5B57A53C">
        <w:rPr>
          <w:noProof/>
        </w:rPr>
        <w:t xml:space="preserve"> permitting </w:t>
      </w:r>
      <w:r w:rsidRPr="5B57A53C">
        <w:rPr>
          <w:noProof/>
        </w:rPr>
        <w:t>f</w:t>
      </w:r>
      <w:r w:rsidR="435F9B4C" w:rsidRPr="5B57A53C">
        <w:rPr>
          <w:noProof/>
        </w:rPr>
        <w:t>or</w:t>
      </w:r>
      <w:r w:rsidR="7CBFF07E" w:rsidRPr="5B57A53C">
        <w:rPr>
          <w:noProof/>
        </w:rPr>
        <w:t xml:space="preserve"> electricity grids</w:t>
      </w:r>
      <w:r w:rsidR="19BED9E1" w:rsidRPr="5B57A53C">
        <w:rPr>
          <w:noProof/>
        </w:rPr>
        <w:t xml:space="preserve">, in line with the needs recognised in the Draghi report and the amendments introduced </w:t>
      </w:r>
      <w:r w:rsidR="22A90AFF" w:rsidRPr="5B57A53C">
        <w:rPr>
          <w:noProof/>
        </w:rPr>
        <w:t>in</w:t>
      </w:r>
      <w:r w:rsidR="7CBFF07E" w:rsidRPr="5B57A53C">
        <w:rPr>
          <w:noProof/>
        </w:rPr>
        <w:t xml:space="preserve"> </w:t>
      </w:r>
      <w:r w:rsidR="67E2FB4D" w:rsidRPr="5B57A53C">
        <w:rPr>
          <w:noProof/>
        </w:rPr>
        <w:t xml:space="preserve">Directive (EU) 2019/944; (3) increase </w:t>
      </w:r>
      <w:r w:rsidR="1BDDDB97" w:rsidRPr="5B57A53C">
        <w:rPr>
          <w:noProof/>
        </w:rPr>
        <w:t xml:space="preserve">the clarity </w:t>
      </w:r>
      <w:r w:rsidR="11E4D46F" w:rsidRPr="5B57A53C">
        <w:rPr>
          <w:noProof/>
        </w:rPr>
        <w:t>of the permitting regime and improve its efficiency</w:t>
      </w:r>
      <w:r w:rsidR="67E2FB4D" w:rsidRPr="5B57A53C">
        <w:rPr>
          <w:noProof/>
        </w:rPr>
        <w:t>.</w:t>
      </w:r>
      <w:r w:rsidR="35B0C6D4" w:rsidRPr="5B57A53C">
        <w:rPr>
          <w:noProof/>
        </w:rPr>
        <w:t xml:space="preserve"> </w:t>
      </w:r>
    </w:p>
    <w:p w14:paraId="4C78BA99" w14:textId="77777777" w:rsidR="47B3188D" w:rsidRPr="00403738" w:rsidRDefault="35B0C6D4" w:rsidP="00980D2E">
      <w:pPr>
        <w:rPr>
          <w:noProof/>
        </w:rPr>
      </w:pPr>
      <w:r w:rsidRPr="5B57A53C">
        <w:rPr>
          <w:noProof/>
        </w:rPr>
        <w:t xml:space="preserve">Article 7 on the priority status of projects </w:t>
      </w:r>
      <w:r w:rsidR="42EF1054" w:rsidRPr="5B57A53C">
        <w:rPr>
          <w:noProof/>
        </w:rPr>
        <w:t>on the Union list is</w:t>
      </w:r>
      <w:r w:rsidRPr="5B57A53C">
        <w:rPr>
          <w:noProof/>
        </w:rPr>
        <w:t xml:space="preserve"> updated to </w:t>
      </w:r>
      <w:r w:rsidR="42097DBC" w:rsidRPr="5B57A53C">
        <w:rPr>
          <w:noProof/>
        </w:rPr>
        <w:t xml:space="preserve">include requirements that </w:t>
      </w:r>
      <w:r w:rsidR="693C4A79" w:rsidRPr="5B57A53C">
        <w:rPr>
          <w:noProof/>
        </w:rPr>
        <w:t>electricity projects of common and mutual interest benefit from an automatic presumption of overriding</w:t>
      </w:r>
      <w:r w:rsidR="00E148B8">
        <w:rPr>
          <w:noProof/>
        </w:rPr>
        <w:t xml:space="preserve"> public</w:t>
      </w:r>
      <w:r w:rsidR="693C4A79" w:rsidRPr="5B57A53C">
        <w:rPr>
          <w:noProof/>
        </w:rPr>
        <w:t xml:space="preserve"> interest </w:t>
      </w:r>
      <w:r w:rsidR="2DBDA2BA" w:rsidRPr="5B57A53C">
        <w:rPr>
          <w:noProof/>
        </w:rPr>
        <w:t xml:space="preserve">and, </w:t>
      </w:r>
      <w:r w:rsidR="0BC4C755" w:rsidRPr="5B57A53C">
        <w:rPr>
          <w:noProof/>
        </w:rPr>
        <w:t xml:space="preserve">when included in a National Development Plan subjected to a strategical environmental </w:t>
      </w:r>
      <w:r w:rsidR="2DBDA2BA" w:rsidRPr="5B57A53C">
        <w:rPr>
          <w:noProof/>
        </w:rPr>
        <w:t>assessment</w:t>
      </w:r>
      <w:r w:rsidR="00230DE9">
        <w:rPr>
          <w:noProof/>
        </w:rPr>
        <w:t xml:space="preserve"> and to an appropriate assessment under Directive 92/43/EEC in case there is a likely significant impact on Natura 2000 sites</w:t>
      </w:r>
      <w:r w:rsidR="00230DE9" w:rsidRPr="5B57A53C">
        <w:rPr>
          <w:noProof/>
        </w:rPr>
        <w:t>,</w:t>
      </w:r>
      <w:r w:rsidR="00230DE9">
        <w:rPr>
          <w:noProof/>
        </w:rPr>
        <w:t xml:space="preserve"> may, subject to strict conditions, be exempted</w:t>
      </w:r>
      <w:r w:rsidR="2DBDA2BA" w:rsidRPr="5B57A53C">
        <w:rPr>
          <w:noProof/>
        </w:rPr>
        <w:t xml:space="preserve"> from </w:t>
      </w:r>
      <w:r w:rsidR="693C4A79" w:rsidRPr="5B57A53C">
        <w:rPr>
          <w:noProof/>
        </w:rPr>
        <w:t xml:space="preserve">assessments under </w:t>
      </w:r>
      <w:r w:rsidR="00F94B79">
        <w:rPr>
          <w:noProof/>
        </w:rPr>
        <w:t>specified environmental legislation</w:t>
      </w:r>
      <w:r w:rsidR="6E2CC697" w:rsidRPr="5B57A53C">
        <w:rPr>
          <w:noProof/>
        </w:rPr>
        <w:t>.</w:t>
      </w:r>
      <w:r w:rsidR="4EEFA0B3" w:rsidRPr="5B57A53C">
        <w:rPr>
          <w:noProof/>
        </w:rPr>
        <w:t xml:space="preserve"> </w:t>
      </w:r>
    </w:p>
    <w:p w14:paraId="4E9B50CE" w14:textId="77777777" w:rsidR="47B3188D" w:rsidRPr="00403738" w:rsidRDefault="4EEFA0B3" w:rsidP="00980D2E">
      <w:pPr>
        <w:rPr>
          <w:noProof/>
        </w:rPr>
      </w:pPr>
      <w:r w:rsidRPr="5B57A53C">
        <w:rPr>
          <w:noProof/>
        </w:rPr>
        <w:t>Article 8</w:t>
      </w:r>
      <w:r w:rsidR="0F516B5D" w:rsidRPr="5B57A53C">
        <w:rPr>
          <w:noProof/>
        </w:rPr>
        <w:t xml:space="preserve"> on </w:t>
      </w:r>
      <w:r w:rsidR="1B00055B" w:rsidRPr="5B57A53C">
        <w:rPr>
          <w:noProof/>
        </w:rPr>
        <w:t xml:space="preserve">the </w:t>
      </w:r>
      <w:r w:rsidR="0F516B5D" w:rsidRPr="5B57A53C">
        <w:rPr>
          <w:noProof/>
        </w:rPr>
        <w:t>organisation of the permit granting process</w:t>
      </w:r>
      <w:r w:rsidRPr="5B57A53C">
        <w:rPr>
          <w:noProof/>
        </w:rPr>
        <w:t xml:space="preserve"> </w:t>
      </w:r>
      <w:r w:rsidR="7C1F3B4D" w:rsidRPr="5B57A53C">
        <w:rPr>
          <w:noProof/>
        </w:rPr>
        <w:t>clarif</w:t>
      </w:r>
      <w:r w:rsidR="7D67B109" w:rsidRPr="5B57A53C">
        <w:rPr>
          <w:noProof/>
        </w:rPr>
        <w:t>ies</w:t>
      </w:r>
      <w:r w:rsidR="7C1F3B4D" w:rsidRPr="5B57A53C">
        <w:rPr>
          <w:noProof/>
        </w:rPr>
        <w:t xml:space="preserve"> the </w:t>
      </w:r>
      <w:r w:rsidR="44A3D436" w:rsidRPr="5B57A53C">
        <w:rPr>
          <w:noProof/>
        </w:rPr>
        <w:t>responsibilities</w:t>
      </w:r>
      <w:r w:rsidR="7C1F3B4D" w:rsidRPr="5B57A53C">
        <w:rPr>
          <w:noProof/>
        </w:rPr>
        <w:t xml:space="preserve"> of national competent authorities established under the </w:t>
      </w:r>
      <w:r w:rsidR="784150AE" w:rsidRPr="5B57A53C">
        <w:rPr>
          <w:noProof/>
        </w:rPr>
        <w:t>R</w:t>
      </w:r>
      <w:r w:rsidR="7C1F3B4D" w:rsidRPr="5B57A53C">
        <w:rPr>
          <w:noProof/>
        </w:rPr>
        <w:t>egulation</w:t>
      </w:r>
      <w:r w:rsidR="5379BF1B" w:rsidRPr="5B57A53C">
        <w:rPr>
          <w:noProof/>
        </w:rPr>
        <w:t xml:space="preserve"> in line with the different permitting schemes</w:t>
      </w:r>
      <w:r w:rsidR="34470A91" w:rsidRPr="5B57A53C">
        <w:rPr>
          <w:noProof/>
        </w:rPr>
        <w:t>,</w:t>
      </w:r>
      <w:r w:rsidR="5379BF1B" w:rsidRPr="5B57A53C">
        <w:rPr>
          <w:noProof/>
        </w:rPr>
        <w:t xml:space="preserve"> </w:t>
      </w:r>
      <w:r w:rsidR="34470A91" w:rsidRPr="5B57A53C">
        <w:rPr>
          <w:noProof/>
        </w:rPr>
        <w:t>especially in what concerns cooperation with other authorities and mediation of contacts with project promoters</w:t>
      </w:r>
      <w:r w:rsidR="00E148B8">
        <w:rPr>
          <w:noProof/>
        </w:rPr>
        <w:t>. It also increases</w:t>
      </w:r>
      <w:r w:rsidR="5379BF1B" w:rsidRPr="5B57A53C">
        <w:rPr>
          <w:noProof/>
        </w:rPr>
        <w:t xml:space="preserve"> the cross-border cooperation requirements for project</w:t>
      </w:r>
      <w:r w:rsidR="223E1D7E" w:rsidRPr="5B57A53C">
        <w:rPr>
          <w:noProof/>
        </w:rPr>
        <w:t>s involving multiple jurisdictions</w:t>
      </w:r>
      <w:r w:rsidR="7C55B00C" w:rsidRPr="5B57A53C">
        <w:rPr>
          <w:noProof/>
        </w:rPr>
        <w:t xml:space="preserve">. </w:t>
      </w:r>
    </w:p>
    <w:p w14:paraId="3777C4C8" w14:textId="77777777" w:rsidR="47B3188D" w:rsidRPr="00403738" w:rsidRDefault="7C55B00C" w:rsidP="00980D2E">
      <w:pPr>
        <w:rPr>
          <w:noProof/>
        </w:rPr>
      </w:pPr>
      <w:r w:rsidRPr="5B57A53C">
        <w:rPr>
          <w:noProof/>
        </w:rPr>
        <w:t xml:space="preserve">Article 9 </w:t>
      </w:r>
      <w:r w:rsidR="1BB1F681" w:rsidRPr="5B57A53C">
        <w:rPr>
          <w:noProof/>
        </w:rPr>
        <w:t xml:space="preserve">on transparency and public participation </w:t>
      </w:r>
      <w:r w:rsidR="787E589E" w:rsidRPr="5B57A53C">
        <w:rPr>
          <w:noProof/>
        </w:rPr>
        <w:t>provides for</w:t>
      </w:r>
      <w:r w:rsidR="74B76378" w:rsidRPr="5B57A53C">
        <w:rPr>
          <w:noProof/>
        </w:rPr>
        <w:t xml:space="preserve"> </w:t>
      </w:r>
      <w:r w:rsidR="74B76378">
        <w:rPr>
          <w:noProof/>
        </w:rPr>
        <w:t>increas</w:t>
      </w:r>
      <w:r w:rsidR="486EE4B4">
        <w:rPr>
          <w:noProof/>
        </w:rPr>
        <w:t>ed</w:t>
      </w:r>
      <w:r w:rsidR="615B9859">
        <w:rPr>
          <w:noProof/>
        </w:rPr>
        <w:t xml:space="preserve"> </w:t>
      </w:r>
      <w:r w:rsidR="74B76378">
        <w:rPr>
          <w:noProof/>
        </w:rPr>
        <w:t>clarity</w:t>
      </w:r>
      <w:r w:rsidR="74B76378" w:rsidRPr="5B57A53C">
        <w:rPr>
          <w:noProof/>
        </w:rPr>
        <w:t xml:space="preserve"> and simplicity of the procedure, nota</w:t>
      </w:r>
      <w:r w:rsidR="668D454C" w:rsidRPr="5B57A53C">
        <w:rPr>
          <w:noProof/>
        </w:rPr>
        <w:t>bly by merging the reporting obligations of this article into a single report.</w:t>
      </w:r>
    </w:p>
    <w:p w14:paraId="08C4ED40" w14:textId="77777777" w:rsidR="47B3188D" w:rsidRPr="00403738" w:rsidRDefault="668D454C" w:rsidP="00980D2E">
      <w:pPr>
        <w:rPr>
          <w:noProof/>
        </w:rPr>
      </w:pPr>
      <w:r w:rsidRPr="5B57A53C">
        <w:rPr>
          <w:noProof/>
        </w:rPr>
        <w:t xml:space="preserve">Article 10 on </w:t>
      </w:r>
      <w:r w:rsidR="31799FE7" w:rsidRPr="5B57A53C">
        <w:rPr>
          <w:noProof/>
        </w:rPr>
        <w:t>duration</w:t>
      </w:r>
      <w:r w:rsidRPr="5B57A53C">
        <w:rPr>
          <w:noProof/>
        </w:rPr>
        <w:t xml:space="preserve"> and implementation of the permit granting process</w:t>
      </w:r>
      <w:r w:rsidR="032C90C1" w:rsidRPr="5B57A53C">
        <w:rPr>
          <w:noProof/>
        </w:rPr>
        <w:t xml:space="preserve"> </w:t>
      </w:r>
      <w:r w:rsidR="564EA023" w:rsidRPr="5B57A53C">
        <w:rPr>
          <w:noProof/>
        </w:rPr>
        <w:t>introduce</w:t>
      </w:r>
      <w:r w:rsidR="6ED64820" w:rsidRPr="5B57A53C">
        <w:rPr>
          <w:noProof/>
        </w:rPr>
        <w:t>s in particular</w:t>
      </w:r>
      <w:r w:rsidR="564EA023" w:rsidRPr="5B57A53C">
        <w:rPr>
          <w:noProof/>
        </w:rPr>
        <w:t xml:space="preserve"> an obligation to digitalise permitting procedures;</w:t>
      </w:r>
      <w:r w:rsidR="3AD9AC57" w:rsidRPr="5B57A53C">
        <w:rPr>
          <w:noProof/>
        </w:rPr>
        <w:t xml:space="preserve"> </w:t>
      </w:r>
      <w:r w:rsidR="5B3044FD" w:rsidRPr="5B57A53C">
        <w:rPr>
          <w:noProof/>
        </w:rPr>
        <w:t>clarif</w:t>
      </w:r>
      <w:r w:rsidR="00A85B1E">
        <w:rPr>
          <w:noProof/>
        </w:rPr>
        <w:t>ies</w:t>
      </w:r>
      <w:r w:rsidR="5B3044FD" w:rsidRPr="5B57A53C">
        <w:rPr>
          <w:noProof/>
        </w:rPr>
        <w:t xml:space="preserve"> what is considered as the starting date for the permitting procedure; </w:t>
      </w:r>
      <w:r w:rsidR="3AD9AC57" w:rsidRPr="5B57A53C">
        <w:rPr>
          <w:noProof/>
        </w:rPr>
        <w:t>make</w:t>
      </w:r>
      <w:r w:rsidR="00DF2820">
        <w:rPr>
          <w:noProof/>
        </w:rPr>
        <w:t>s</w:t>
      </w:r>
      <w:r w:rsidR="3AD9AC57" w:rsidRPr="5B57A53C">
        <w:rPr>
          <w:noProof/>
        </w:rPr>
        <w:t xml:space="preserve"> the optional nature of the pre-application phase clearer</w:t>
      </w:r>
      <w:r w:rsidR="5BE7E16C" w:rsidRPr="5B57A53C">
        <w:rPr>
          <w:noProof/>
        </w:rPr>
        <w:t>;</w:t>
      </w:r>
      <w:r w:rsidR="3AD9AC57" w:rsidRPr="5B57A53C">
        <w:rPr>
          <w:noProof/>
        </w:rPr>
        <w:t xml:space="preserve"> elaborate</w:t>
      </w:r>
      <w:r w:rsidR="00DF2820">
        <w:rPr>
          <w:noProof/>
        </w:rPr>
        <w:t>s</w:t>
      </w:r>
      <w:r w:rsidR="3AD9AC57" w:rsidRPr="5B57A53C">
        <w:rPr>
          <w:noProof/>
        </w:rPr>
        <w:t xml:space="preserve"> on the </w:t>
      </w:r>
      <w:r w:rsidR="264B67C4" w:rsidRPr="5B57A53C">
        <w:rPr>
          <w:noProof/>
        </w:rPr>
        <w:t>steps comprising it</w:t>
      </w:r>
      <w:r w:rsidR="3AD9AC57" w:rsidRPr="5B57A53C">
        <w:rPr>
          <w:noProof/>
        </w:rPr>
        <w:t xml:space="preserve"> </w:t>
      </w:r>
      <w:r w:rsidR="264B67C4" w:rsidRPr="5B57A53C">
        <w:rPr>
          <w:noProof/>
        </w:rPr>
        <w:t>(</w:t>
      </w:r>
      <w:r w:rsidR="111B213C" w:rsidRPr="5B57A53C">
        <w:rPr>
          <w:noProof/>
        </w:rPr>
        <w:t>scoping</w:t>
      </w:r>
      <w:r w:rsidR="264B67C4" w:rsidRPr="5B57A53C">
        <w:rPr>
          <w:noProof/>
        </w:rPr>
        <w:t>, screening, scheduling, application file verification);</w:t>
      </w:r>
      <w:r w:rsidR="57088A94" w:rsidRPr="5B57A53C">
        <w:rPr>
          <w:noProof/>
        </w:rPr>
        <w:t xml:space="preserve"> </w:t>
      </w:r>
      <w:r w:rsidR="7430EB0C" w:rsidRPr="5B57A53C">
        <w:rPr>
          <w:noProof/>
        </w:rPr>
        <w:t>clarif</w:t>
      </w:r>
      <w:r w:rsidR="00DF2820">
        <w:rPr>
          <w:noProof/>
        </w:rPr>
        <w:t>ies</w:t>
      </w:r>
      <w:r w:rsidR="7430EB0C" w:rsidRPr="5B57A53C">
        <w:rPr>
          <w:noProof/>
        </w:rPr>
        <w:t xml:space="preserve"> the need to take into account existing studies and</w:t>
      </w:r>
      <w:r w:rsidR="46F392C3" w:rsidRPr="5B57A53C">
        <w:rPr>
          <w:noProof/>
        </w:rPr>
        <w:t xml:space="preserve"> authorisations to reduce duplication when defining the documentation necessary for the permitting process</w:t>
      </w:r>
      <w:r w:rsidR="2760D4EC" w:rsidRPr="5B57A53C">
        <w:rPr>
          <w:noProof/>
        </w:rPr>
        <w:t xml:space="preserve">; </w:t>
      </w:r>
      <w:r w:rsidR="00DF2820">
        <w:rPr>
          <w:noProof/>
        </w:rPr>
        <w:t xml:space="preserve">and </w:t>
      </w:r>
      <w:r w:rsidR="57088A94" w:rsidRPr="5B57A53C">
        <w:rPr>
          <w:noProof/>
        </w:rPr>
        <w:t>introduce</w:t>
      </w:r>
      <w:r w:rsidR="00DF2820">
        <w:rPr>
          <w:noProof/>
        </w:rPr>
        <w:t>s</w:t>
      </w:r>
      <w:r w:rsidR="57088A94" w:rsidRPr="5B57A53C">
        <w:rPr>
          <w:noProof/>
        </w:rPr>
        <w:t xml:space="preserve"> tacit approval to decisions taken by the concerned national authorities</w:t>
      </w:r>
      <w:r w:rsidR="002C493F">
        <w:rPr>
          <w:noProof/>
        </w:rPr>
        <w:t xml:space="preserve"> with the exception of </w:t>
      </w:r>
      <w:r w:rsidR="34FB8BC8">
        <w:rPr>
          <w:noProof/>
        </w:rPr>
        <w:t xml:space="preserve">environmental </w:t>
      </w:r>
      <w:r w:rsidR="444410BA">
        <w:rPr>
          <w:noProof/>
        </w:rPr>
        <w:t>decisions</w:t>
      </w:r>
      <w:r w:rsidR="37B29446" w:rsidRPr="5B57A53C">
        <w:rPr>
          <w:noProof/>
        </w:rPr>
        <w:t>.</w:t>
      </w:r>
      <w:r w:rsidR="7430EB0C" w:rsidRPr="5B57A53C">
        <w:rPr>
          <w:noProof/>
        </w:rPr>
        <w:t xml:space="preserve"> </w:t>
      </w:r>
    </w:p>
    <w:p w14:paraId="05CE5365" w14:textId="77777777" w:rsidR="00FF7D13" w:rsidRPr="00FF7D13" w:rsidRDefault="00FF7D13" w:rsidP="00980D2E">
      <w:pPr>
        <w:rPr>
          <w:noProof/>
        </w:rPr>
      </w:pPr>
      <w:r w:rsidRPr="5B57A53C">
        <w:rPr>
          <w:noProof/>
        </w:rPr>
        <w:t xml:space="preserve">Chapter IV outlines the provisions as regards cross-sectoral infrastructure planning, which are strengthened </w:t>
      </w:r>
      <w:r w:rsidR="111203D4" w:rsidRPr="5B57A53C">
        <w:rPr>
          <w:noProof/>
        </w:rPr>
        <w:t>compared with Regulation (EU) 2022/689</w:t>
      </w:r>
      <w:r w:rsidR="1920969F" w:rsidRPr="5B57A53C">
        <w:rPr>
          <w:noProof/>
        </w:rPr>
        <w:t>,</w:t>
      </w:r>
      <w:r w:rsidR="00A10E09">
        <w:rPr>
          <w:noProof/>
        </w:rPr>
        <w:t xml:space="preserve"> </w:t>
      </w:r>
      <w:r w:rsidRPr="5B57A53C">
        <w:rPr>
          <w:noProof/>
        </w:rPr>
        <w:t xml:space="preserve">with a view to better steering of the planning, notably as regards the definition of future scenarios, the identification of long-term </w:t>
      </w:r>
      <w:r w:rsidR="04D7F5FC" w:rsidRPr="5B57A53C">
        <w:rPr>
          <w:noProof/>
        </w:rPr>
        <w:t xml:space="preserve">energy </w:t>
      </w:r>
      <w:r w:rsidRPr="5B57A53C">
        <w:rPr>
          <w:noProof/>
        </w:rPr>
        <w:t xml:space="preserve">infrastructure </w:t>
      </w:r>
      <w:r w:rsidR="7886EA9D" w:rsidRPr="5B57A53C">
        <w:rPr>
          <w:noProof/>
        </w:rPr>
        <w:t>needs</w:t>
      </w:r>
      <w:r w:rsidRPr="5B57A53C">
        <w:rPr>
          <w:noProof/>
        </w:rPr>
        <w:t xml:space="preserve"> and bottlenecks and addressing those </w:t>
      </w:r>
      <w:r w:rsidR="7953A85A" w:rsidRPr="5B57A53C">
        <w:rPr>
          <w:noProof/>
        </w:rPr>
        <w:t>needs</w:t>
      </w:r>
      <w:r w:rsidRPr="5B57A53C">
        <w:rPr>
          <w:noProof/>
        </w:rPr>
        <w:t xml:space="preserve"> with the most adequate solutions. </w:t>
      </w:r>
    </w:p>
    <w:p w14:paraId="5762046F" w14:textId="77777777" w:rsidR="00FF7D13" w:rsidRPr="00FF7D13" w:rsidRDefault="00FF7D13" w:rsidP="00980D2E">
      <w:pPr>
        <w:rPr>
          <w:rFonts w:eastAsia="Times New Roman"/>
          <w:noProof/>
        </w:rPr>
      </w:pPr>
      <w:r w:rsidRPr="5B57A53C">
        <w:rPr>
          <w:rFonts w:eastAsia="Times New Roman"/>
          <w:noProof/>
        </w:rPr>
        <w:t xml:space="preserve">Article 11 empowers the Commission to adopt delegated acts establishing a central scenario for the electricity, hydrogen and gas sectors to be used for the Union-wide </w:t>
      </w:r>
      <w:r w:rsidR="00771DAE">
        <w:rPr>
          <w:rFonts w:eastAsia="Times New Roman"/>
          <w:noProof/>
        </w:rPr>
        <w:t>TYNDP</w:t>
      </w:r>
      <w:r w:rsidRPr="5B57A53C">
        <w:rPr>
          <w:rFonts w:eastAsia="Times New Roman"/>
          <w:noProof/>
        </w:rPr>
        <w:t>, the infrastructure needs identification process, the energy system wide cost-benefit analysis and the cross-border cost allocation of energy infrastructure projects.</w:t>
      </w:r>
      <w:r w:rsidR="008F6DDF">
        <w:rPr>
          <w:rFonts w:eastAsia="Times New Roman"/>
          <w:noProof/>
        </w:rPr>
        <w:t xml:space="preserve"> To ensure data used for developing the scenario are up-to date, the Commission has a right to request them from</w:t>
      </w:r>
      <w:r w:rsidR="003205B5">
        <w:rPr>
          <w:rFonts w:eastAsia="Times New Roman"/>
          <w:noProof/>
        </w:rPr>
        <w:t xml:space="preserve"> Member States, </w:t>
      </w:r>
      <w:r w:rsidR="00720463">
        <w:rPr>
          <w:rFonts w:eastAsia="Times New Roman"/>
          <w:noProof/>
        </w:rPr>
        <w:t>the ENTSO</w:t>
      </w:r>
      <w:r w:rsidR="00E51D99" w:rsidRPr="5B57A53C">
        <w:rPr>
          <w:rFonts w:eastAsia="Times New Roman"/>
          <w:noProof/>
        </w:rPr>
        <w:t xml:space="preserve"> for Electricity</w:t>
      </w:r>
      <w:r w:rsidR="00720463">
        <w:rPr>
          <w:rFonts w:eastAsia="Times New Roman"/>
          <w:noProof/>
        </w:rPr>
        <w:t xml:space="preserve">, the </w:t>
      </w:r>
      <w:r w:rsidR="00720463">
        <w:rPr>
          <w:noProof/>
          <w:color w:val="000000" w:themeColor="text1"/>
          <w:lang w:val="en-IE"/>
        </w:rPr>
        <w:t>ENTSO</w:t>
      </w:r>
      <w:r w:rsidR="00477A5A">
        <w:rPr>
          <w:noProof/>
          <w:color w:val="000000" w:themeColor="text1"/>
          <w:lang w:val="en-IE"/>
        </w:rPr>
        <w:t xml:space="preserve"> for Gas</w:t>
      </w:r>
      <w:r w:rsidR="00720463">
        <w:rPr>
          <w:rFonts w:eastAsia="Times New Roman"/>
          <w:noProof/>
        </w:rPr>
        <w:t>and the ENNOH</w:t>
      </w:r>
      <w:r w:rsidR="003205B5">
        <w:rPr>
          <w:rFonts w:eastAsia="Times New Roman"/>
          <w:noProof/>
        </w:rPr>
        <w:t xml:space="preserve">, as relevant. </w:t>
      </w:r>
      <w:r w:rsidR="00771DAE">
        <w:rPr>
          <w:rFonts w:eastAsia="Times New Roman"/>
          <w:noProof/>
        </w:rPr>
        <w:t>The s</w:t>
      </w:r>
      <w:r w:rsidR="003205B5">
        <w:rPr>
          <w:rFonts w:eastAsia="Times New Roman"/>
          <w:noProof/>
        </w:rPr>
        <w:t>cenario</w:t>
      </w:r>
      <w:r w:rsidR="00403D78">
        <w:rPr>
          <w:rFonts w:eastAsia="Times New Roman"/>
          <w:noProof/>
        </w:rPr>
        <w:t xml:space="preserve"> should be developed in a cross-sectoral manner.</w:t>
      </w:r>
      <w:r w:rsidRPr="5B57A53C">
        <w:rPr>
          <w:rFonts w:eastAsia="Times New Roman"/>
          <w:noProof/>
        </w:rPr>
        <w:t xml:space="preserve"> </w:t>
      </w:r>
      <w:r w:rsidR="00771DAE">
        <w:rPr>
          <w:rFonts w:eastAsia="Times New Roman"/>
          <w:noProof/>
        </w:rPr>
        <w:t>TYNDP s</w:t>
      </w:r>
      <w:r w:rsidRPr="5B57A53C">
        <w:rPr>
          <w:rFonts w:eastAsia="Times New Roman"/>
          <w:noProof/>
        </w:rPr>
        <w:t xml:space="preserve">cenarios have until now </w:t>
      </w:r>
      <w:r w:rsidR="1A476A1D" w:rsidRPr="5B57A53C">
        <w:rPr>
          <w:rFonts w:eastAsia="Times New Roman"/>
          <w:noProof/>
        </w:rPr>
        <w:t>be</w:t>
      </w:r>
      <w:r w:rsidR="1863858D" w:rsidRPr="5B57A53C">
        <w:rPr>
          <w:rFonts w:eastAsia="Times New Roman"/>
          <w:noProof/>
        </w:rPr>
        <w:t>e</w:t>
      </w:r>
      <w:r w:rsidR="1A476A1D" w:rsidRPr="5B57A53C">
        <w:rPr>
          <w:rFonts w:eastAsia="Times New Roman"/>
          <w:noProof/>
        </w:rPr>
        <w:t>n</w:t>
      </w:r>
      <w:r w:rsidRPr="5B57A53C">
        <w:rPr>
          <w:rFonts w:eastAsia="Times New Roman"/>
          <w:noProof/>
        </w:rPr>
        <w:t xml:space="preserve"> developed by the ENTSO for Electricity, the ENTSO for Gas and</w:t>
      </w:r>
      <w:r w:rsidR="00D73712">
        <w:rPr>
          <w:rFonts w:eastAsia="Times New Roman"/>
          <w:noProof/>
        </w:rPr>
        <w:t xml:space="preserve"> the</w:t>
      </w:r>
      <w:r w:rsidRPr="5B57A53C">
        <w:rPr>
          <w:rFonts w:eastAsia="Times New Roman"/>
          <w:noProof/>
        </w:rPr>
        <w:t xml:space="preserve"> ENNOH. </w:t>
      </w:r>
    </w:p>
    <w:p w14:paraId="6650FFBF" w14:textId="77777777" w:rsidR="00FF7D13" w:rsidRPr="00FF7D13" w:rsidRDefault="00FF7D13" w:rsidP="00980D2E">
      <w:pPr>
        <w:rPr>
          <w:rFonts w:eastAsia="Times New Roman"/>
          <w:noProof/>
        </w:rPr>
      </w:pPr>
      <w:r w:rsidRPr="5B57A53C">
        <w:rPr>
          <w:rFonts w:eastAsia="Times New Roman"/>
          <w:noProof/>
        </w:rPr>
        <w:t>Article 12 entrusts the ENTSO for Electricity and the ENNOH, with developing an infrastructure needs identification report</w:t>
      </w:r>
      <w:r w:rsidR="00BE5D5C">
        <w:rPr>
          <w:rFonts w:eastAsia="Times New Roman"/>
          <w:noProof/>
        </w:rPr>
        <w:t xml:space="preserve"> </w:t>
      </w:r>
      <w:r w:rsidR="00BE5D5C" w:rsidRPr="00BE5D5C">
        <w:rPr>
          <w:rFonts w:eastAsia="Times New Roman"/>
          <w:noProof/>
          <w:u w:val="single"/>
        </w:rPr>
        <w:t>for electricity and hydrogen respectively. The report should</w:t>
      </w:r>
      <w:r w:rsidRPr="5B57A53C">
        <w:rPr>
          <w:rFonts w:eastAsia="Times New Roman"/>
          <w:noProof/>
        </w:rPr>
        <w:t xml:space="preserve"> identify infrastructure gaps affecting the Union’s objectives related to electricity and hydrogen, based in particular on a binding methodology to be prepared by ACER</w:t>
      </w:r>
      <w:r w:rsidR="00686C44">
        <w:rPr>
          <w:rFonts w:eastAsia="Times New Roman"/>
          <w:noProof/>
        </w:rPr>
        <w:t xml:space="preserve"> and the central scenario</w:t>
      </w:r>
      <w:r w:rsidR="00D4622D">
        <w:rPr>
          <w:rFonts w:eastAsia="Times New Roman"/>
          <w:noProof/>
        </w:rPr>
        <w:t xml:space="preserve"> pursuant to Article 11</w:t>
      </w:r>
      <w:r w:rsidRPr="5B57A53C">
        <w:rPr>
          <w:rFonts w:eastAsia="Times New Roman"/>
          <w:noProof/>
        </w:rPr>
        <w:t xml:space="preserve">. </w:t>
      </w:r>
      <w:r w:rsidR="4E851B4E" w:rsidRPr="5B57A53C">
        <w:rPr>
          <w:rFonts w:eastAsia="Times New Roman"/>
          <w:noProof/>
        </w:rPr>
        <w:t xml:space="preserve">The Article </w:t>
      </w:r>
      <w:r w:rsidRPr="5B57A53C">
        <w:rPr>
          <w:rFonts w:eastAsia="Times New Roman"/>
          <w:noProof/>
        </w:rPr>
        <w:t>provides that the infrastructure needs identification reports must be endorsed by the decision-making body of the TEN-E Group, which is the cross-regional meeting configuration of all Groups established under the Regulation.</w:t>
      </w:r>
      <w:r w:rsidR="00DE5AED">
        <w:rPr>
          <w:rFonts w:eastAsia="Times New Roman"/>
          <w:noProof/>
        </w:rPr>
        <w:t xml:space="preserve"> Specifically for electricity, the report must consider non-wire solutions when assessing and addressing </w:t>
      </w:r>
      <w:r w:rsidR="00A048FC">
        <w:rPr>
          <w:rFonts w:eastAsia="Times New Roman"/>
          <w:noProof/>
        </w:rPr>
        <w:t>the needs.</w:t>
      </w:r>
      <w:r w:rsidRPr="5B57A53C">
        <w:rPr>
          <w:rFonts w:eastAsia="Times New Roman"/>
          <w:noProof/>
        </w:rPr>
        <w:t xml:space="preserve"> </w:t>
      </w:r>
    </w:p>
    <w:p w14:paraId="4C703208" w14:textId="77777777" w:rsidR="00FF7D13" w:rsidRPr="00FF7D13" w:rsidRDefault="00FF7D13" w:rsidP="00980D2E">
      <w:pPr>
        <w:rPr>
          <w:rFonts w:eastAsia="Times New Roman"/>
          <w:noProof/>
          <w:szCs w:val="24"/>
        </w:rPr>
      </w:pPr>
      <w:r w:rsidRPr="00FF7D13">
        <w:rPr>
          <w:rFonts w:eastAsia="Times New Roman"/>
          <w:noProof/>
          <w:szCs w:val="24"/>
        </w:rPr>
        <w:t xml:space="preserve">Article 13 empowers the Commission to launch a </w:t>
      </w:r>
      <w:r w:rsidR="00A066D7">
        <w:rPr>
          <w:rFonts w:eastAsia="Times New Roman"/>
          <w:noProof/>
          <w:szCs w:val="24"/>
        </w:rPr>
        <w:t xml:space="preserve">needs matching </w:t>
      </w:r>
      <w:r w:rsidRPr="00FF7D13">
        <w:rPr>
          <w:rFonts w:eastAsia="Times New Roman"/>
          <w:noProof/>
          <w:szCs w:val="24"/>
        </w:rPr>
        <w:t xml:space="preserve">process </w:t>
      </w:r>
      <w:r w:rsidR="00A066D7">
        <w:rPr>
          <w:rFonts w:eastAsia="Times New Roman"/>
          <w:noProof/>
          <w:szCs w:val="24"/>
        </w:rPr>
        <w:t xml:space="preserve">in the electricity system </w:t>
      </w:r>
      <w:r w:rsidRPr="00FF7D13">
        <w:rPr>
          <w:rFonts w:eastAsia="Times New Roman"/>
          <w:noProof/>
          <w:szCs w:val="24"/>
        </w:rPr>
        <w:t xml:space="preserve">to identify possible solutions </w:t>
      </w:r>
      <w:r w:rsidR="00A066D7">
        <w:rPr>
          <w:rFonts w:eastAsia="Times New Roman"/>
          <w:noProof/>
          <w:szCs w:val="24"/>
        </w:rPr>
        <w:t>for</w:t>
      </w:r>
      <w:r w:rsidRPr="00FF7D13">
        <w:rPr>
          <w:rFonts w:eastAsia="Times New Roman"/>
          <w:noProof/>
          <w:szCs w:val="24"/>
        </w:rPr>
        <w:t xml:space="preserve"> unmatched needs in case the infrastructure needs identification report for electricity concludes that projects submitted for inclusion in the Union wide ten-year network development plan do not fully meet the infrastructure needs identified pursuant to Article 12.</w:t>
      </w:r>
      <w:r w:rsidR="00A048FC">
        <w:rPr>
          <w:rFonts w:eastAsia="Times New Roman"/>
          <w:noProof/>
          <w:szCs w:val="24"/>
        </w:rPr>
        <w:t xml:space="preserve"> </w:t>
      </w:r>
      <w:r w:rsidR="00210CAF">
        <w:rPr>
          <w:rFonts w:eastAsia="Times New Roman"/>
          <w:noProof/>
          <w:szCs w:val="24"/>
        </w:rPr>
        <w:t xml:space="preserve">The needs matching </w:t>
      </w:r>
      <w:r w:rsidR="00242224">
        <w:rPr>
          <w:rFonts w:eastAsia="Times New Roman"/>
          <w:noProof/>
          <w:szCs w:val="24"/>
        </w:rPr>
        <w:t>process should be based on existing regional cooperation, steered by the Commission and linked with the TYNDP process.</w:t>
      </w:r>
      <w:r w:rsidRPr="00FF7D13">
        <w:rPr>
          <w:rFonts w:eastAsia="Times New Roman"/>
          <w:noProof/>
          <w:szCs w:val="24"/>
        </w:rPr>
        <w:t xml:space="preserve">  </w:t>
      </w:r>
    </w:p>
    <w:p w14:paraId="073C291D" w14:textId="77777777" w:rsidR="00FF7D13" w:rsidRDefault="00FF7D13" w:rsidP="00980D2E">
      <w:pPr>
        <w:rPr>
          <w:noProof/>
        </w:rPr>
      </w:pPr>
      <w:r w:rsidRPr="5B57A53C">
        <w:rPr>
          <w:noProof/>
        </w:rPr>
        <w:t>Article 14 mandates the ENTSO for Electricity and the ENNOH to use consistent single sector methodologies for a harmonised energy system-wide cost-benefit analysis at Union level when assessing projects (in all energy infrastructure categories except smart electricity grids and CO</w:t>
      </w:r>
      <w:r w:rsidRPr="009B035D">
        <w:rPr>
          <w:noProof/>
          <w:vertAlign w:val="subscript"/>
        </w:rPr>
        <w:t>2</w:t>
      </w:r>
      <w:r w:rsidRPr="5B57A53C">
        <w:rPr>
          <w:noProof/>
        </w:rPr>
        <w:t xml:space="preserve">) for their inclusion in their respective Union wide ten-year network development plans. The methodologies must be submitted to the Commission for approval. </w:t>
      </w:r>
      <w:r w:rsidR="00E51D99" w:rsidRPr="5B57A53C">
        <w:rPr>
          <w:rFonts w:eastAsia="Times New Roman"/>
          <w:noProof/>
        </w:rPr>
        <w:t>ENTSO for Electricity</w:t>
      </w:r>
      <w:r w:rsidR="00E51D99" w:rsidRPr="5B57A53C" w:rsidDel="00E51D99">
        <w:rPr>
          <w:noProof/>
        </w:rPr>
        <w:t xml:space="preserve"> </w:t>
      </w:r>
      <w:r w:rsidRPr="5B57A53C">
        <w:rPr>
          <w:noProof/>
        </w:rPr>
        <w:t xml:space="preserve">and </w:t>
      </w:r>
      <w:r w:rsidR="00210CAF">
        <w:rPr>
          <w:noProof/>
        </w:rPr>
        <w:t xml:space="preserve">the </w:t>
      </w:r>
      <w:r w:rsidRPr="5B57A53C">
        <w:rPr>
          <w:noProof/>
        </w:rPr>
        <w:t>ENNOH are required to calculate and publish, as part of the Union-wide ten-year network development plan, the results of cost-benefit analyses for all projects, showing how the benefits are distributed across countries. The Article further specifies that for smart electricity grids projects and CO</w:t>
      </w:r>
      <w:r w:rsidRPr="009B035D">
        <w:rPr>
          <w:noProof/>
          <w:vertAlign w:val="subscript"/>
        </w:rPr>
        <w:t>2</w:t>
      </w:r>
      <w:r w:rsidRPr="5B57A53C">
        <w:rPr>
          <w:noProof/>
        </w:rPr>
        <w:t xml:space="preserve"> projects, it is for the Commission to develop methodologies for a harmonised energy system-wide cost-benefit analysis at Union level, as is the case today. </w:t>
      </w:r>
    </w:p>
    <w:p w14:paraId="2A01E699" w14:textId="77777777" w:rsidR="002F50C5" w:rsidRDefault="002F50C5" w:rsidP="00980D2E">
      <w:pPr>
        <w:rPr>
          <w:noProof/>
          <w:lang w:val="en-IE"/>
        </w:rPr>
      </w:pPr>
      <w:r w:rsidRPr="5B57A53C">
        <w:rPr>
          <w:noProof/>
          <w:lang w:val="en-IE"/>
        </w:rPr>
        <w:t xml:space="preserve">The provisions under Chapter V address the need </w:t>
      </w:r>
      <w:r w:rsidR="694AA620" w:rsidRPr="5B57A53C">
        <w:rPr>
          <w:noProof/>
          <w:lang w:val="en-IE"/>
        </w:rPr>
        <w:t xml:space="preserve">to develop </w:t>
      </w:r>
      <w:r w:rsidRPr="5B57A53C">
        <w:rPr>
          <w:noProof/>
          <w:lang w:val="en-IE"/>
        </w:rPr>
        <w:t xml:space="preserve">the grid </w:t>
      </w:r>
      <w:r w:rsidR="1D61AE77" w:rsidRPr="5B57A53C">
        <w:rPr>
          <w:noProof/>
          <w:lang w:val="en-IE"/>
        </w:rPr>
        <w:t>to accommodate</w:t>
      </w:r>
      <w:r w:rsidRPr="5B57A53C">
        <w:rPr>
          <w:noProof/>
          <w:lang w:val="en-IE"/>
        </w:rPr>
        <w:t xml:space="preserve"> the significant expected scale-up of electricity generation from offshore renewable energy sources. The Chapter supports the coordinated long-term planning and development of offshore and onshore </w:t>
      </w:r>
      <w:r w:rsidR="3DD1C177" w:rsidRPr="5B57A53C">
        <w:rPr>
          <w:noProof/>
          <w:lang w:val="en-IE"/>
        </w:rPr>
        <w:t>infrastructure</w:t>
      </w:r>
      <w:r w:rsidR="4A8C7E87" w:rsidRPr="5B57A53C">
        <w:rPr>
          <w:noProof/>
          <w:lang w:val="en-IE"/>
        </w:rPr>
        <w:t>.</w:t>
      </w:r>
      <w:r w:rsidRPr="5B57A53C">
        <w:rPr>
          <w:noProof/>
          <w:lang w:val="en-IE"/>
        </w:rPr>
        <w:t xml:space="preserve"> As a novelty, under Article 15  Member States are required, as part of their non-binding agreements and within their specific priority offshore grid corridors, to consider establishing specific cross-border goals, such as for hybrid or cross-border radial projects</w:t>
      </w:r>
      <w:r w:rsidR="1506C886" w:rsidRPr="5B57A53C">
        <w:rPr>
          <w:noProof/>
          <w:lang w:val="en-IE"/>
        </w:rPr>
        <w:t>,</w:t>
      </w:r>
      <w:r w:rsidRPr="5B57A53C">
        <w:rPr>
          <w:noProof/>
          <w:lang w:val="en-IE"/>
        </w:rPr>
        <w:t xml:space="preserve"> with the aim to achieve the goals for offshore renewable generation to be deployed within each sea basin in the most efficient manner. </w:t>
      </w:r>
    </w:p>
    <w:p w14:paraId="25F843BD" w14:textId="77777777" w:rsidR="002F50C5" w:rsidRPr="002F50C5" w:rsidRDefault="002F50C5" w:rsidP="00980D2E">
      <w:pPr>
        <w:rPr>
          <w:noProof/>
          <w:lang w:val="en-IE"/>
        </w:rPr>
      </w:pPr>
      <w:r w:rsidRPr="5B57A53C">
        <w:rPr>
          <w:noProof/>
          <w:lang w:val="en-IE"/>
        </w:rPr>
        <w:t xml:space="preserve">Chapter VI strengthens the provisions </w:t>
      </w:r>
      <w:r w:rsidR="2EF73013" w:rsidRPr="5B57A53C">
        <w:rPr>
          <w:noProof/>
          <w:lang w:val="en-IE"/>
        </w:rPr>
        <w:t>for a</w:t>
      </w:r>
      <w:r w:rsidR="7DDE5569" w:rsidRPr="5B57A53C">
        <w:rPr>
          <w:noProof/>
          <w:lang w:val="en-IE"/>
        </w:rPr>
        <w:t xml:space="preserve"> regulatory framework </w:t>
      </w:r>
      <w:r w:rsidR="4D81DBFC" w:rsidRPr="5B57A53C">
        <w:rPr>
          <w:noProof/>
          <w:lang w:val="en-IE"/>
        </w:rPr>
        <w:t>enabling investments with a cross-border impact</w:t>
      </w:r>
      <w:r w:rsidRPr="5B57A53C">
        <w:rPr>
          <w:noProof/>
          <w:lang w:val="en-IE"/>
        </w:rPr>
        <w:t xml:space="preserve">. </w:t>
      </w:r>
    </w:p>
    <w:p w14:paraId="404B806D" w14:textId="77777777" w:rsidR="002F50C5" w:rsidRPr="002F50C5" w:rsidRDefault="002F50C5" w:rsidP="00980D2E">
      <w:pPr>
        <w:rPr>
          <w:noProof/>
          <w:lang w:val="en-IE"/>
        </w:rPr>
      </w:pPr>
      <w:r w:rsidRPr="5B57A53C">
        <w:rPr>
          <w:noProof/>
          <w:lang w:val="en-IE"/>
        </w:rPr>
        <w:t xml:space="preserve">Firstly, it specifies in Article 17 the principles that national regulatory authorities must apply when allocating costs across borders, </w:t>
      </w:r>
      <w:r w:rsidR="3E7E375D" w:rsidRPr="5B57A53C">
        <w:rPr>
          <w:noProof/>
          <w:lang w:val="en-IE"/>
        </w:rPr>
        <w:t>including</w:t>
      </w:r>
      <w:r w:rsidRPr="5B57A53C">
        <w:rPr>
          <w:noProof/>
          <w:lang w:val="en-IE"/>
        </w:rPr>
        <w:t xml:space="preserve"> that in order to ensure investment certainty, the cross-border cost allocation (‘CBCA’) must be based on an ex-ante cost-allocation agreement, with the possibility of ex-post adjustments, provided that such adjustments are explicitly defined in the cost allocation decision and clearly framed, including as regards timeframes and categories of costs covered.</w:t>
      </w:r>
      <w:r w:rsidR="78F848AC" w:rsidRPr="5B57A53C">
        <w:rPr>
          <w:noProof/>
          <w:lang w:val="en-IE"/>
        </w:rPr>
        <w:t xml:space="preserve"> </w:t>
      </w:r>
      <w:r w:rsidR="5AADD7A9" w:rsidRPr="5B57A53C">
        <w:rPr>
          <w:noProof/>
          <w:lang w:val="en-IE"/>
        </w:rPr>
        <w:t xml:space="preserve">Where appropriate, the allocation of costs amongst Member States shall be based on the distribution of net-benefits. </w:t>
      </w:r>
      <w:r w:rsidR="78F848AC" w:rsidRPr="5B57A53C">
        <w:rPr>
          <w:noProof/>
          <w:lang w:val="en-IE"/>
        </w:rPr>
        <w:t>It</w:t>
      </w:r>
      <w:r w:rsidR="34EE0B2F" w:rsidRPr="5B57A53C">
        <w:rPr>
          <w:noProof/>
          <w:lang w:val="en-IE"/>
        </w:rPr>
        <w:t xml:space="preserve"> also</w:t>
      </w:r>
      <w:r w:rsidR="78F848AC" w:rsidRPr="5B57A53C">
        <w:rPr>
          <w:noProof/>
          <w:lang w:val="en-IE"/>
        </w:rPr>
        <w:t xml:space="preserve"> includes that</w:t>
      </w:r>
      <w:r w:rsidR="783204B1" w:rsidRPr="5B57A53C">
        <w:rPr>
          <w:noProof/>
          <w:lang w:val="en-IE"/>
        </w:rPr>
        <w:t xml:space="preserve"> </w:t>
      </w:r>
      <w:r w:rsidR="032D04C9" w:rsidRPr="5B57A53C">
        <w:rPr>
          <w:noProof/>
          <w:lang w:val="en-IE"/>
        </w:rPr>
        <w:t>if 10% or more of a project’s estimated benefits occur in a Member State, that Member State and its national regulatory authority shall take part in the cross-border cost allocation process.</w:t>
      </w:r>
      <w:r w:rsidR="1078DCCA" w:rsidRPr="5B57A53C">
        <w:rPr>
          <w:noProof/>
          <w:lang w:val="en-IE"/>
        </w:rPr>
        <w:t xml:space="preserve"> </w:t>
      </w:r>
      <w:r w:rsidRPr="5B57A53C">
        <w:rPr>
          <w:noProof/>
          <w:lang w:val="en-IE"/>
        </w:rPr>
        <w:t>ACER is</w:t>
      </w:r>
      <w:r w:rsidR="512CDC6C" w:rsidRPr="5B57A53C">
        <w:rPr>
          <w:noProof/>
          <w:lang w:val="en-IE"/>
        </w:rPr>
        <w:t xml:space="preserve"> </w:t>
      </w:r>
      <w:r w:rsidRPr="5B57A53C">
        <w:rPr>
          <w:noProof/>
          <w:lang w:val="en-IE"/>
        </w:rPr>
        <w:t>mandated</w:t>
      </w:r>
      <w:r w:rsidR="5CA429A0" w:rsidRPr="5B57A53C">
        <w:rPr>
          <w:noProof/>
          <w:lang w:val="en-IE"/>
        </w:rPr>
        <w:t xml:space="preserve"> to update its Recommendation on identifying good practices for the treatment of investment requests for projects in line with the a</w:t>
      </w:r>
      <w:r w:rsidR="1D2BBE56" w:rsidRPr="5B57A53C">
        <w:rPr>
          <w:noProof/>
          <w:lang w:val="en-IE"/>
        </w:rPr>
        <w:t>bove</w:t>
      </w:r>
      <w:r w:rsidR="5CA429A0" w:rsidRPr="5B57A53C">
        <w:rPr>
          <w:noProof/>
          <w:lang w:val="en-IE"/>
        </w:rPr>
        <w:t xml:space="preserve">-mentioned principles </w:t>
      </w:r>
      <w:r w:rsidR="50EDDEDE" w:rsidRPr="5B57A53C">
        <w:rPr>
          <w:noProof/>
          <w:lang w:val="en-IE"/>
        </w:rPr>
        <w:t>and</w:t>
      </w:r>
      <w:r w:rsidRPr="5B57A53C">
        <w:rPr>
          <w:noProof/>
          <w:lang w:val="en-IE"/>
        </w:rPr>
        <w:t xml:space="preserve"> to establish a central repository of all cross-border cost-allocation decisions taken by national regulatory authorities and to host it on its website as well as to provide</w:t>
      </w:r>
      <w:r w:rsidR="00FC0215" w:rsidRPr="5B57A53C">
        <w:rPr>
          <w:noProof/>
          <w:lang w:val="en-IE"/>
        </w:rPr>
        <w:t xml:space="preserve"> a non-binding </w:t>
      </w:r>
      <w:r w:rsidR="00CF3BAB" w:rsidRPr="5B57A53C">
        <w:rPr>
          <w:noProof/>
          <w:lang w:val="en-IE"/>
        </w:rPr>
        <w:t>CBCA template to facilitate the work of national regulatory agencies</w:t>
      </w:r>
      <w:r w:rsidRPr="5B57A53C">
        <w:rPr>
          <w:noProof/>
          <w:lang w:val="en-IE"/>
        </w:rPr>
        <w:t xml:space="preserve">. </w:t>
      </w:r>
    </w:p>
    <w:p w14:paraId="2B8ABC7A" w14:textId="77777777" w:rsidR="002F50C5" w:rsidRPr="002F50C5" w:rsidRDefault="002F50C5" w:rsidP="00980D2E">
      <w:pPr>
        <w:rPr>
          <w:noProof/>
          <w:lang w:val="en-IE"/>
        </w:rPr>
      </w:pPr>
      <w:r w:rsidRPr="5B57A53C">
        <w:rPr>
          <w:noProof/>
          <w:lang w:val="en-IE"/>
        </w:rPr>
        <w:t xml:space="preserve">Secondly, a new Article (Article 18) is introduced, which </w:t>
      </w:r>
      <w:r w:rsidR="2825A800" w:rsidRPr="5B57A53C">
        <w:rPr>
          <w:noProof/>
          <w:lang w:val="en-IE"/>
        </w:rPr>
        <w:t xml:space="preserve">supports a process under which </w:t>
      </w:r>
      <w:r w:rsidRPr="5B57A53C">
        <w:rPr>
          <w:noProof/>
          <w:lang w:val="en-IE"/>
        </w:rPr>
        <w:t xml:space="preserve"> project promoters </w:t>
      </w:r>
      <w:r w:rsidR="52C852F4" w:rsidRPr="5B57A53C">
        <w:rPr>
          <w:noProof/>
          <w:lang w:val="en-IE"/>
        </w:rPr>
        <w:t>may</w:t>
      </w:r>
      <w:r w:rsidRPr="5B57A53C">
        <w:rPr>
          <w:noProof/>
          <w:lang w:val="en-IE"/>
        </w:rPr>
        <w:t xml:space="preserve"> bundle two or more </w:t>
      </w:r>
      <w:r w:rsidR="14C377C6" w:rsidRPr="5B57A53C">
        <w:rPr>
          <w:noProof/>
          <w:lang w:val="en-IE"/>
        </w:rPr>
        <w:t>projects of common interest and p</w:t>
      </w:r>
      <w:r w:rsidR="0DEC9BB4" w:rsidRPr="5B57A53C">
        <w:rPr>
          <w:noProof/>
          <w:lang w:val="en-IE"/>
        </w:rPr>
        <w:t>r</w:t>
      </w:r>
      <w:r w:rsidR="14C377C6" w:rsidRPr="5B57A53C">
        <w:rPr>
          <w:noProof/>
          <w:lang w:val="en-IE"/>
        </w:rPr>
        <w:t xml:space="preserve">ojects of mutual interest </w:t>
      </w:r>
      <w:r w:rsidR="768845F5" w:rsidRPr="5B57A53C">
        <w:rPr>
          <w:noProof/>
          <w:lang w:val="en-IE"/>
        </w:rPr>
        <w:t xml:space="preserve"> </w:t>
      </w:r>
      <w:r w:rsidRPr="5B57A53C">
        <w:rPr>
          <w:noProof/>
          <w:lang w:val="en-IE"/>
        </w:rPr>
        <w:t>to facilitate the discussions on cost</w:t>
      </w:r>
      <w:r w:rsidR="0A7FE67A" w:rsidRPr="5B57A53C">
        <w:rPr>
          <w:noProof/>
          <w:lang w:val="en-IE"/>
        </w:rPr>
        <w:t>-</w:t>
      </w:r>
      <w:r w:rsidRPr="5B57A53C">
        <w:rPr>
          <w:noProof/>
          <w:lang w:val="en-IE"/>
        </w:rPr>
        <w:t xml:space="preserve">sharing between the relevant Member States, and with third countries as appropriate, and the CBCA decisions between the concerned competent authorities of the Member States or between the competent authorities of the Member States and third countries, as appropriate. Article 18 further clarifies the rules on </w:t>
      </w:r>
      <w:r w:rsidR="7D510D8E" w:rsidRPr="5B57A53C">
        <w:rPr>
          <w:noProof/>
          <w:lang w:val="en-IE"/>
        </w:rPr>
        <w:t>joint</w:t>
      </w:r>
      <w:r w:rsidRPr="5B57A53C">
        <w:rPr>
          <w:noProof/>
          <w:lang w:val="en-IE"/>
        </w:rPr>
        <w:t xml:space="preserve"> cost</w:t>
      </w:r>
      <w:r w:rsidR="6F6BCDD0" w:rsidRPr="5B57A53C">
        <w:rPr>
          <w:noProof/>
          <w:lang w:val="en-IE"/>
        </w:rPr>
        <w:t>-</w:t>
      </w:r>
      <w:r w:rsidRPr="5B57A53C">
        <w:rPr>
          <w:noProof/>
          <w:lang w:val="en-IE"/>
        </w:rPr>
        <w:t>benefit analysis and CBCA applicable to such bundles of projects</w:t>
      </w:r>
      <w:r w:rsidR="7ABBF4D0" w:rsidRPr="5B57A53C">
        <w:rPr>
          <w:noProof/>
          <w:lang w:val="en-IE"/>
        </w:rPr>
        <w:t xml:space="preserve"> </w:t>
      </w:r>
      <w:r w:rsidR="260D2548" w:rsidRPr="5B57A53C">
        <w:rPr>
          <w:noProof/>
          <w:lang w:val="en-IE"/>
        </w:rPr>
        <w:t>in view of facilitating a possible CEF application</w:t>
      </w:r>
      <w:r w:rsidRPr="5B57A53C">
        <w:rPr>
          <w:noProof/>
          <w:lang w:val="en-IE"/>
        </w:rPr>
        <w:t xml:space="preserve">. </w:t>
      </w:r>
    </w:p>
    <w:p w14:paraId="046D56DC" w14:textId="77777777" w:rsidR="002F50C5" w:rsidRPr="002F50C5" w:rsidRDefault="002F50C5" w:rsidP="00980D2E">
      <w:pPr>
        <w:rPr>
          <w:noProof/>
          <w:lang w:val="en-IE"/>
        </w:rPr>
      </w:pPr>
      <w:r w:rsidRPr="4E141F37">
        <w:rPr>
          <w:noProof/>
          <w:lang w:val="en-IE"/>
        </w:rPr>
        <w:t xml:space="preserve">Thirdly, new Article (Article 19) is </w:t>
      </w:r>
      <w:r w:rsidR="1FE204E3" w:rsidRPr="4E141F37">
        <w:rPr>
          <w:noProof/>
          <w:lang w:val="en-IE"/>
        </w:rPr>
        <w:t>introduced</w:t>
      </w:r>
      <w:r w:rsidRPr="4E141F37">
        <w:rPr>
          <w:noProof/>
          <w:lang w:val="en-IE"/>
        </w:rPr>
        <w:t xml:space="preserve">, requiring transmission system operators (‘TSOs’) to set aside, for network investments into projects on the Union list relevant to reducing interconnector congestion, 25% of the congestion rents not spent for guaranteeing the actual availability of allocated capacity and for compensation to offshore renewable electricity generation plant operators.  Article 19 specifies conditions for the use of the </w:t>
      </w:r>
      <w:r w:rsidR="00980D2E" w:rsidRPr="4E141F37">
        <w:rPr>
          <w:noProof/>
          <w:lang w:val="en-IE"/>
        </w:rPr>
        <w:t>funds</w:t>
      </w:r>
      <w:r w:rsidR="00AC0C65" w:rsidRPr="4E141F37">
        <w:rPr>
          <w:noProof/>
          <w:lang w:val="en-IE"/>
        </w:rPr>
        <w:t xml:space="preserve"> </w:t>
      </w:r>
      <w:r w:rsidR="00980D2E" w:rsidRPr="4E141F37">
        <w:rPr>
          <w:noProof/>
          <w:lang w:val="en-IE"/>
        </w:rPr>
        <w:t>and</w:t>
      </w:r>
      <w:r w:rsidRPr="4E141F37">
        <w:rPr>
          <w:noProof/>
          <w:lang w:val="en-IE"/>
        </w:rPr>
        <w:t xml:space="preserve"> empowers the Commission to adopt delegated acts to further specify the conditions under which TSOs may use these funds and the conditions for their release. ACER is required to update its existing methodology on the use of revenues from congestion income pursuant Article 19(4) Electricity Regulation to ensure consistency with these new provisions.</w:t>
      </w:r>
    </w:p>
    <w:p w14:paraId="71A9F4C9" w14:textId="77777777" w:rsidR="002F50C5" w:rsidRDefault="002F50C5" w:rsidP="00980D2E">
      <w:pPr>
        <w:rPr>
          <w:noProof/>
          <w:lang w:val="en-IE"/>
        </w:rPr>
      </w:pPr>
      <w:r w:rsidRPr="002F50C5">
        <w:rPr>
          <w:noProof/>
          <w:lang w:val="en-IE"/>
        </w:rPr>
        <w:t>Lastly, Article 20 lays down the conditions under which Member States and national regulatory authorities may grant appropriate incentives for projects that incur higher risks for the development, construction, operation or maintenance, when compared to the risks normally incurred by a comparable infrastructure project.</w:t>
      </w:r>
    </w:p>
    <w:p w14:paraId="2020AC12" w14:textId="77777777" w:rsidR="002F50C5" w:rsidRPr="002F50C5" w:rsidRDefault="002F50C5" w:rsidP="00980D2E">
      <w:pPr>
        <w:rPr>
          <w:noProof/>
          <w:lang w:val="en-IE"/>
        </w:rPr>
      </w:pPr>
      <w:r w:rsidRPr="5B57A53C">
        <w:rPr>
          <w:noProof/>
          <w:lang w:val="en-IE"/>
        </w:rPr>
        <w:t xml:space="preserve">Chapter VII </w:t>
      </w:r>
      <w:r w:rsidR="3FB50D64" w:rsidRPr="5B57A53C">
        <w:rPr>
          <w:noProof/>
          <w:lang w:val="en-IE"/>
        </w:rPr>
        <w:t>sets out the conditions for</w:t>
      </w:r>
      <w:r w:rsidRPr="5B57A53C">
        <w:rPr>
          <w:noProof/>
          <w:lang w:val="en-IE"/>
        </w:rPr>
        <w:t xml:space="preserve"> the eligibility of projects </w:t>
      </w:r>
      <w:r w:rsidR="6477E49B" w:rsidRPr="5B57A53C">
        <w:rPr>
          <w:noProof/>
          <w:lang w:val="en-IE"/>
        </w:rPr>
        <w:t xml:space="preserve">on the Union list </w:t>
      </w:r>
      <w:r w:rsidRPr="5B57A53C">
        <w:rPr>
          <w:noProof/>
          <w:lang w:val="en-IE"/>
        </w:rPr>
        <w:t xml:space="preserve">for financial assistance under the Connecting Europe Facility, including for the new infrastructure categories. In particular, compared with </w:t>
      </w:r>
      <w:r w:rsidR="49A15744" w:rsidRPr="5B57A53C">
        <w:rPr>
          <w:noProof/>
          <w:lang w:val="en-IE"/>
        </w:rPr>
        <w:t>Regulation (EU) 2022/689</w:t>
      </w:r>
      <w:r w:rsidRPr="5B57A53C">
        <w:rPr>
          <w:noProof/>
          <w:lang w:val="en-IE"/>
        </w:rPr>
        <w:t>, Article 21 sets out in more detail the criteria applicable for projects other than the energy infrastructure that are under the competence of national regulatory authorities. Since those projects do not receive a CBCA, they must receive an evaluation carried out by the relevant national authority and the provision develops the conditions for such an evaluation. Article 22 provides that the specific criteria set out in Article 4(3) and the parameters set out in Article 4(5) of the Regulation must be applied for the purpose of establishing award criteria for Union financial assistance under the Regulation on the Connecting Europe Facility and lays down additional requirements for legacy gas projects concerning Cyprus and Malta under Article 2</w:t>
      </w:r>
      <w:r w:rsidR="603780BD" w:rsidRPr="5B57A53C">
        <w:rPr>
          <w:noProof/>
          <w:lang w:val="en-IE"/>
        </w:rPr>
        <w:t>7</w:t>
      </w:r>
      <w:r w:rsidRPr="5B57A53C">
        <w:rPr>
          <w:noProof/>
          <w:lang w:val="en-IE"/>
        </w:rPr>
        <w:t xml:space="preserve"> of the Regulation. </w:t>
      </w:r>
    </w:p>
    <w:p w14:paraId="2075FB7E" w14:textId="77777777" w:rsidR="00374D8C" w:rsidRPr="00403738" w:rsidRDefault="1C64D31E" w:rsidP="00980D2E">
      <w:pPr>
        <w:rPr>
          <w:noProof/>
        </w:rPr>
      </w:pPr>
      <w:r w:rsidRPr="7485057E">
        <w:rPr>
          <w:noProof/>
          <w:lang w:val="en-IE"/>
        </w:rPr>
        <w:t xml:space="preserve">Chapter VIII </w:t>
      </w:r>
      <w:r w:rsidR="49DD4F7A" w:rsidRPr="7485057E">
        <w:rPr>
          <w:noProof/>
        </w:rPr>
        <w:t>includes final provisions regarding delegated acts, reporting and evaluation</w:t>
      </w:r>
      <w:r w:rsidR="002B63D4">
        <w:rPr>
          <w:noProof/>
        </w:rPr>
        <w:t xml:space="preserve">, </w:t>
      </w:r>
      <w:r w:rsidR="49DD4F7A" w:rsidRPr="7485057E">
        <w:rPr>
          <w:noProof/>
        </w:rPr>
        <w:t>including regarding the digitalisation of the permitting process, the improvement of physical and cyber security resilience of cross-border energy infrastructure and the uptake of non-wire solutions, the review of the Regulation as well as information and publicity of the projects. It further maintains the existing derogations for the gas interconnectors of Malta and Cyprus until Cyprus or Malta, respectively, is directly interconnected to the trans-European gas network or until 31 December 2029, whichever is the earlier. The Chapter further lists amendments to other energy acquis resulting from the amendments introduced in the Regulation and sets out transitional provisions and provisions for the repeal of the current TEN-E Regulation. In particular, the revised Regulation does</w:t>
      </w:r>
      <w:r w:rsidR="2A77A24A" w:rsidRPr="7485057E">
        <w:rPr>
          <w:noProof/>
        </w:rPr>
        <w:t xml:space="preserve"> </w:t>
      </w:r>
      <w:r w:rsidR="49DD4F7A" w:rsidRPr="7485057E">
        <w:rPr>
          <w:noProof/>
        </w:rPr>
        <w:t xml:space="preserve">not affect the granting, continuation or modification of financial assistance awarded previously under the Connecting Europe Facility, and the existing Union list of projects of common interest and projects of mutual interest  is to remain in force and produce effects until a new Union list of projects of common interest and projects of mutual interest pursuant to this Regulation is established and enters into force. </w:t>
      </w:r>
    </w:p>
    <w:p w14:paraId="693DD927" w14:textId="77777777" w:rsidR="00374D8C" w:rsidRPr="002A75D5" w:rsidRDefault="00374D8C" w:rsidP="00FF7D13">
      <w:pPr>
        <w:rPr>
          <w:noProof/>
        </w:rPr>
        <w:sectPr w:rsidR="00374D8C" w:rsidRPr="002A75D5" w:rsidSect="005C1364">
          <w:headerReference w:type="even" r:id="rId11"/>
          <w:footerReference w:type="even" r:id="rId12"/>
          <w:footerReference w:type="default" r:id="rId13"/>
          <w:headerReference w:type="first" r:id="rId14"/>
          <w:footerReference w:type="first" r:id="rId15"/>
          <w:footnotePr>
            <w:numRestart w:val="eachSect"/>
          </w:footnotePr>
          <w:pgSz w:w="11907" w:h="16839"/>
          <w:pgMar w:top="1134" w:right="1417" w:bottom="1134" w:left="1417" w:header="709" w:footer="709" w:gutter="0"/>
          <w:cols w:space="708"/>
          <w:docGrid w:linePitch="360"/>
        </w:sectPr>
      </w:pPr>
    </w:p>
    <w:p w14:paraId="04C098D8" w14:textId="5A6E0694" w:rsidR="00284D14" w:rsidRDefault="00FF019F" w:rsidP="00FF019F">
      <w:pPr>
        <w:pStyle w:val="Rfrenceinterinstitutionnelle"/>
        <w:rPr>
          <w:noProof/>
        </w:rPr>
      </w:pPr>
      <w:r>
        <w:rPr>
          <w:noProof/>
        </w:rPr>
        <w:t>2025/0399 (COD)</w:t>
      </w:r>
    </w:p>
    <w:p w14:paraId="6BB44A9E" w14:textId="607B98AD" w:rsidR="003E7EA6" w:rsidRPr="00F96E01" w:rsidRDefault="00FF019F" w:rsidP="00FF019F">
      <w:pPr>
        <w:pStyle w:val="Statut"/>
        <w:rPr>
          <w:noProof/>
        </w:rPr>
      </w:pPr>
      <w:r w:rsidRPr="00FF019F">
        <w:rPr>
          <w:noProof/>
        </w:rPr>
        <w:t>Proposal for a</w:t>
      </w:r>
    </w:p>
    <w:p w14:paraId="7E9F796B" w14:textId="22988F77" w:rsidR="003E7EA6" w:rsidRPr="00F96E01" w:rsidRDefault="00FF019F" w:rsidP="00FF019F">
      <w:pPr>
        <w:pStyle w:val="Typedudocument"/>
        <w:rPr>
          <w:noProof/>
        </w:rPr>
      </w:pPr>
      <w:r w:rsidRPr="00FF019F">
        <w:rPr>
          <w:noProof/>
        </w:rPr>
        <w:t>REGULATION OF THE EUROPEAN PARLIAMENT AND OF THE COUNCIL</w:t>
      </w:r>
    </w:p>
    <w:p w14:paraId="4701FEF9" w14:textId="7B0F7D4F" w:rsidR="003E7EA6" w:rsidRPr="00F96E01" w:rsidRDefault="00FF019F" w:rsidP="00FF019F">
      <w:pPr>
        <w:pStyle w:val="Titreobjet"/>
        <w:rPr>
          <w:noProof/>
        </w:rPr>
      </w:pPr>
      <w:r w:rsidRPr="00FF019F">
        <w:rPr>
          <w:noProof/>
        </w:rPr>
        <w:t>on guidelines for trans-European energy infrastructure, amending Regulations (EU) 2019/942, (EU) 2019/943 and (EU) 2024/1789 and repealing Regulation (EU) 2022/869</w:t>
      </w:r>
    </w:p>
    <w:p w14:paraId="329F6F19" w14:textId="75C16359" w:rsidR="000C22EE" w:rsidRDefault="00FF019F" w:rsidP="00FF019F">
      <w:pPr>
        <w:pStyle w:val="IntrtEEE"/>
        <w:rPr>
          <w:noProof/>
        </w:rPr>
      </w:pPr>
      <w:r w:rsidRPr="00FF019F">
        <w:rPr>
          <w:noProof/>
        </w:rPr>
        <w:t>(Text with EEA relevance)</w:t>
      </w:r>
    </w:p>
    <w:p w14:paraId="2975E75A" w14:textId="77777777" w:rsidR="003E7EA6" w:rsidRPr="00F96E01" w:rsidRDefault="003E7EA6">
      <w:pPr>
        <w:pStyle w:val="Institutionquiagit"/>
        <w:rPr>
          <w:noProof/>
        </w:rPr>
      </w:pPr>
      <w:r w:rsidRPr="00F96E01">
        <w:rPr>
          <w:noProof/>
        </w:rPr>
        <w:t xml:space="preserve">THE EUROPEAN PARLIAMENT AND THE COUNCIL OF THE EUROPEAN </w:t>
      </w:r>
      <w:smartTag w:uri="urn:schemas-microsoft-com:office:smarttags" w:element="place">
        <w:r w:rsidRPr="00F96E01">
          <w:rPr>
            <w:noProof/>
          </w:rPr>
          <w:t>UNION</w:t>
        </w:r>
      </w:smartTag>
      <w:r w:rsidRPr="00F96E01">
        <w:rPr>
          <w:noProof/>
        </w:rPr>
        <w:t>,</w:t>
      </w:r>
    </w:p>
    <w:p w14:paraId="2B39364C" w14:textId="77777777" w:rsidR="003E7EA6" w:rsidRPr="00F96E01" w:rsidRDefault="003E7EA6">
      <w:pPr>
        <w:rPr>
          <w:noProof/>
        </w:rPr>
      </w:pPr>
      <w:r w:rsidRPr="00F96E01">
        <w:rPr>
          <w:noProof/>
        </w:rPr>
        <w:t>Having regard to the Treaty on the Functioning of the European Union, and in particular Article</w:t>
      </w:r>
      <w:r w:rsidR="00072255">
        <w:rPr>
          <w:noProof/>
        </w:rPr>
        <w:t xml:space="preserve"> 172</w:t>
      </w:r>
      <w:r w:rsidRPr="00F96E01">
        <w:rPr>
          <w:noProof/>
        </w:rPr>
        <w:t xml:space="preserve"> thereof,</w:t>
      </w:r>
    </w:p>
    <w:p w14:paraId="4CE4C9D7" w14:textId="77777777" w:rsidR="003E7EA6" w:rsidRPr="00F96E01" w:rsidRDefault="003E7EA6">
      <w:pPr>
        <w:rPr>
          <w:noProof/>
        </w:rPr>
      </w:pPr>
      <w:r w:rsidRPr="00F96E01">
        <w:rPr>
          <w:noProof/>
        </w:rPr>
        <w:t>Having regard to the proposal from the European Commission,</w:t>
      </w:r>
    </w:p>
    <w:p w14:paraId="00201AD8" w14:textId="77777777" w:rsidR="003E7EA6" w:rsidRPr="00F96E01" w:rsidRDefault="003E7EA6">
      <w:pPr>
        <w:rPr>
          <w:noProof/>
        </w:rPr>
      </w:pPr>
      <w:r w:rsidRPr="00F96E01">
        <w:rPr>
          <w:noProof/>
        </w:rPr>
        <w:t xml:space="preserve">After transmission of the draft legislative act to the national </w:t>
      </w:r>
      <w:r>
        <w:rPr>
          <w:noProof/>
        </w:rPr>
        <w:t>p</w:t>
      </w:r>
      <w:r w:rsidRPr="00F96E01">
        <w:rPr>
          <w:noProof/>
        </w:rPr>
        <w:t>arliaments,</w:t>
      </w:r>
    </w:p>
    <w:p w14:paraId="6AB28CDC" w14:textId="77777777" w:rsidR="00D055D9" w:rsidRDefault="003E7EA6">
      <w:pPr>
        <w:rPr>
          <w:noProof/>
        </w:rPr>
      </w:pPr>
      <w:r w:rsidRPr="00F96E01">
        <w:rPr>
          <w:noProof/>
        </w:rPr>
        <w:t>Having regard to the opinion of the European Economic and Social Committee</w:t>
      </w:r>
      <w:r w:rsidR="00D055D9">
        <w:rPr>
          <w:noProof/>
        </w:rPr>
        <w:t xml:space="preserve"> </w:t>
      </w:r>
      <w:r w:rsidRPr="00F96E01">
        <w:rPr>
          <w:rStyle w:val="FootnoteReference"/>
          <w:noProof/>
        </w:rPr>
        <w:footnoteReference w:id="31"/>
      </w:r>
      <w:r w:rsidRPr="00F96E01">
        <w:rPr>
          <w:noProof/>
        </w:rPr>
        <w:t>,</w:t>
      </w:r>
    </w:p>
    <w:p w14:paraId="5ED2BD32" w14:textId="77777777" w:rsidR="003E7EA6" w:rsidRPr="00F96E01" w:rsidRDefault="003E7EA6">
      <w:pPr>
        <w:rPr>
          <w:noProof/>
        </w:rPr>
      </w:pPr>
      <w:r w:rsidRPr="00F96E01">
        <w:rPr>
          <w:noProof/>
        </w:rPr>
        <w:t>Having regard to the opinion of the Committee of the Regions</w:t>
      </w:r>
      <w:r w:rsidRPr="00F96E01">
        <w:rPr>
          <w:rStyle w:val="FootnoteReference"/>
          <w:noProof/>
        </w:rPr>
        <w:footnoteReference w:id="32"/>
      </w:r>
      <w:r w:rsidRPr="00F96E01">
        <w:rPr>
          <w:noProof/>
        </w:rPr>
        <w:t>,</w:t>
      </w:r>
    </w:p>
    <w:p w14:paraId="55B11741" w14:textId="77777777" w:rsidR="003E7EA6" w:rsidRPr="00F96E01" w:rsidRDefault="003E7EA6">
      <w:pPr>
        <w:rPr>
          <w:noProof/>
        </w:rPr>
      </w:pPr>
      <w:r w:rsidRPr="00F96E01">
        <w:rPr>
          <w:noProof/>
        </w:rPr>
        <w:t>Acting in accordance with the ordinary legislative procedure,</w:t>
      </w:r>
    </w:p>
    <w:p w14:paraId="05D60EA1" w14:textId="77777777" w:rsidR="003E7EA6" w:rsidRPr="004D60A9" w:rsidRDefault="003E7EA6">
      <w:pPr>
        <w:rPr>
          <w:noProof/>
        </w:rPr>
      </w:pPr>
      <w:r w:rsidRPr="004D60A9">
        <w:rPr>
          <w:noProof/>
        </w:rPr>
        <w:t>Whereas:</w:t>
      </w:r>
    </w:p>
    <w:p w14:paraId="5E32E0E8" w14:textId="75EAEAA4" w:rsidR="00670523" w:rsidRDefault="00C44DD6" w:rsidP="00C44DD6">
      <w:pPr>
        <w:pStyle w:val="ManualConsidrant"/>
        <w:rPr>
          <w:noProof/>
        </w:rPr>
      </w:pPr>
      <w:r w:rsidRPr="00C44DD6">
        <w:rPr>
          <w:noProof/>
        </w:rPr>
        <w:t>(1)</w:t>
      </w:r>
      <w:r w:rsidRPr="00C44DD6">
        <w:rPr>
          <w:noProof/>
        </w:rPr>
        <w:tab/>
      </w:r>
      <w:r w:rsidR="00D6773D" w:rsidRPr="00C574B5">
        <w:rPr>
          <w:noProof/>
        </w:rPr>
        <w:t>The</w:t>
      </w:r>
      <w:r w:rsidR="3F9E8252" w:rsidRPr="00C574B5">
        <w:rPr>
          <w:noProof/>
        </w:rPr>
        <w:t xml:space="preserve"> </w:t>
      </w:r>
      <w:r w:rsidR="421B2CF0" w:rsidRPr="00C574B5">
        <w:rPr>
          <w:noProof/>
        </w:rPr>
        <w:t xml:space="preserve">Commission </w:t>
      </w:r>
      <w:r w:rsidR="3F9E8252" w:rsidRPr="00C574B5">
        <w:rPr>
          <w:noProof/>
        </w:rPr>
        <w:t xml:space="preserve">Communication of </w:t>
      </w:r>
      <w:r w:rsidR="2AC180DE" w:rsidRPr="00C574B5">
        <w:rPr>
          <w:noProof/>
        </w:rPr>
        <w:t xml:space="preserve">26 February 2025 </w:t>
      </w:r>
      <w:r w:rsidR="421B2CF0" w:rsidRPr="00C574B5">
        <w:rPr>
          <w:noProof/>
        </w:rPr>
        <w:t xml:space="preserve">on the </w:t>
      </w:r>
      <w:r w:rsidR="2AC180DE" w:rsidRPr="00C574B5">
        <w:rPr>
          <w:noProof/>
        </w:rPr>
        <w:t>“Clean Industrial Deal”</w:t>
      </w:r>
      <w:r w:rsidR="00EF0A7C" w:rsidRPr="00773B63">
        <w:rPr>
          <w:rStyle w:val="FootnoteReference"/>
          <w:noProof/>
        </w:rPr>
        <w:footnoteReference w:id="33"/>
      </w:r>
      <w:r w:rsidR="5E7FBE11" w:rsidRPr="00C574B5">
        <w:rPr>
          <w:noProof/>
        </w:rPr>
        <w:t xml:space="preserve"> sets out a joint roadmap for competitiveness and decarbonisation. Securing affordable energy is a key condition for the competitiveness of </w:t>
      </w:r>
      <w:r w:rsidR="007E02F5" w:rsidRPr="00C574B5">
        <w:rPr>
          <w:noProof/>
        </w:rPr>
        <w:t xml:space="preserve">the Union </w:t>
      </w:r>
      <w:r w:rsidR="5E7FBE11" w:rsidRPr="00C574B5">
        <w:rPr>
          <w:noProof/>
        </w:rPr>
        <w:t>industry, especially for energy-intensive sectors. Access to affordable energy is therefore a cornerstone of the Clean Industrial Deal</w:t>
      </w:r>
      <w:r w:rsidR="00CF2129" w:rsidRPr="00C574B5">
        <w:rPr>
          <w:noProof/>
        </w:rPr>
        <w:t xml:space="preserve"> as well as the Action Plan</w:t>
      </w:r>
      <w:r w:rsidR="000352E6" w:rsidRPr="00C574B5">
        <w:rPr>
          <w:noProof/>
        </w:rPr>
        <w:t xml:space="preserve"> for Affordable Energy</w:t>
      </w:r>
      <w:r w:rsidR="00CF2129" w:rsidRPr="00773B63">
        <w:rPr>
          <w:rStyle w:val="FootnoteReference"/>
          <w:noProof/>
        </w:rPr>
        <w:footnoteReference w:id="34"/>
      </w:r>
      <w:r w:rsidR="5E7FBE11" w:rsidRPr="00C574B5">
        <w:rPr>
          <w:noProof/>
        </w:rPr>
        <w:t>. At the same time, decarbonisation policies are a powerful driver of growth when they are well integrated with industrial, competition, economic and trade policies</w:t>
      </w:r>
      <w:r w:rsidR="31036D33" w:rsidRPr="00C574B5">
        <w:rPr>
          <w:noProof/>
        </w:rPr>
        <w:t xml:space="preserve"> as set out in the Commission</w:t>
      </w:r>
      <w:r w:rsidR="560CEA78" w:rsidRPr="00C574B5">
        <w:rPr>
          <w:noProof/>
        </w:rPr>
        <w:t xml:space="preserve"> Communication</w:t>
      </w:r>
      <w:r w:rsidR="31036D33" w:rsidRPr="00C574B5">
        <w:rPr>
          <w:noProof/>
        </w:rPr>
        <w:t xml:space="preserve"> </w:t>
      </w:r>
      <w:r w:rsidR="24794F1D" w:rsidRPr="00C574B5">
        <w:rPr>
          <w:noProof/>
        </w:rPr>
        <w:t xml:space="preserve">of 29 January 2025 </w:t>
      </w:r>
      <w:r w:rsidR="04D322AB" w:rsidRPr="00C574B5">
        <w:rPr>
          <w:noProof/>
        </w:rPr>
        <w:t xml:space="preserve">on a </w:t>
      </w:r>
      <w:r w:rsidR="24794F1D" w:rsidRPr="00C574B5">
        <w:rPr>
          <w:noProof/>
        </w:rPr>
        <w:t>“Competitiveness Compass for the EU”</w:t>
      </w:r>
      <w:r w:rsidR="00C84F72" w:rsidRPr="00773B63">
        <w:rPr>
          <w:rStyle w:val="FootnoteReference"/>
          <w:noProof/>
        </w:rPr>
        <w:footnoteReference w:id="35"/>
      </w:r>
      <w:r w:rsidR="00EE4CD0" w:rsidRPr="00C574B5">
        <w:rPr>
          <w:noProof/>
        </w:rPr>
        <w:t>.</w:t>
      </w:r>
      <w:r w:rsidR="5E7FBE11" w:rsidRPr="00C574B5">
        <w:rPr>
          <w:noProof/>
        </w:rPr>
        <w:t xml:space="preserve"> </w:t>
      </w:r>
      <w:r w:rsidR="52BEB4B5" w:rsidRPr="00C574B5">
        <w:rPr>
          <w:noProof/>
        </w:rPr>
        <w:t xml:space="preserve">With </w:t>
      </w:r>
      <w:r w:rsidR="52BEB4B5" w:rsidRPr="3CFBA5A1">
        <w:rPr>
          <w:noProof/>
        </w:rPr>
        <w:t xml:space="preserve">Regulation (EU) 2021/1119 </w:t>
      </w:r>
      <w:r w:rsidR="52BEB4B5">
        <w:rPr>
          <w:noProof/>
        </w:rPr>
        <w:t>of the European Parliament and of the Council</w:t>
      </w:r>
      <w:r w:rsidR="00962103" w:rsidRPr="00773B63">
        <w:rPr>
          <w:rStyle w:val="FootnoteReference"/>
          <w:noProof/>
        </w:rPr>
        <w:footnoteReference w:id="36"/>
      </w:r>
      <w:r w:rsidR="40233E48">
        <w:rPr>
          <w:noProof/>
        </w:rPr>
        <w:t>,</w:t>
      </w:r>
      <w:r w:rsidR="52BEB4B5">
        <w:rPr>
          <w:noProof/>
        </w:rPr>
        <w:t xml:space="preserve"> </w:t>
      </w:r>
      <w:r w:rsidR="4D2E035F" w:rsidRPr="00C574B5">
        <w:rPr>
          <w:noProof/>
        </w:rPr>
        <w:t xml:space="preserve">the Union </w:t>
      </w:r>
      <w:r w:rsidR="5E7FBE11" w:rsidRPr="00C574B5">
        <w:rPr>
          <w:noProof/>
        </w:rPr>
        <w:t>has set out an ambitious framework to become a decarbonised economy by 2050.</w:t>
      </w:r>
      <w:r w:rsidR="00D6773D">
        <w:rPr>
          <w:noProof/>
        </w:rPr>
        <w:t xml:space="preserve"> </w:t>
      </w:r>
      <w:r w:rsidR="00C574B5">
        <w:rPr>
          <w:noProof/>
        </w:rPr>
        <w:t xml:space="preserve"> </w:t>
      </w:r>
    </w:p>
    <w:p w14:paraId="3677642F" w14:textId="4B2C19E9" w:rsidR="00191138" w:rsidRPr="00500A9D" w:rsidRDefault="00C44DD6" w:rsidP="00C44DD6">
      <w:pPr>
        <w:pStyle w:val="ManualConsidrant"/>
        <w:rPr>
          <w:noProof/>
        </w:rPr>
      </w:pPr>
      <w:r w:rsidRPr="00C44DD6">
        <w:rPr>
          <w:noProof/>
        </w:rPr>
        <w:t>(2)</w:t>
      </w:r>
      <w:r w:rsidRPr="00C44DD6">
        <w:rPr>
          <w:noProof/>
        </w:rPr>
        <w:tab/>
      </w:r>
      <w:r w:rsidR="5E7FBE11" w:rsidRPr="00500A9D">
        <w:rPr>
          <w:noProof/>
        </w:rPr>
        <w:t xml:space="preserve">As part of the ambition of </w:t>
      </w:r>
      <w:r w:rsidR="77498D83" w:rsidRPr="3CFBA5A1">
        <w:rPr>
          <w:noProof/>
        </w:rPr>
        <w:t>Regulation (EU) 2021/1119</w:t>
      </w:r>
      <w:r w:rsidR="5E7FBE11" w:rsidRPr="00500A9D">
        <w:rPr>
          <w:noProof/>
        </w:rPr>
        <w:t>, the binding Union level target for renewable energy for 2030 has been increased to 42.5</w:t>
      </w:r>
      <w:r w:rsidR="0015653C">
        <w:rPr>
          <w:noProof/>
        </w:rPr>
        <w:t xml:space="preserve"> </w:t>
      </w:r>
      <w:r w:rsidR="5E7FBE11" w:rsidRPr="00500A9D">
        <w:rPr>
          <w:noProof/>
        </w:rPr>
        <w:t>% renewable energy in the U</w:t>
      </w:r>
      <w:r w:rsidR="77498D83">
        <w:rPr>
          <w:noProof/>
        </w:rPr>
        <w:t>nion</w:t>
      </w:r>
      <w:r w:rsidR="5E7FBE11" w:rsidRPr="00500A9D">
        <w:rPr>
          <w:noProof/>
        </w:rPr>
        <w:t>’s energy mix by 2030, aiming for 45</w:t>
      </w:r>
      <w:r w:rsidR="000445BF">
        <w:rPr>
          <w:noProof/>
        </w:rPr>
        <w:t xml:space="preserve"> </w:t>
      </w:r>
      <w:r w:rsidR="5E7FBE11" w:rsidRPr="00500A9D">
        <w:rPr>
          <w:noProof/>
        </w:rPr>
        <w:t>%</w:t>
      </w:r>
      <w:r w:rsidR="007268F6" w:rsidRPr="1B387F5D">
        <w:rPr>
          <w:rStyle w:val="FootnoteReference"/>
          <w:noProof/>
        </w:rPr>
        <w:footnoteReference w:id="37"/>
      </w:r>
      <w:r w:rsidR="5E7FBE11" w:rsidRPr="00500A9D">
        <w:rPr>
          <w:noProof/>
        </w:rPr>
        <w:t xml:space="preserve">,  and the binding Union level target for energy efficiency has been made more ambitious, with a reduction of </w:t>
      </w:r>
      <w:r w:rsidR="000448BF">
        <w:rPr>
          <w:noProof/>
        </w:rPr>
        <w:t>Union</w:t>
      </w:r>
      <w:r w:rsidR="000448BF" w:rsidRPr="00500A9D">
        <w:rPr>
          <w:noProof/>
        </w:rPr>
        <w:t xml:space="preserve"> </w:t>
      </w:r>
      <w:r w:rsidR="5E7FBE11" w:rsidRPr="00500A9D">
        <w:rPr>
          <w:noProof/>
        </w:rPr>
        <w:t>final energy consumption by 11.7</w:t>
      </w:r>
      <w:r w:rsidR="00787516">
        <w:rPr>
          <w:noProof/>
        </w:rPr>
        <w:t xml:space="preserve"> </w:t>
      </w:r>
      <w:r w:rsidR="5E7FBE11" w:rsidRPr="00500A9D">
        <w:rPr>
          <w:noProof/>
        </w:rPr>
        <w:t>% by 2030, compared to 2020 projections</w:t>
      </w:r>
      <w:r w:rsidR="00B508E8" w:rsidRPr="1B387F5D">
        <w:rPr>
          <w:rStyle w:val="FootnoteReference"/>
          <w:noProof/>
        </w:rPr>
        <w:footnoteReference w:id="38"/>
      </w:r>
      <w:r w:rsidR="5E7FBE11" w:rsidRPr="00500A9D">
        <w:rPr>
          <w:noProof/>
        </w:rPr>
        <w:t xml:space="preserve">. </w:t>
      </w:r>
      <w:r w:rsidR="0E8D9F78" w:rsidRPr="00901777">
        <w:rPr>
          <w:rFonts w:eastAsia="Times New Roman"/>
          <w:noProof/>
        </w:rPr>
        <w:t>With the</w:t>
      </w:r>
      <w:r w:rsidR="0E8D9F78" w:rsidRPr="6CE278CF">
        <w:rPr>
          <w:rFonts w:eastAsia="Times New Roman"/>
          <w:noProof/>
        </w:rPr>
        <w:t xml:space="preserve"> intermediate target of at least 55</w:t>
      </w:r>
      <w:r w:rsidR="001F5DF2">
        <w:rPr>
          <w:rFonts w:eastAsia="Times New Roman"/>
          <w:noProof/>
        </w:rPr>
        <w:t xml:space="preserve"> </w:t>
      </w:r>
      <w:r w:rsidR="0E8D9F78" w:rsidRPr="6CE278CF">
        <w:rPr>
          <w:rFonts w:eastAsia="Times New Roman"/>
          <w:noProof/>
        </w:rPr>
        <w:t xml:space="preserve">% net </w:t>
      </w:r>
      <w:r w:rsidR="00D71BE1">
        <w:rPr>
          <w:rFonts w:eastAsia="Times New Roman"/>
          <w:noProof/>
        </w:rPr>
        <w:t>greenhouse gas (GHG)</w:t>
      </w:r>
      <w:r w:rsidR="00D71BE1" w:rsidRPr="6CE278CF">
        <w:rPr>
          <w:rFonts w:eastAsia="Times New Roman"/>
          <w:noProof/>
        </w:rPr>
        <w:t xml:space="preserve"> </w:t>
      </w:r>
      <w:r w:rsidR="0E8D9F78" w:rsidRPr="6CE278CF">
        <w:rPr>
          <w:rFonts w:eastAsia="Times New Roman"/>
          <w:noProof/>
        </w:rPr>
        <w:t xml:space="preserve">emissions reduction compared with 1990 levels by 2030 well on </w:t>
      </w:r>
      <w:r w:rsidR="0E8D9F78" w:rsidRPr="00500A9D">
        <w:rPr>
          <w:rFonts w:eastAsia="Times New Roman"/>
          <w:noProof/>
        </w:rPr>
        <w:t xml:space="preserve">track, on 2 July 2025 the Commission proposed an amendment to </w:t>
      </w:r>
      <w:r w:rsidR="77498D83" w:rsidRPr="3CFBA5A1">
        <w:rPr>
          <w:noProof/>
        </w:rPr>
        <w:t>Regulation (EU) 2021/1119</w:t>
      </w:r>
      <w:r w:rsidR="00014137">
        <w:rPr>
          <w:rStyle w:val="FootnoteReference"/>
          <w:noProof/>
        </w:rPr>
        <w:footnoteReference w:id="39"/>
      </w:r>
      <w:r w:rsidR="5A51B9BD">
        <w:rPr>
          <w:noProof/>
        </w:rPr>
        <w:t xml:space="preserve"> </w:t>
      </w:r>
      <w:r w:rsidR="0E8D9F78" w:rsidRPr="00500A9D">
        <w:rPr>
          <w:rFonts w:eastAsia="Times New Roman"/>
          <w:noProof/>
        </w:rPr>
        <w:t xml:space="preserve">setting </w:t>
      </w:r>
      <w:r w:rsidR="00F11912">
        <w:rPr>
          <w:rFonts w:eastAsia="Times New Roman"/>
          <w:noProof/>
        </w:rPr>
        <w:t>a Union</w:t>
      </w:r>
      <w:r w:rsidR="0E8D9F78" w:rsidRPr="00500A9D">
        <w:rPr>
          <w:rFonts w:eastAsia="Times New Roman"/>
          <w:noProof/>
        </w:rPr>
        <w:t xml:space="preserve"> climate target for 2040 of </w:t>
      </w:r>
      <w:r w:rsidR="635956EC" w:rsidRPr="00500A9D">
        <w:rPr>
          <w:rFonts w:eastAsia="Times New Roman"/>
          <w:noProof/>
        </w:rPr>
        <w:t xml:space="preserve">a </w:t>
      </w:r>
      <w:r w:rsidR="0E8D9F78" w:rsidRPr="00500A9D">
        <w:rPr>
          <w:rFonts w:eastAsia="Times New Roman"/>
          <w:noProof/>
        </w:rPr>
        <w:t>90</w:t>
      </w:r>
      <w:r w:rsidR="00F11912">
        <w:rPr>
          <w:rFonts w:eastAsia="Times New Roman"/>
          <w:noProof/>
        </w:rPr>
        <w:t xml:space="preserve"> </w:t>
      </w:r>
      <w:r w:rsidR="0E8D9F78" w:rsidRPr="00500A9D">
        <w:rPr>
          <w:rFonts w:eastAsia="Times New Roman"/>
          <w:noProof/>
        </w:rPr>
        <w:t xml:space="preserve">% reduction in net GHG emissions, compared to 1990 levels. </w:t>
      </w:r>
    </w:p>
    <w:p w14:paraId="1D4B1E17" w14:textId="1B69F6C1" w:rsidR="00191138" w:rsidRPr="00500A9D" w:rsidRDefault="00C44DD6" w:rsidP="00C44DD6">
      <w:pPr>
        <w:pStyle w:val="ManualConsidrant"/>
        <w:rPr>
          <w:noProof/>
        </w:rPr>
      </w:pPr>
      <w:r w:rsidRPr="00C44DD6">
        <w:rPr>
          <w:noProof/>
        </w:rPr>
        <w:t>(3)</w:t>
      </w:r>
      <w:r w:rsidRPr="00C44DD6">
        <w:rPr>
          <w:noProof/>
        </w:rPr>
        <w:tab/>
      </w:r>
      <w:r w:rsidR="5E7FBE11" w:rsidRPr="00500A9D">
        <w:rPr>
          <w:noProof/>
        </w:rPr>
        <w:t xml:space="preserve">Infrastructure needs to be in place to support the </w:t>
      </w:r>
      <w:r w:rsidR="40526489">
        <w:rPr>
          <w:noProof/>
        </w:rPr>
        <w:t>Union</w:t>
      </w:r>
      <w:r w:rsidR="40526489" w:rsidRPr="00500A9D">
        <w:rPr>
          <w:noProof/>
        </w:rPr>
        <w:t xml:space="preserve"> </w:t>
      </w:r>
      <w:r w:rsidR="5E7FBE11" w:rsidRPr="00500A9D">
        <w:rPr>
          <w:noProof/>
        </w:rPr>
        <w:t xml:space="preserve">energy transition in </w:t>
      </w:r>
      <w:r w:rsidR="00581649">
        <w:rPr>
          <w:noProof/>
        </w:rPr>
        <w:t>accordance</w:t>
      </w:r>
      <w:r w:rsidR="5E7FBE11" w:rsidRPr="00500A9D">
        <w:rPr>
          <w:noProof/>
        </w:rPr>
        <w:t xml:space="preserve"> with those targets, including rapid electrification, scaling up renewable and fossil fuel free electricity generation, the increased use of renewable and low-carbon gases, energy integration and a higher </w:t>
      </w:r>
      <w:r w:rsidR="00E01CAA">
        <w:rPr>
          <w:noProof/>
        </w:rPr>
        <w:t>uptake</w:t>
      </w:r>
      <w:r w:rsidR="5E7FBE11" w:rsidRPr="00500A9D">
        <w:rPr>
          <w:noProof/>
        </w:rPr>
        <w:t xml:space="preserve"> of innovative solutions. Current investments in cross-border energy infrastructure are clearly insufficient to transform and build the energy infrastructure needed to support those targets</w:t>
      </w:r>
      <w:r w:rsidR="002A5279">
        <w:rPr>
          <w:noProof/>
        </w:rPr>
        <w:t xml:space="preserve"> </w:t>
      </w:r>
      <w:r w:rsidR="002A5279" w:rsidRPr="002A5279">
        <w:rPr>
          <w:noProof/>
        </w:rPr>
        <w:t>and there is a substantial gap between our cross-border electricity infrastructure needs and the speed and level of infrastructure development at both the transmission and distribution grid level</w:t>
      </w:r>
      <w:r w:rsidR="00600FE2">
        <w:rPr>
          <w:noProof/>
        </w:rPr>
        <w:t>.</w:t>
      </w:r>
      <w:r w:rsidR="00600FE2">
        <w:rPr>
          <w:rStyle w:val="FootnoteReference"/>
          <w:noProof/>
        </w:rPr>
        <w:footnoteReference w:id="40"/>
      </w:r>
      <w:r w:rsidR="00600FE2">
        <w:rPr>
          <w:noProof/>
        </w:rPr>
        <w:t xml:space="preserve"> </w:t>
      </w:r>
      <w:r w:rsidR="002A5279" w:rsidRPr="002A5279">
        <w:rPr>
          <w:noProof/>
        </w:rPr>
        <w:t>For electricity, about half of cross-border electricity needs for 2030 (41 of 88 GW) will remain unaddressed, and this gap is expected to increase the next decade. By 2040, cross-border electricity capacity needs will amount to 108 GW.</w:t>
      </w:r>
      <w:r w:rsidR="00600FE2">
        <w:rPr>
          <w:rStyle w:val="FootnoteReference"/>
          <w:noProof/>
        </w:rPr>
        <w:footnoteReference w:id="41"/>
      </w:r>
      <w:r w:rsidR="5E7FBE11" w:rsidRPr="00500A9D">
        <w:rPr>
          <w:noProof/>
        </w:rPr>
        <w:t>. Increased investments in energy infrastructure are therefore necessary, and the Draghi report</w:t>
      </w:r>
      <w:r w:rsidR="00265C4C">
        <w:rPr>
          <w:rStyle w:val="FootnoteReference"/>
          <w:noProof/>
        </w:rPr>
        <w:footnoteReference w:id="42"/>
      </w:r>
      <w:r w:rsidR="15FD6BC5">
        <w:rPr>
          <w:noProof/>
        </w:rPr>
        <w:t xml:space="preserve"> </w:t>
      </w:r>
      <w:r w:rsidR="5E7FBE11" w:rsidRPr="00500A9D">
        <w:rPr>
          <w:noProof/>
        </w:rPr>
        <w:t>pointed in particular to the need to rapidly increase the deployment of cross-border energy infrastructure to decarbonise Europe’s industry. In the Clean Industrial Deal</w:t>
      </w:r>
      <w:r w:rsidR="00C9042C">
        <w:rPr>
          <w:rStyle w:val="FootnoteReference"/>
          <w:noProof/>
        </w:rPr>
        <w:footnoteReference w:id="43"/>
      </w:r>
      <w:r w:rsidR="5E7FBE11" w:rsidRPr="00500A9D">
        <w:rPr>
          <w:noProof/>
        </w:rPr>
        <w:t xml:space="preserve"> and the</w:t>
      </w:r>
      <w:r w:rsidR="65C19A63">
        <w:rPr>
          <w:noProof/>
        </w:rPr>
        <w:t xml:space="preserve"> accompanying</w:t>
      </w:r>
      <w:r w:rsidR="5E7FBE11" w:rsidRPr="00500A9D">
        <w:rPr>
          <w:noProof/>
        </w:rPr>
        <w:t xml:space="preserve"> </w:t>
      </w:r>
      <w:r w:rsidR="65C19A63">
        <w:rPr>
          <w:noProof/>
        </w:rPr>
        <w:t>“</w:t>
      </w:r>
      <w:r w:rsidR="20889428" w:rsidRPr="00563EEE">
        <w:rPr>
          <w:noProof/>
        </w:rPr>
        <w:t>Action Plan for Affordable Energy</w:t>
      </w:r>
      <w:r w:rsidR="20889428">
        <w:rPr>
          <w:noProof/>
        </w:rPr>
        <w:t>”</w:t>
      </w:r>
      <w:r w:rsidR="00273863">
        <w:rPr>
          <w:rStyle w:val="FootnoteReference"/>
          <w:noProof/>
        </w:rPr>
        <w:footnoteReference w:id="44"/>
      </w:r>
      <w:r w:rsidR="5E7FBE11" w:rsidRPr="00500A9D">
        <w:rPr>
          <w:noProof/>
        </w:rPr>
        <w:t xml:space="preserve">, the Commission underlined the crucial role of completing the Energy Union by investing in energy infrastructure and cross-border grids for safeguarding the competitiveness of </w:t>
      </w:r>
      <w:r w:rsidR="40526489">
        <w:rPr>
          <w:noProof/>
        </w:rPr>
        <w:t>Union</w:t>
      </w:r>
      <w:r w:rsidR="40526489" w:rsidRPr="00500A9D">
        <w:rPr>
          <w:noProof/>
        </w:rPr>
        <w:t xml:space="preserve"> </w:t>
      </w:r>
      <w:r w:rsidR="5E7FBE11" w:rsidRPr="00500A9D">
        <w:rPr>
          <w:noProof/>
        </w:rPr>
        <w:t>industry and the prosperity of people as well as for the affordability and security of energy supply.</w:t>
      </w:r>
    </w:p>
    <w:p w14:paraId="65CE28FA" w14:textId="13A4269C" w:rsidR="00191138" w:rsidRPr="005B3613" w:rsidRDefault="00C44DD6" w:rsidP="00C44DD6">
      <w:pPr>
        <w:pStyle w:val="ManualConsidrant"/>
        <w:rPr>
          <w:noProof/>
        </w:rPr>
      </w:pPr>
      <w:r w:rsidRPr="00C44DD6">
        <w:rPr>
          <w:noProof/>
        </w:rPr>
        <w:t>(4)</w:t>
      </w:r>
      <w:r w:rsidRPr="00C44DD6">
        <w:rPr>
          <w:noProof/>
        </w:rPr>
        <w:tab/>
      </w:r>
      <w:r w:rsidR="2E039D93" w:rsidRPr="00500A9D">
        <w:rPr>
          <w:noProof/>
        </w:rPr>
        <w:t>Regulation (EU) 2022/869 of the European Parliament and of the Council</w:t>
      </w:r>
      <w:r w:rsidR="00302762">
        <w:rPr>
          <w:rStyle w:val="FootnoteReference"/>
          <w:noProof/>
        </w:rPr>
        <w:footnoteReference w:id="45"/>
      </w:r>
      <w:r w:rsidR="2E039D93" w:rsidRPr="00500A9D">
        <w:rPr>
          <w:noProof/>
        </w:rPr>
        <w:t xml:space="preserve"> </w:t>
      </w:r>
      <w:r w:rsidR="7545C2E2">
        <w:rPr>
          <w:noProof/>
        </w:rPr>
        <w:t>laid</w:t>
      </w:r>
      <w:r w:rsidR="7545C2E2" w:rsidRPr="00500A9D">
        <w:rPr>
          <w:noProof/>
        </w:rPr>
        <w:t xml:space="preserve"> </w:t>
      </w:r>
      <w:r w:rsidR="2E039D93" w:rsidRPr="00500A9D">
        <w:rPr>
          <w:noProof/>
        </w:rPr>
        <w:t xml:space="preserve">down guidelines for the timely development and interoperability </w:t>
      </w:r>
      <w:r w:rsidR="2E039D93" w:rsidRPr="005B3613">
        <w:rPr>
          <w:noProof/>
        </w:rPr>
        <w:t>of</w:t>
      </w:r>
      <w:r w:rsidR="23F99241" w:rsidRPr="005B3613">
        <w:rPr>
          <w:noProof/>
        </w:rPr>
        <w:t xml:space="preserve"> priority corridors and areas of trans-European energy infrastructure in order to </w:t>
      </w:r>
      <w:r w:rsidR="57DCB4B5" w:rsidRPr="005B3613">
        <w:rPr>
          <w:noProof/>
        </w:rPr>
        <w:t>contribute to ensuring climate change mitigation in particular achieving the Union’s 2030 targets for energy and climate ch</w:t>
      </w:r>
      <w:r w:rsidR="6DD69D54" w:rsidRPr="005B3613">
        <w:rPr>
          <w:noProof/>
        </w:rPr>
        <w:t>ange</w:t>
      </w:r>
      <w:r w:rsidR="2B9CAE42" w:rsidRPr="005B3613">
        <w:rPr>
          <w:noProof/>
        </w:rPr>
        <w:t xml:space="preserve"> and the climate neutrality objective by 2050 at the latest and to ensuring int</w:t>
      </w:r>
      <w:r w:rsidR="3545C43A" w:rsidRPr="005B3613">
        <w:rPr>
          <w:noProof/>
        </w:rPr>
        <w:t>er</w:t>
      </w:r>
      <w:r w:rsidR="2B9CAE42" w:rsidRPr="005B3613">
        <w:rPr>
          <w:noProof/>
        </w:rPr>
        <w:t>connections, ener</w:t>
      </w:r>
      <w:r w:rsidR="370D16F6" w:rsidRPr="005B3613">
        <w:rPr>
          <w:noProof/>
        </w:rPr>
        <w:t>g</w:t>
      </w:r>
      <w:r w:rsidR="2B9CAE42" w:rsidRPr="005B3613">
        <w:rPr>
          <w:noProof/>
        </w:rPr>
        <w:t>y security, market and system integration and competition that benefits all Member States, as well as afforda</w:t>
      </w:r>
      <w:r w:rsidR="244B8BF5" w:rsidRPr="005B3613">
        <w:rPr>
          <w:noProof/>
        </w:rPr>
        <w:t xml:space="preserve">bility of energy prices. </w:t>
      </w:r>
      <w:r w:rsidR="2E039D93" w:rsidRPr="005B3613">
        <w:rPr>
          <w:noProof/>
        </w:rPr>
        <w:t>I</w:t>
      </w:r>
      <w:r w:rsidR="7D29C122" w:rsidRPr="005B3613">
        <w:rPr>
          <w:noProof/>
        </w:rPr>
        <w:t xml:space="preserve">n particular, </w:t>
      </w:r>
      <w:r w:rsidR="0D263BFE" w:rsidRPr="005B3613">
        <w:rPr>
          <w:noProof/>
        </w:rPr>
        <w:t>Regulation (EU)</w:t>
      </w:r>
      <w:r w:rsidR="7B2C516E" w:rsidRPr="005B3613">
        <w:rPr>
          <w:noProof/>
        </w:rPr>
        <w:t xml:space="preserve"> </w:t>
      </w:r>
      <w:r w:rsidR="0D263BFE" w:rsidRPr="005B3613">
        <w:rPr>
          <w:noProof/>
        </w:rPr>
        <w:t xml:space="preserve">2022/869 </w:t>
      </w:r>
      <w:r w:rsidR="2E039D93" w:rsidRPr="005B3613">
        <w:rPr>
          <w:noProof/>
        </w:rPr>
        <w:t>provide</w:t>
      </w:r>
      <w:r w:rsidR="004F45FB">
        <w:rPr>
          <w:noProof/>
        </w:rPr>
        <w:t>s</w:t>
      </w:r>
      <w:r w:rsidR="2E039D93" w:rsidRPr="005B3613">
        <w:rPr>
          <w:noProof/>
        </w:rPr>
        <w:t xml:space="preserve"> for the identification of projects of common interest and of projects of mutual interest</w:t>
      </w:r>
      <w:r w:rsidR="7AB9690B" w:rsidRPr="005B3613">
        <w:rPr>
          <w:noProof/>
        </w:rPr>
        <w:t xml:space="preserve">, facilitates their implementation </w:t>
      </w:r>
      <w:r w:rsidR="2E039D93" w:rsidRPr="005B3613">
        <w:rPr>
          <w:noProof/>
        </w:rPr>
        <w:t xml:space="preserve">and determines the conditions for eligibility of </w:t>
      </w:r>
      <w:r w:rsidR="00233D52" w:rsidRPr="005B3613">
        <w:rPr>
          <w:noProof/>
        </w:rPr>
        <w:t>th</w:t>
      </w:r>
      <w:r w:rsidR="00233D52">
        <w:rPr>
          <w:noProof/>
        </w:rPr>
        <w:t>o</w:t>
      </w:r>
      <w:r w:rsidR="00233D52" w:rsidRPr="005B3613">
        <w:rPr>
          <w:noProof/>
        </w:rPr>
        <w:t xml:space="preserve">se </w:t>
      </w:r>
      <w:r w:rsidR="2E039D93" w:rsidRPr="005B3613">
        <w:rPr>
          <w:noProof/>
        </w:rPr>
        <w:t>projects for Union financial assistance. However, given their cross-border nature, projects of common interest and projects of mutual interest not only create significant positive externalities and foster solidarity, but also entail specific challenges for project promoters, due to their multi-jurisdictional nature, coordination challenges and an often</w:t>
      </w:r>
      <w:r w:rsidR="0005491A">
        <w:rPr>
          <w:noProof/>
        </w:rPr>
        <w:t xml:space="preserve"> </w:t>
      </w:r>
      <w:r w:rsidR="2E039D93" w:rsidRPr="005B3613">
        <w:rPr>
          <w:noProof/>
        </w:rPr>
        <w:t xml:space="preserve">asymmetrical distribution of costs and benefits. They therefore </w:t>
      </w:r>
      <w:r w:rsidR="304F6E73" w:rsidRPr="005B3613">
        <w:rPr>
          <w:noProof/>
        </w:rPr>
        <w:t xml:space="preserve">continue to </w:t>
      </w:r>
      <w:r w:rsidR="2E039D93" w:rsidRPr="005B3613">
        <w:rPr>
          <w:noProof/>
        </w:rPr>
        <w:t xml:space="preserve">require </w:t>
      </w:r>
      <w:r w:rsidR="2043DB5E" w:rsidRPr="005B3613">
        <w:rPr>
          <w:noProof/>
        </w:rPr>
        <w:t xml:space="preserve">a </w:t>
      </w:r>
      <w:r w:rsidR="2E039D93" w:rsidRPr="005B3613">
        <w:rPr>
          <w:noProof/>
        </w:rPr>
        <w:t xml:space="preserve">Union level </w:t>
      </w:r>
      <w:r w:rsidR="37C356C2" w:rsidRPr="005B3613">
        <w:rPr>
          <w:noProof/>
        </w:rPr>
        <w:t>framework</w:t>
      </w:r>
      <w:r w:rsidR="2E039D93" w:rsidRPr="005B3613">
        <w:rPr>
          <w:noProof/>
        </w:rPr>
        <w:t>.</w:t>
      </w:r>
      <w:r w:rsidR="33F95D8A" w:rsidRPr="005B3613">
        <w:rPr>
          <w:noProof/>
        </w:rPr>
        <w:t xml:space="preserve"> </w:t>
      </w:r>
    </w:p>
    <w:p w14:paraId="3106E9BF" w14:textId="493F120C" w:rsidR="7D576D93" w:rsidRPr="002A75D5" w:rsidRDefault="00C44DD6" w:rsidP="00C44DD6">
      <w:pPr>
        <w:pStyle w:val="ManualConsidrant"/>
        <w:rPr>
          <w:rStyle w:val="CommentReference"/>
          <w:noProof/>
          <w:sz w:val="24"/>
          <w:szCs w:val="24"/>
        </w:rPr>
      </w:pPr>
      <w:r w:rsidRPr="00C44DD6">
        <w:rPr>
          <w:rStyle w:val="CommentReference"/>
          <w:noProof/>
        </w:rPr>
        <w:t>(5)</w:t>
      </w:r>
      <w:r w:rsidRPr="00C44DD6">
        <w:rPr>
          <w:rStyle w:val="CommentReference"/>
          <w:noProof/>
        </w:rPr>
        <w:tab/>
      </w:r>
      <w:r w:rsidR="7C145C48">
        <w:rPr>
          <w:noProof/>
        </w:rPr>
        <w:t xml:space="preserve">While the objectives of </w:t>
      </w:r>
      <w:r w:rsidR="13C2FE19">
        <w:rPr>
          <w:noProof/>
        </w:rPr>
        <w:t>Regulation (EU) 2022/869</w:t>
      </w:r>
      <w:r w:rsidR="7C145C48">
        <w:rPr>
          <w:noProof/>
        </w:rPr>
        <w:t xml:space="preserve"> remain largely valid, the current trans-European energy networks framework </w:t>
      </w:r>
      <w:r w:rsidR="7CD790A5">
        <w:rPr>
          <w:noProof/>
        </w:rPr>
        <w:t xml:space="preserve">should be adjusted to </w:t>
      </w:r>
      <w:r w:rsidR="7C145C48">
        <w:rPr>
          <w:noProof/>
        </w:rPr>
        <w:t>fully reflect the expected changes to the energy system that will result from the new poli</w:t>
      </w:r>
      <w:r w:rsidR="76A1DF39">
        <w:rPr>
          <w:noProof/>
        </w:rPr>
        <w:t>cy</w:t>
      </w:r>
      <w:r w:rsidR="7C145C48">
        <w:rPr>
          <w:noProof/>
        </w:rPr>
        <w:t xml:space="preserve"> context and in particular the 2050 climate neutrality objective </w:t>
      </w:r>
      <w:r w:rsidR="4F2F76CF">
        <w:rPr>
          <w:noProof/>
        </w:rPr>
        <w:t xml:space="preserve">and the proposed intermediary target for 2040. </w:t>
      </w:r>
      <w:r w:rsidR="5959D45F">
        <w:rPr>
          <w:noProof/>
        </w:rPr>
        <w:t>In particular</w:t>
      </w:r>
      <w:r w:rsidR="7C145C48">
        <w:rPr>
          <w:noProof/>
        </w:rPr>
        <w:t>,</w:t>
      </w:r>
      <w:r w:rsidR="3F6E005F">
        <w:rPr>
          <w:noProof/>
        </w:rPr>
        <w:t xml:space="preserve"> the</w:t>
      </w:r>
      <w:r w:rsidR="3A5C67BB">
        <w:rPr>
          <w:noProof/>
        </w:rPr>
        <w:t>re is a</w:t>
      </w:r>
      <w:r w:rsidR="3F6E005F">
        <w:rPr>
          <w:noProof/>
        </w:rPr>
        <w:t xml:space="preserve"> need for more integrated grid planning to support an increasingly </w:t>
      </w:r>
      <w:r w:rsidR="1FF9C3E4">
        <w:rPr>
          <w:noProof/>
        </w:rPr>
        <w:t xml:space="preserve">interdependent and </w:t>
      </w:r>
      <w:r w:rsidR="3F6E005F">
        <w:rPr>
          <w:noProof/>
        </w:rPr>
        <w:t xml:space="preserve">decentralised </w:t>
      </w:r>
      <w:r w:rsidR="3B642CFB">
        <w:rPr>
          <w:noProof/>
        </w:rPr>
        <w:t>internal energy market</w:t>
      </w:r>
      <w:r w:rsidR="0B697DDE">
        <w:rPr>
          <w:noProof/>
        </w:rPr>
        <w:t xml:space="preserve">, faster </w:t>
      </w:r>
      <w:r w:rsidR="00FD79BB">
        <w:rPr>
          <w:noProof/>
        </w:rPr>
        <w:t>permit</w:t>
      </w:r>
      <w:r w:rsidR="002602E2">
        <w:rPr>
          <w:noProof/>
        </w:rPr>
        <w:t xml:space="preserve"> </w:t>
      </w:r>
      <w:r w:rsidR="00FD79BB">
        <w:rPr>
          <w:noProof/>
        </w:rPr>
        <w:t xml:space="preserve">granting </w:t>
      </w:r>
      <w:r w:rsidR="000E58B7">
        <w:rPr>
          <w:noProof/>
        </w:rPr>
        <w:t xml:space="preserve">processes </w:t>
      </w:r>
      <w:r w:rsidR="0B697DDE">
        <w:rPr>
          <w:noProof/>
        </w:rPr>
        <w:t xml:space="preserve">and to ensure the security and resilience of </w:t>
      </w:r>
      <w:r w:rsidR="5B2E4245">
        <w:rPr>
          <w:noProof/>
        </w:rPr>
        <w:t xml:space="preserve">cross-border energy infrastructure </w:t>
      </w:r>
      <w:r w:rsidR="7C145C48">
        <w:rPr>
          <w:noProof/>
        </w:rPr>
        <w:t xml:space="preserve">to be adequately reflected in the revised trans-European energy networks framework. Besides the new political context and objectives, technological development has been rapid in the past decade. That development should be taken into account in the energy infrastructure categories covered by this Regulation, the selection criteria for projects of common interest </w:t>
      </w:r>
      <w:r w:rsidR="4E727705">
        <w:rPr>
          <w:noProof/>
        </w:rPr>
        <w:t xml:space="preserve">and projects of </w:t>
      </w:r>
      <w:r w:rsidR="506F6500">
        <w:rPr>
          <w:noProof/>
        </w:rPr>
        <w:t xml:space="preserve">mutual </w:t>
      </w:r>
      <w:r w:rsidR="4E727705">
        <w:rPr>
          <w:noProof/>
        </w:rPr>
        <w:t>interest</w:t>
      </w:r>
      <w:r w:rsidR="568E062F">
        <w:rPr>
          <w:noProof/>
        </w:rPr>
        <w:t xml:space="preserve"> </w:t>
      </w:r>
      <w:r w:rsidR="7C145C48">
        <w:rPr>
          <w:noProof/>
        </w:rPr>
        <w:t xml:space="preserve">as well as the priority corridors and areas. At the same time, the provisions of this Regulation should not affect a Member State’s right to determine the conditions for exploiting its energy resources, its choice between different energy sources and the general structure of its energy supply, in accordance with Article 194 </w:t>
      </w:r>
      <w:r w:rsidR="6852A5E5">
        <w:rPr>
          <w:noProof/>
        </w:rPr>
        <w:t>of the Treaty</w:t>
      </w:r>
      <w:r w:rsidR="7C145C48">
        <w:rPr>
          <w:noProof/>
        </w:rPr>
        <w:t>.</w:t>
      </w:r>
      <w:r w:rsidR="33F95D8A" w:rsidRPr="4E141F37">
        <w:rPr>
          <w:rStyle w:val="CommentReference"/>
          <w:noProof/>
          <w:sz w:val="24"/>
          <w:szCs w:val="24"/>
        </w:rPr>
        <w:t xml:space="preserve"> </w:t>
      </w:r>
    </w:p>
    <w:p w14:paraId="7141FF94" w14:textId="0A0DA9FD" w:rsidR="7D576D93" w:rsidRPr="002A75D5" w:rsidRDefault="00C44DD6" w:rsidP="00C44DD6">
      <w:pPr>
        <w:pStyle w:val="ManualConsidrant"/>
        <w:rPr>
          <w:noProof/>
        </w:rPr>
      </w:pPr>
      <w:r w:rsidRPr="00C44DD6">
        <w:rPr>
          <w:noProof/>
        </w:rPr>
        <w:t>(6)</w:t>
      </w:r>
      <w:r w:rsidRPr="00C44DD6">
        <w:rPr>
          <w:noProof/>
        </w:rPr>
        <w:tab/>
      </w:r>
      <w:r w:rsidR="379A547A">
        <w:rPr>
          <w:noProof/>
        </w:rPr>
        <w:t>The</w:t>
      </w:r>
      <w:r w:rsidR="080D81B4">
        <w:rPr>
          <w:noProof/>
        </w:rPr>
        <w:t xml:space="preserve"> </w:t>
      </w:r>
      <w:r w:rsidR="077FB7FF">
        <w:rPr>
          <w:noProof/>
        </w:rPr>
        <w:t xml:space="preserve">implementation of the </w:t>
      </w:r>
      <w:r w:rsidR="080D81B4">
        <w:rPr>
          <w:noProof/>
        </w:rPr>
        <w:t>identified 13 trans</w:t>
      </w:r>
      <w:r w:rsidR="379A547A">
        <w:rPr>
          <w:noProof/>
        </w:rPr>
        <w:t>-</w:t>
      </w:r>
      <w:r w:rsidR="080D81B4">
        <w:rPr>
          <w:noProof/>
        </w:rPr>
        <w:t>European energy infrastructure priorit</w:t>
      </w:r>
      <w:r w:rsidR="548B8352">
        <w:rPr>
          <w:noProof/>
        </w:rPr>
        <w:t>y corridors and thematic areas</w:t>
      </w:r>
      <w:r w:rsidR="080D81B4">
        <w:rPr>
          <w:noProof/>
        </w:rPr>
        <w:t xml:space="preserve"> is essential for the achievement of the Union’s </w:t>
      </w:r>
      <w:r w:rsidR="5F41771C">
        <w:rPr>
          <w:noProof/>
        </w:rPr>
        <w:t xml:space="preserve">energy and climate targets including </w:t>
      </w:r>
      <w:r w:rsidR="2CB184E0">
        <w:rPr>
          <w:noProof/>
        </w:rPr>
        <w:t xml:space="preserve">further market integration, </w:t>
      </w:r>
      <w:r w:rsidR="01B22E64">
        <w:rPr>
          <w:noProof/>
        </w:rPr>
        <w:t>energy</w:t>
      </w:r>
      <w:r w:rsidR="2CB184E0">
        <w:rPr>
          <w:noProof/>
        </w:rPr>
        <w:t xml:space="preserve"> </w:t>
      </w:r>
      <w:r w:rsidR="01B22E64">
        <w:rPr>
          <w:noProof/>
        </w:rPr>
        <w:t>security,</w:t>
      </w:r>
      <w:r w:rsidR="2CB184E0">
        <w:rPr>
          <w:noProof/>
        </w:rPr>
        <w:t xml:space="preserve"> </w:t>
      </w:r>
      <w:r w:rsidR="5F41771C">
        <w:rPr>
          <w:noProof/>
        </w:rPr>
        <w:t>the</w:t>
      </w:r>
      <w:r w:rsidR="080D81B4">
        <w:rPr>
          <w:noProof/>
        </w:rPr>
        <w:t xml:space="preserve"> </w:t>
      </w:r>
      <w:r w:rsidR="0E3634EE">
        <w:rPr>
          <w:noProof/>
        </w:rPr>
        <w:t>2</w:t>
      </w:r>
      <w:r w:rsidR="080D81B4">
        <w:rPr>
          <w:noProof/>
        </w:rPr>
        <w:t>050 climate neutrality objective</w:t>
      </w:r>
      <w:r w:rsidR="01B22E64">
        <w:rPr>
          <w:noProof/>
        </w:rPr>
        <w:t xml:space="preserve"> as well as affordability of energy prices</w:t>
      </w:r>
      <w:r w:rsidR="080D81B4">
        <w:rPr>
          <w:noProof/>
        </w:rPr>
        <w:t>. Th</w:t>
      </w:r>
      <w:r w:rsidR="00256CC9">
        <w:rPr>
          <w:noProof/>
        </w:rPr>
        <w:t>o</w:t>
      </w:r>
      <w:r w:rsidR="080D81B4">
        <w:rPr>
          <w:noProof/>
        </w:rPr>
        <w:t xml:space="preserve">se priorities cover </w:t>
      </w:r>
      <w:r w:rsidR="3708D296">
        <w:rPr>
          <w:noProof/>
        </w:rPr>
        <w:t>investments in</w:t>
      </w:r>
      <w:r w:rsidR="080D81B4">
        <w:rPr>
          <w:noProof/>
        </w:rPr>
        <w:t xml:space="preserve"> electricity transmission and storage, offshore grids for renewable energy, </w:t>
      </w:r>
      <w:r w:rsidR="4956736B">
        <w:rPr>
          <w:noProof/>
        </w:rPr>
        <w:t xml:space="preserve">smart electricity grids, equipment and installation designed </w:t>
      </w:r>
      <w:r w:rsidR="5B767E1E">
        <w:rPr>
          <w:noProof/>
        </w:rPr>
        <w:t xml:space="preserve">to </w:t>
      </w:r>
      <w:r w:rsidR="7C6D8043">
        <w:rPr>
          <w:noProof/>
        </w:rPr>
        <w:t xml:space="preserve">ensure protection and resilience of </w:t>
      </w:r>
      <w:r w:rsidR="2D537210">
        <w:rPr>
          <w:noProof/>
        </w:rPr>
        <w:t xml:space="preserve">existing </w:t>
      </w:r>
      <w:r w:rsidR="4338351B">
        <w:rPr>
          <w:noProof/>
        </w:rPr>
        <w:t xml:space="preserve">critical </w:t>
      </w:r>
      <w:r w:rsidR="7C6D8043">
        <w:rPr>
          <w:noProof/>
        </w:rPr>
        <w:t xml:space="preserve">network elements, </w:t>
      </w:r>
      <w:r w:rsidR="080D81B4">
        <w:rPr>
          <w:noProof/>
        </w:rPr>
        <w:t>hydrogen transmission</w:t>
      </w:r>
      <w:r w:rsidR="2E3DC9DB">
        <w:rPr>
          <w:noProof/>
        </w:rPr>
        <w:t xml:space="preserve">, </w:t>
      </w:r>
      <w:r w:rsidR="080D81B4">
        <w:rPr>
          <w:noProof/>
        </w:rPr>
        <w:t>storage</w:t>
      </w:r>
      <w:r w:rsidR="2E3DC9DB">
        <w:rPr>
          <w:noProof/>
        </w:rPr>
        <w:t xml:space="preserve"> and terminals</w:t>
      </w:r>
      <w:r w:rsidR="080D81B4">
        <w:rPr>
          <w:noProof/>
        </w:rPr>
        <w:t>, electrolysers, and the transport and storage of carbon dioxide</w:t>
      </w:r>
      <w:r w:rsidR="3B1E3BE9">
        <w:rPr>
          <w:noProof/>
        </w:rPr>
        <w:t xml:space="preserve"> as well as monitoring, control and digitalisation equipment and installation essential for existing high-voltage network</w:t>
      </w:r>
      <w:r w:rsidR="05A3C539">
        <w:rPr>
          <w:noProof/>
        </w:rPr>
        <w:t>s of cross-border relevance</w:t>
      </w:r>
      <w:r w:rsidR="080D81B4">
        <w:rPr>
          <w:noProof/>
        </w:rPr>
        <w:t>.</w:t>
      </w:r>
    </w:p>
    <w:p w14:paraId="0BF6BDA4" w14:textId="0D156D45" w:rsidR="2753169A" w:rsidRPr="00500A9D" w:rsidRDefault="00C44DD6" w:rsidP="00C44DD6">
      <w:pPr>
        <w:pStyle w:val="ManualConsidrant"/>
        <w:rPr>
          <w:rFonts w:eastAsia="Times New Roman"/>
          <w:noProof/>
        </w:rPr>
      </w:pPr>
      <w:r w:rsidRPr="00C44DD6">
        <w:rPr>
          <w:noProof/>
        </w:rPr>
        <w:t>(7)</w:t>
      </w:r>
      <w:r w:rsidRPr="00C44DD6">
        <w:rPr>
          <w:noProof/>
        </w:rPr>
        <w:tab/>
      </w:r>
      <w:r w:rsidR="5CB4CF90" w:rsidRPr="005B3613">
        <w:rPr>
          <w:noProof/>
        </w:rPr>
        <w:t xml:space="preserve">The Union’s energy infrastructure should be upgraded </w:t>
      </w:r>
      <w:r w:rsidR="5CB4CF90">
        <w:rPr>
          <w:noProof/>
        </w:rPr>
        <w:t xml:space="preserve">in order </w:t>
      </w:r>
      <w:r w:rsidR="5CB4CF90" w:rsidRPr="005B3613">
        <w:rPr>
          <w:noProof/>
        </w:rPr>
        <w:t>to increase its resilience against natural or man-made disasters, adverse effects of climate change</w:t>
      </w:r>
      <w:r w:rsidR="1B64DD85" w:rsidRPr="005B3613">
        <w:rPr>
          <w:noProof/>
        </w:rPr>
        <w:t>, deliberate hostile actions</w:t>
      </w:r>
      <w:r w:rsidR="5CB4CF90" w:rsidRPr="005B3613">
        <w:rPr>
          <w:noProof/>
        </w:rPr>
        <w:t xml:space="preserve"> and threats to its security, in particular as regards European critical infrastructures pursuant to Directive </w:t>
      </w:r>
      <w:r w:rsidR="07B5EDB1" w:rsidRPr="005B3613">
        <w:rPr>
          <w:noProof/>
        </w:rPr>
        <w:t>2022/2557</w:t>
      </w:r>
      <w:r w:rsidR="00E222D6" w:rsidRPr="00E222D6">
        <w:rPr>
          <w:noProof/>
        </w:rPr>
        <w:t xml:space="preserve"> </w:t>
      </w:r>
      <w:r w:rsidR="00E222D6" w:rsidRPr="00AC636F">
        <w:rPr>
          <w:noProof/>
        </w:rPr>
        <w:t>of the European Parliament and of the Council</w:t>
      </w:r>
      <w:r w:rsidR="00FC736E">
        <w:rPr>
          <w:rStyle w:val="FootnoteReference"/>
          <w:noProof/>
        </w:rPr>
        <w:footnoteReference w:id="46"/>
      </w:r>
      <w:r w:rsidR="4B030E50" w:rsidRPr="002A75D5">
        <w:rPr>
          <w:noProof/>
        </w:rPr>
        <w:t>.</w:t>
      </w:r>
      <w:r w:rsidR="366BFC40" w:rsidRPr="002A75D5">
        <w:rPr>
          <w:noProof/>
        </w:rPr>
        <w:t xml:space="preserve"> </w:t>
      </w:r>
    </w:p>
    <w:p w14:paraId="13D5ED36" w14:textId="3C39B65A" w:rsidR="2753169A" w:rsidRPr="00500A9D" w:rsidRDefault="00C44DD6" w:rsidP="00C44DD6">
      <w:pPr>
        <w:pStyle w:val="ManualConsidrant"/>
        <w:rPr>
          <w:noProof/>
        </w:rPr>
      </w:pPr>
      <w:r w:rsidRPr="00C44DD6">
        <w:rPr>
          <w:noProof/>
        </w:rPr>
        <w:t>(8)</w:t>
      </w:r>
      <w:r w:rsidRPr="00C44DD6">
        <w:rPr>
          <w:noProof/>
        </w:rPr>
        <w:tab/>
      </w:r>
      <w:r w:rsidR="5631F70A">
        <w:rPr>
          <w:noProof/>
        </w:rPr>
        <w:t>I</w:t>
      </w:r>
      <w:r w:rsidR="5631F70A" w:rsidRPr="00697073">
        <w:rPr>
          <w:noProof/>
        </w:rPr>
        <w:t xml:space="preserve">n the current geopolitical context, it is important to </w:t>
      </w:r>
      <w:r w:rsidR="5631F70A" w:rsidRPr="4E141F37">
        <w:rPr>
          <w:noProof/>
        </w:rPr>
        <w:t xml:space="preserve">ensure </w:t>
      </w:r>
      <w:r w:rsidR="5631F70A" w:rsidRPr="00697073">
        <w:rPr>
          <w:noProof/>
        </w:rPr>
        <w:t>the uninterrupted flow of electricity across borders to ensure security of supply. T</w:t>
      </w:r>
      <w:r w:rsidR="2C49396A" w:rsidRPr="00697073">
        <w:rPr>
          <w:noProof/>
        </w:rPr>
        <w:t>his</w:t>
      </w:r>
      <w:r w:rsidR="5631F70A" w:rsidRPr="00697073">
        <w:rPr>
          <w:noProof/>
        </w:rPr>
        <w:t xml:space="preserve"> depends not only on the resilience of interconnectors between</w:t>
      </w:r>
      <w:r w:rsidR="00872FE2">
        <w:rPr>
          <w:noProof/>
        </w:rPr>
        <w:t xml:space="preserve"> Member States</w:t>
      </w:r>
      <w:r w:rsidR="5631F70A" w:rsidRPr="00697073">
        <w:rPr>
          <w:noProof/>
        </w:rPr>
        <w:t xml:space="preserve">, but also on the resilience of critical network elements. Therefore, this Regulation </w:t>
      </w:r>
      <w:r w:rsidR="00E71295">
        <w:rPr>
          <w:noProof/>
        </w:rPr>
        <w:t>should introduce</w:t>
      </w:r>
      <w:r w:rsidR="00E71295" w:rsidRPr="00697073">
        <w:rPr>
          <w:noProof/>
        </w:rPr>
        <w:t xml:space="preserve"> </w:t>
      </w:r>
      <w:r w:rsidR="5631F70A" w:rsidRPr="00697073">
        <w:rPr>
          <w:noProof/>
        </w:rPr>
        <w:t>a new infrastructure category in the form of investments into</w:t>
      </w:r>
      <w:r w:rsidR="5631F70A">
        <w:rPr>
          <w:noProof/>
        </w:rPr>
        <w:t xml:space="preserve"> </w:t>
      </w:r>
      <w:r w:rsidR="2B5BDC1C" w:rsidRPr="00500A9D">
        <w:rPr>
          <w:noProof/>
        </w:rPr>
        <w:t>equipment and installations directly connected to and designed to enhance the critical network elements’ resilience and protection</w:t>
      </w:r>
      <w:r w:rsidR="666446D2">
        <w:rPr>
          <w:noProof/>
        </w:rPr>
        <w:t>.</w:t>
      </w:r>
      <w:r w:rsidR="2B5BDC1C" w:rsidRPr="00500A9D">
        <w:rPr>
          <w:noProof/>
        </w:rPr>
        <w:t xml:space="preserve"> </w:t>
      </w:r>
      <w:r w:rsidR="00362D41">
        <w:rPr>
          <w:noProof/>
        </w:rPr>
        <w:t>That new infrastructure category</w:t>
      </w:r>
      <w:r w:rsidR="2D17C768" w:rsidRPr="00500A9D">
        <w:rPr>
          <w:noProof/>
        </w:rPr>
        <w:t xml:space="preserve"> should </w:t>
      </w:r>
      <w:r w:rsidR="224F221C" w:rsidRPr="00500A9D">
        <w:rPr>
          <w:noProof/>
        </w:rPr>
        <w:t>cover critical</w:t>
      </w:r>
      <w:r w:rsidR="1288679F" w:rsidRPr="00500A9D">
        <w:rPr>
          <w:rStyle w:val="CommentReference"/>
          <w:noProof/>
        </w:rPr>
        <w:t xml:space="preserve"> </w:t>
      </w:r>
      <w:r w:rsidR="1288679F" w:rsidRPr="00500A9D">
        <w:rPr>
          <w:noProof/>
        </w:rPr>
        <w:t>network elements</w:t>
      </w:r>
      <w:r w:rsidR="183BE366" w:rsidRPr="00500A9D">
        <w:rPr>
          <w:noProof/>
        </w:rPr>
        <w:t xml:space="preserve">, as </w:t>
      </w:r>
      <w:r w:rsidR="00336089">
        <w:rPr>
          <w:noProof/>
        </w:rPr>
        <w:t>set out in</w:t>
      </w:r>
      <w:r w:rsidR="78D4D62C" w:rsidRPr="00500A9D">
        <w:rPr>
          <w:noProof/>
        </w:rPr>
        <w:t xml:space="preserve"> Regulation</w:t>
      </w:r>
      <w:r w:rsidR="183BE366" w:rsidRPr="00500A9D">
        <w:rPr>
          <w:noProof/>
        </w:rPr>
        <w:t xml:space="preserve"> </w:t>
      </w:r>
      <w:r w:rsidR="40C4F667" w:rsidRPr="00500A9D">
        <w:rPr>
          <w:noProof/>
        </w:rPr>
        <w:t>(EU)</w:t>
      </w:r>
      <w:r w:rsidR="183BE366" w:rsidRPr="00500A9D">
        <w:rPr>
          <w:noProof/>
        </w:rPr>
        <w:t xml:space="preserve"> 2019/943</w:t>
      </w:r>
      <w:r w:rsidR="6852A5E5">
        <w:rPr>
          <w:noProof/>
        </w:rPr>
        <w:t xml:space="preserve"> </w:t>
      </w:r>
      <w:r w:rsidR="04FD8489">
        <w:rPr>
          <w:noProof/>
        </w:rPr>
        <w:t>of the European Parliament and of the Council</w:t>
      </w:r>
      <w:r w:rsidR="009725D9">
        <w:rPr>
          <w:rStyle w:val="FootnoteReference"/>
          <w:rFonts w:eastAsia="Times New Roman"/>
          <w:noProof/>
        </w:rPr>
        <w:footnoteReference w:id="47"/>
      </w:r>
      <w:r w:rsidR="183BE366" w:rsidRPr="00500A9D">
        <w:rPr>
          <w:noProof/>
        </w:rPr>
        <w:t>,</w:t>
      </w:r>
      <w:r w:rsidR="1288679F" w:rsidRPr="00500A9D">
        <w:rPr>
          <w:noProof/>
        </w:rPr>
        <w:t xml:space="preserve"> that support network security and supply security in </w:t>
      </w:r>
      <w:r w:rsidR="00511621">
        <w:rPr>
          <w:noProof/>
        </w:rPr>
        <w:t>accordance</w:t>
      </w:r>
      <w:r w:rsidR="00511621" w:rsidRPr="00500A9D">
        <w:rPr>
          <w:noProof/>
        </w:rPr>
        <w:t xml:space="preserve"> </w:t>
      </w:r>
      <w:r w:rsidR="1288679F" w:rsidRPr="00500A9D">
        <w:rPr>
          <w:noProof/>
        </w:rPr>
        <w:t xml:space="preserve">with </w:t>
      </w:r>
      <w:r w:rsidR="183BE366" w:rsidRPr="00500A9D">
        <w:rPr>
          <w:noProof/>
        </w:rPr>
        <w:t xml:space="preserve">the </w:t>
      </w:r>
      <w:r w:rsidR="076B1AC8" w:rsidRPr="00500A9D">
        <w:rPr>
          <w:noProof/>
        </w:rPr>
        <w:t xml:space="preserve">Member States’ </w:t>
      </w:r>
      <w:r w:rsidR="1288679F" w:rsidRPr="00500A9D">
        <w:rPr>
          <w:noProof/>
        </w:rPr>
        <w:t xml:space="preserve">crisis scenarios and risk preparedness plans under </w:t>
      </w:r>
      <w:r w:rsidR="2AB9A7D2" w:rsidRPr="00500A9D">
        <w:rPr>
          <w:noProof/>
        </w:rPr>
        <w:t xml:space="preserve">Regulation </w:t>
      </w:r>
      <w:r w:rsidR="40C4F667" w:rsidRPr="00500A9D">
        <w:rPr>
          <w:noProof/>
        </w:rPr>
        <w:t xml:space="preserve">(EU) </w:t>
      </w:r>
      <w:r w:rsidR="2AB9A7D2" w:rsidRPr="00500A9D">
        <w:rPr>
          <w:noProof/>
        </w:rPr>
        <w:t>2019/941</w:t>
      </w:r>
      <w:r w:rsidR="04FD8489">
        <w:rPr>
          <w:noProof/>
        </w:rPr>
        <w:t xml:space="preserve"> of the European Parliament and of the Council</w:t>
      </w:r>
      <w:r w:rsidR="04FD8489" w:rsidRPr="378AE33B">
        <w:rPr>
          <w:rStyle w:val="FootnoteReference"/>
          <w:rFonts w:eastAsia="Times New Roman"/>
          <w:noProof/>
        </w:rPr>
        <w:t xml:space="preserve"> </w:t>
      </w:r>
      <w:r w:rsidR="009725D9">
        <w:rPr>
          <w:rStyle w:val="FootnoteReference"/>
          <w:rFonts w:eastAsia="Times New Roman"/>
          <w:noProof/>
        </w:rPr>
        <w:footnoteReference w:id="48"/>
      </w:r>
      <w:r w:rsidR="1015214D">
        <w:rPr>
          <w:noProof/>
        </w:rPr>
        <w:t>.</w:t>
      </w:r>
    </w:p>
    <w:p w14:paraId="10F9DFAD" w14:textId="68666B92" w:rsidR="098EDD7C" w:rsidRPr="00500A9D" w:rsidRDefault="00C44DD6" w:rsidP="00C44DD6">
      <w:pPr>
        <w:pStyle w:val="ManualConsidrant"/>
        <w:rPr>
          <w:noProof/>
        </w:rPr>
      </w:pPr>
      <w:r w:rsidRPr="00C44DD6">
        <w:rPr>
          <w:noProof/>
        </w:rPr>
        <w:t>(9)</w:t>
      </w:r>
      <w:r w:rsidRPr="00C44DD6">
        <w:rPr>
          <w:noProof/>
        </w:rPr>
        <w:tab/>
      </w:r>
      <w:r w:rsidR="7E24DAC2" w:rsidRPr="00500A9D">
        <w:rPr>
          <w:noProof/>
        </w:rPr>
        <w:t>While foreign investment can bring benefits such as increased financing options for capital-intensive projects, it can also increase the U</w:t>
      </w:r>
      <w:r w:rsidR="04FD8489">
        <w:rPr>
          <w:noProof/>
        </w:rPr>
        <w:t>nion</w:t>
      </w:r>
      <w:r w:rsidR="7E24DAC2" w:rsidRPr="00500A9D">
        <w:rPr>
          <w:noProof/>
        </w:rPr>
        <w:t xml:space="preserve">’s exposure to energy security related risks such as disruptions or reduced reliability of cross-border flows, in particular </w:t>
      </w:r>
      <w:r w:rsidR="00372FA6" w:rsidRPr="00500A9D">
        <w:rPr>
          <w:noProof/>
        </w:rPr>
        <w:t>whe</w:t>
      </w:r>
      <w:r w:rsidR="00372FA6">
        <w:rPr>
          <w:noProof/>
        </w:rPr>
        <w:t>re</w:t>
      </w:r>
      <w:r w:rsidR="00372FA6" w:rsidRPr="00500A9D">
        <w:rPr>
          <w:noProof/>
        </w:rPr>
        <w:t xml:space="preserve"> </w:t>
      </w:r>
      <w:r w:rsidR="7E24DAC2" w:rsidRPr="00500A9D">
        <w:rPr>
          <w:noProof/>
        </w:rPr>
        <w:t xml:space="preserve">such foreign investments originate from third countries with diverging geopolitical interests from the </w:t>
      </w:r>
      <w:r w:rsidR="04FD8489">
        <w:rPr>
          <w:noProof/>
        </w:rPr>
        <w:t>Union</w:t>
      </w:r>
      <w:r w:rsidR="7E24DAC2" w:rsidRPr="00500A9D">
        <w:rPr>
          <w:noProof/>
        </w:rPr>
        <w:t xml:space="preserve">. Transparency </w:t>
      </w:r>
      <w:r w:rsidR="250ED23F" w:rsidRPr="00500A9D">
        <w:rPr>
          <w:noProof/>
        </w:rPr>
        <w:t xml:space="preserve">regarding </w:t>
      </w:r>
      <w:r w:rsidR="62C2B103" w:rsidRPr="00500A9D">
        <w:rPr>
          <w:noProof/>
        </w:rPr>
        <w:t>ultimate beneficiary</w:t>
      </w:r>
      <w:r w:rsidR="250ED23F" w:rsidRPr="00500A9D">
        <w:rPr>
          <w:noProof/>
        </w:rPr>
        <w:t xml:space="preserve"> </w:t>
      </w:r>
      <w:r w:rsidR="7E24DAC2" w:rsidRPr="00500A9D">
        <w:rPr>
          <w:noProof/>
        </w:rPr>
        <w:t>ownership</w:t>
      </w:r>
      <w:r w:rsidR="1D4DA692" w:rsidRPr="00500A9D">
        <w:rPr>
          <w:noProof/>
        </w:rPr>
        <w:t xml:space="preserve">, </w:t>
      </w:r>
      <w:r w:rsidR="1FCC4697" w:rsidRPr="00500A9D">
        <w:rPr>
          <w:noProof/>
        </w:rPr>
        <w:t>including</w:t>
      </w:r>
      <w:r w:rsidR="590B0578" w:rsidRPr="00500A9D">
        <w:rPr>
          <w:noProof/>
        </w:rPr>
        <w:t xml:space="preserve"> </w:t>
      </w:r>
      <w:r w:rsidR="1FCC4697" w:rsidRPr="00500A9D">
        <w:rPr>
          <w:noProof/>
        </w:rPr>
        <w:t>information o</w:t>
      </w:r>
      <w:r w:rsidR="228F00F5" w:rsidRPr="00500A9D">
        <w:rPr>
          <w:noProof/>
        </w:rPr>
        <w:t xml:space="preserve">n the ultimate investor and participation in the capital </w:t>
      </w:r>
      <w:r w:rsidR="1D4DA692" w:rsidRPr="00500A9D">
        <w:rPr>
          <w:noProof/>
        </w:rPr>
        <w:t xml:space="preserve">as </w:t>
      </w:r>
      <w:r w:rsidR="00AB1396">
        <w:rPr>
          <w:noProof/>
        </w:rPr>
        <w:t>set out in</w:t>
      </w:r>
      <w:r w:rsidR="1D4DA692" w:rsidRPr="00500A9D">
        <w:rPr>
          <w:noProof/>
        </w:rPr>
        <w:t xml:space="preserve"> Regulation (EU) 2019/452</w:t>
      </w:r>
      <w:r w:rsidR="04FD8489">
        <w:rPr>
          <w:noProof/>
        </w:rPr>
        <w:t xml:space="preserve"> of the European Parliament and of the Council</w:t>
      </w:r>
      <w:r w:rsidR="007E726A">
        <w:rPr>
          <w:rStyle w:val="FootnoteReference"/>
          <w:noProof/>
        </w:rPr>
        <w:footnoteReference w:id="49"/>
      </w:r>
      <w:r w:rsidR="1D4DA692" w:rsidRPr="00500A9D">
        <w:rPr>
          <w:noProof/>
        </w:rPr>
        <w:t>,</w:t>
      </w:r>
      <w:r w:rsidR="43F3B0DF">
        <w:rPr>
          <w:noProof/>
        </w:rPr>
        <w:t xml:space="preserve"> </w:t>
      </w:r>
      <w:r w:rsidR="7E24DAC2" w:rsidRPr="00500A9D">
        <w:rPr>
          <w:noProof/>
        </w:rPr>
        <w:t>of cross-border</w:t>
      </w:r>
      <w:r w:rsidR="43F3B0DF">
        <w:rPr>
          <w:noProof/>
        </w:rPr>
        <w:t xml:space="preserve"> </w:t>
      </w:r>
      <w:r w:rsidR="7E24DAC2" w:rsidRPr="00500A9D">
        <w:rPr>
          <w:noProof/>
        </w:rPr>
        <w:t xml:space="preserve">energy infrastructure and projects with a cross-border impact is therefore crucial to prevent the </w:t>
      </w:r>
      <w:r w:rsidR="005B189E">
        <w:rPr>
          <w:noProof/>
        </w:rPr>
        <w:t>Union</w:t>
      </w:r>
      <w:r w:rsidR="005B189E" w:rsidRPr="00500A9D">
        <w:rPr>
          <w:noProof/>
        </w:rPr>
        <w:t xml:space="preserve"> </w:t>
      </w:r>
      <w:r w:rsidR="7E24DAC2" w:rsidRPr="00500A9D">
        <w:rPr>
          <w:noProof/>
        </w:rPr>
        <w:t xml:space="preserve">from becoming dependent on non-trusted third countries and should be taken into consideration when selecting </w:t>
      </w:r>
      <w:r w:rsidR="3920624C" w:rsidRPr="00500A9D">
        <w:rPr>
          <w:noProof/>
        </w:rPr>
        <w:t>p</w:t>
      </w:r>
      <w:r w:rsidR="7E24DAC2" w:rsidRPr="00500A9D">
        <w:rPr>
          <w:noProof/>
        </w:rPr>
        <w:t xml:space="preserve">rojects of </w:t>
      </w:r>
      <w:r w:rsidR="1A823BE3" w:rsidRPr="00500A9D">
        <w:rPr>
          <w:noProof/>
        </w:rPr>
        <w:t>c</w:t>
      </w:r>
      <w:r w:rsidR="7E24DAC2" w:rsidRPr="00500A9D">
        <w:rPr>
          <w:noProof/>
        </w:rPr>
        <w:t xml:space="preserve">ommon </w:t>
      </w:r>
      <w:r w:rsidR="6341D7DF" w:rsidRPr="00500A9D">
        <w:rPr>
          <w:noProof/>
        </w:rPr>
        <w:t>interest and projects of m</w:t>
      </w:r>
      <w:r w:rsidR="7E24DAC2" w:rsidRPr="00500A9D">
        <w:rPr>
          <w:noProof/>
        </w:rPr>
        <w:t xml:space="preserve">utual </w:t>
      </w:r>
      <w:r w:rsidR="3AF2C5AB" w:rsidRPr="00500A9D">
        <w:rPr>
          <w:noProof/>
        </w:rPr>
        <w:t>i</w:t>
      </w:r>
      <w:r w:rsidR="7E24DAC2" w:rsidRPr="00500A9D">
        <w:rPr>
          <w:noProof/>
        </w:rPr>
        <w:t>nterest.</w:t>
      </w:r>
    </w:p>
    <w:p w14:paraId="5D06A605" w14:textId="3AFF1F74" w:rsidR="5DA01A4B" w:rsidRPr="00500A9D" w:rsidRDefault="00C44DD6" w:rsidP="00C44DD6">
      <w:pPr>
        <w:pStyle w:val="ManualConsidrant"/>
        <w:rPr>
          <w:noProof/>
        </w:rPr>
      </w:pPr>
      <w:r w:rsidRPr="00C44DD6">
        <w:rPr>
          <w:noProof/>
        </w:rPr>
        <w:t>(10)</w:t>
      </w:r>
      <w:r w:rsidRPr="00C44DD6">
        <w:rPr>
          <w:noProof/>
        </w:rPr>
        <w:tab/>
      </w:r>
      <w:r w:rsidR="6399A53A">
        <w:rPr>
          <w:noProof/>
        </w:rPr>
        <w:t>To ensure cost-efficient and accelerated grid development and access to grid</w:t>
      </w:r>
      <w:r w:rsidR="00302BD5">
        <w:rPr>
          <w:noProof/>
        </w:rPr>
        <w:t>s</w:t>
      </w:r>
      <w:r w:rsidR="00AC143D">
        <w:rPr>
          <w:noProof/>
        </w:rPr>
        <w:t xml:space="preserve"> in the Union</w:t>
      </w:r>
      <w:r w:rsidR="6399A53A">
        <w:rPr>
          <w:noProof/>
        </w:rPr>
        <w:t>, non-wire solutions</w:t>
      </w:r>
      <w:r w:rsidR="301193D7">
        <w:rPr>
          <w:noProof/>
        </w:rPr>
        <w:t xml:space="preserve"> should play </w:t>
      </w:r>
      <w:r w:rsidR="00100D57">
        <w:rPr>
          <w:noProof/>
        </w:rPr>
        <w:t xml:space="preserve">a </w:t>
      </w:r>
      <w:r w:rsidR="301193D7">
        <w:rPr>
          <w:noProof/>
        </w:rPr>
        <w:t>prominent role in addressing system needs</w:t>
      </w:r>
      <w:r w:rsidR="5BDBA357">
        <w:rPr>
          <w:noProof/>
        </w:rPr>
        <w:t xml:space="preserve"> next to physical grid</w:t>
      </w:r>
      <w:r w:rsidR="5427410C">
        <w:rPr>
          <w:noProof/>
        </w:rPr>
        <w:t xml:space="preserve"> reinforcement</w:t>
      </w:r>
      <w:r w:rsidR="301193D7">
        <w:rPr>
          <w:noProof/>
        </w:rPr>
        <w:t>,</w:t>
      </w:r>
      <w:r w:rsidR="6399A53A">
        <w:rPr>
          <w:noProof/>
        </w:rPr>
        <w:t xml:space="preserve"> as </w:t>
      </w:r>
      <w:r w:rsidR="301193D7">
        <w:rPr>
          <w:noProof/>
        </w:rPr>
        <w:t>they may be deployed faster and at lower costs.</w:t>
      </w:r>
      <w:r w:rsidR="6399A53A">
        <w:rPr>
          <w:noProof/>
        </w:rPr>
        <w:t xml:space="preserve"> </w:t>
      </w:r>
      <w:r w:rsidR="04B2AD64">
        <w:rPr>
          <w:noProof/>
        </w:rPr>
        <w:t>D</w:t>
      </w:r>
      <w:r w:rsidR="5427410C">
        <w:rPr>
          <w:noProof/>
        </w:rPr>
        <w:t>eploying such technologies</w:t>
      </w:r>
      <w:r w:rsidR="6F7B4AF7">
        <w:rPr>
          <w:noProof/>
        </w:rPr>
        <w:t xml:space="preserve"> </w:t>
      </w:r>
      <w:r w:rsidR="2E23E961">
        <w:rPr>
          <w:noProof/>
        </w:rPr>
        <w:t xml:space="preserve">should be considered </w:t>
      </w:r>
      <w:r w:rsidR="04B2AD64">
        <w:rPr>
          <w:noProof/>
        </w:rPr>
        <w:t xml:space="preserve">before investing </w:t>
      </w:r>
      <w:r w:rsidR="3432A25B">
        <w:rPr>
          <w:noProof/>
        </w:rPr>
        <w:t>in the expansion of grid</w:t>
      </w:r>
      <w:r w:rsidR="4AD93BD5">
        <w:rPr>
          <w:noProof/>
        </w:rPr>
        <w:t xml:space="preserve"> infrastructure</w:t>
      </w:r>
      <w:r w:rsidR="67D26D6F">
        <w:rPr>
          <w:noProof/>
        </w:rPr>
        <w:t xml:space="preserve">. To this aim, </w:t>
      </w:r>
      <w:r w:rsidR="6E75452D">
        <w:rPr>
          <w:noProof/>
        </w:rPr>
        <w:t>a</w:t>
      </w:r>
      <w:r w:rsidR="67D26D6F">
        <w:rPr>
          <w:noProof/>
        </w:rPr>
        <w:t xml:space="preserve"> new </w:t>
      </w:r>
      <w:r w:rsidR="3432A25B">
        <w:rPr>
          <w:noProof/>
        </w:rPr>
        <w:t xml:space="preserve">infrastructure </w:t>
      </w:r>
      <w:r w:rsidR="67D26D6F">
        <w:rPr>
          <w:noProof/>
        </w:rPr>
        <w:t>category sh</w:t>
      </w:r>
      <w:r w:rsidR="699DF1CC">
        <w:rPr>
          <w:noProof/>
        </w:rPr>
        <w:t>ould</w:t>
      </w:r>
      <w:r w:rsidR="67D26D6F">
        <w:rPr>
          <w:noProof/>
        </w:rPr>
        <w:t xml:space="preserve"> cover investments in non-wire</w:t>
      </w:r>
      <w:r w:rsidR="4A8A2972">
        <w:rPr>
          <w:noProof/>
        </w:rPr>
        <w:t xml:space="preserve"> technologies and digital solutions, </w:t>
      </w:r>
      <w:r w:rsidR="62C1B835">
        <w:rPr>
          <w:noProof/>
        </w:rPr>
        <w:t>including software solutions,</w:t>
      </w:r>
      <w:r w:rsidR="4A8A2972">
        <w:rPr>
          <w:noProof/>
        </w:rPr>
        <w:t xml:space="preserve"> </w:t>
      </w:r>
      <w:r w:rsidR="00974705">
        <w:rPr>
          <w:noProof/>
        </w:rPr>
        <w:t>where</w:t>
      </w:r>
      <w:r w:rsidR="4A8A2972">
        <w:rPr>
          <w:noProof/>
        </w:rPr>
        <w:t xml:space="preserve"> they are deployed on existing critical network elements</w:t>
      </w:r>
      <w:r w:rsidR="6AE6C14C">
        <w:rPr>
          <w:noProof/>
        </w:rPr>
        <w:t xml:space="preserve"> relevant for cross-border trade, and </w:t>
      </w:r>
      <w:r w:rsidR="00974705">
        <w:rPr>
          <w:noProof/>
        </w:rPr>
        <w:t>where</w:t>
      </w:r>
      <w:r w:rsidR="6AE6C14C">
        <w:rPr>
          <w:noProof/>
        </w:rPr>
        <w:t xml:space="preserve"> bringing quantified benefits for market integration in terms of increasing cross-border capacity.</w:t>
      </w:r>
    </w:p>
    <w:p w14:paraId="631BF42B" w14:textId="345EFC3A" w:rsidR="5C3A56FF" w:rsidRDefault="00C44DD6" w:rsidP="00C44DD6">
      <w:pPr>
        <w:pStyle w:val="ManualConsidrant"/>
        <w:rPr>
          <w:noProof/>
        </w:rPr>
      </w:pPr>
      <w:r w:rsidRPr="00C44DD6">
        <w:rPr>
          <w:noProof/>
        </w:rPr>
        <w:t>(11)</w:t>
      </w:r>
      <w:r w:rsidRPr="00C44DD6">
        <w:rPr>
          <w:noProof/>
        </w:rPr>
        <w:tab/>
      </w:r>
      <w:r w:rsidR="00974705">
        <w:rPr>
          <w:noProof/>
        </w:rPr>
        <w:t>A</w:t>
      </w:r>
      <w:r w:rsidR="3F03DF4A" w:rsidRPr="00500A9D">
        <w:rPr>
          <w:rFonts w:eastAsia="Aptos"/>
          <w:noProof/>
        </w:rPr>
        <w:t xml:space="preserve"> </w:t>
      </w:r>
      <w:r w:rsidR="3F03DF4A" w:rsidRPr="00500A9D">
        <w:rPr>
          <w:rFonts w:eastAsia="Aptos"/>
          <w:noProof/>
          <w:color w:val="000000" w:themeColor="text1"/>
        </w:rPr>
        <w:t xml:space="preserve">decarbonised gas and hydrogen legislative package </w:t>
      </w:r>
      <w:r w:rsidR="6884A452" w:rsidRPr="00500A9D">
        <w:rPr>
          <w:noProof/>
          <w:color w:val="000000" w:themeColor="text1"/>
        </w:rPr>
        <w:t>was adopted</w:t>
      </w:r>
      <w:r w:rsidR="59BA8688">
        <w:rPr>
          <w:noProof/>
          <w:color w:val="000000" w:themeColor="text1"/>
        </w:rPr>
        <w:t xml:space="preserve"> </w:t>
      </w:r>
      <w:r w:rsidR="0C2A1C8D">
        <w:rPr>
          <w:noProof/>
          <w:color w:val="000000" w:themeColor="text1"/>
        </w:rPr>
        <w:t xml:space="preserve">with </w:t>
      </w:r>
      <w:r w:rsidR="0C2A1C8D" w:rsidRPr="00451BB0">
        <w:rPr>
          <w:noProof/>
        </w:rPr>
        <w:t>Regulation (EU) 2024/1789</w:t>
      </w:r>
      <w:r w:rsidR="2A3F8113">
        <w:rPr>
          <w:noProof/>
        </w:rPr>
        <w:t xml:space="preserve"> of the European Parliament and of the Council</w:t>
      </w:r>
      <w:r w:rsidR="00451BB0">
        <w:rPr>
          <w:rStyle w:val="FootnoteReference"/>
          <w:noProof/>
        </w:rPr>
        <w:footnoteReference w:id="50"/>
      </w:r>
      <w:r w:rsidR="0C2A1C8D" w:rsidRPr="00451BB0">
        <w:rPr>
          <w:noProof/>
        </w:rPr>
        <w:t xml:space="preserve"> and Directive (EU) 2024/1788</w:t>
      </w:r>
      <w:r w:rsidR="2A3F8113">
        <w:rPr>
          <w:noProof/>
        </w:rPr>
        <w:t xml:space="preserve"> of the European Parliament and of the Council</w:t>
      </w:r>
      <w:r w:rsidR="00451BB0">
        <w:rPr>
          <w:rStyle w:val="FootnoteReference"/>
          <w:noProof/>
        </w:rPr>
        <w:footnoteReference w:id="51"/>
      </w:r>
      <w:r w:rsidR="6884A452" w:rsidRPr="00500A9D">
        <w:rPr>
          <w:noProof/>
          <w:color w:val="000000" w:themeColor="text1"/>
        </w:rPr>
        <w:t xml:space="preserve"> </w:t>
      </w:r>
      <w:r w:rsidR="66C594A9" w:rsidRPr="00500A9D">
        <w:rPr>
          <w:noProof/>
          <w:color w:val="000000" w:themeColor="text1"/>
        </w:rPr>
        <w:t>to set</w:t>
      </w:r>
      <w:r w:rsidR="3F03DF4A" w:rsidRPr="00500A9D">
        <w:rPr>
          <w:rFonts w:eastAsia="Aptos"/>
          <w:noProof/>
          <w:color w:val="000000" w:themeColor="text1"/>
        </w:rPr>
        <w:t xml:space="preserve"> </w:t>
      </w:r>
      <w:r w:rsidR="3F03DF4A" w:rsidRPr="00500A9D">
        <w:rPr>
          <w:rFonts w:eastAsia="Aptos"/>
          <w:noProof/>
        </w:rPr>
        <w:t xml:space="preserve">common rules </w:t>
      </w:r>
      <w:r w:rsidR="5BB470DA" w:rsidRPr="00500A9D">
        <w:rPr>
          <w:noProof/>
        </w:rPr>
        <w:t xml:space="preserve">at Union level </w:t>
      </w:r>
      <w:r w:rsidR="3F03DF4A" w:rsidRPr="00500A9D">
        <w:rPr>
          <w:rFonts w:eastAsia="Aptos"/>
          <w:noProof/>
        </w:rPr>
        <w:t>for the transition to renewable and low-carbon gases</w:t>
      </w:r>
      <w:r w:rsidR="59BA8688">
        <w:rPr>
          <w:rFonts w:eastAsia="Aptos"/>
          <w:noProof/>
        </w:rPr>
        <w:t>.</w:t>
      </w:r>
      <w:r w:rsidR="3F03DF4A" w:rsidRPr="00500A9D">
        <w:rPr>
          <w:rFonts w:eastAsia="Aptos"/>
          <w:noProof/>
        </w:rPr>
        <w:t xml:space="preserve"> </w:t>
      </w:r>
      <w:r w:rsidR="1A179E99" w:rsidRPr="00500A9D">
        <w:rPr>
          <w:noProof/>
        </w:rPr>
        <w:t>The infrastructure categories set out</w:t>
      </w:r>
      <w:r w:rsidR="3F03DF4A" w:rsidRPr="00500A9D">
        <w:rPr>
          <w:rFonts w:eastAsia="Aptos"/>
          <w:noProof/>
        </w:rPr>
        <w:t xml:space="preserve"> in </w:t>
      </w:r>
      <w:r w:rsidR="009A4EC7">
        <w:rPr>
          <w:noProof/>
        </w:rPr>
        <w:t>this</w:t>
      </w:r>
      <w:r w:rsidR="009A4EC7" w:rsidRPr="00500A9D">
        <w:rPr>
          <w:noProof/>
        </w:rPr>
        <w:t xml:space="preserve"> </w:t>
      </w:r>
      <w:r w:rsidR="1A179E99" w:rsidRPr="00500A9D">
        <w:rPr>
          <w:noProof/>
        </w:rPr>
        <w:t xml:space="preserve">Regulation should be fully aligned with the objectives of that package </w:t>
      </w:r>
      <w:r w:rsidR="3F03DF4A" w:rsidRPr="00500A9D">
        <w:rPr>
          <w:rFonts w:eastAsia="Aptos"/>
          <w:noProof/>
        </w:rPr>
        <w:t>and ensure that energy infrastructure projects have a significant cross-border impact. Where technically possible and most efficient, the possibility of repurposing existing infrastructure and equipment should be taken into account in the development of such projects</w:t>
      </w:r>
      <w:r w:rsidR="417F5049" w:rsidRPr="00500A9D">
        <w:rPr>
          <w:noProof/>
        </w:rPr>
        <w:t>.</w:t>
      </w:r>
    </w:p>
    <w:p w14:paraId="4272F41B" w14:textId="73AC4EFC" w:rsidR="30B8E886" w:rsidRPr="002A75D5" w:rsidRDefault="00C44DD6" w:rsidP="00C44DD6">
      <w:pPr>
        <w:pStyle w:val="ManualConsidrant"/>
        <w:rPr>
          <w:rStyle w:val="CommentReference"/>
          <w:noProof/>
          <w:sz w:val="24"/>
          <w:szCs w:val="24"/>
        </w:rPr>
      </w:pPr>
      <w:r w:rsidRPr="00C44DD6">
        <w:rPr>
          <w:rStyle w:val="CommentReference"/>
          <w:noProof/>
        </w:rPr>
        <w:t>(12)</w:t>
      </w:r>
      <w:r w:rsidRPr="00C44DD6">
        <w:rPr>
          <w:rStyle w:val="CommentReference"/>
          <w:noProof/>
        </w:rPr>
        <w:tab/>
      </w:r>
      <w:r w:rsidR="443ADC45">
        <w:rPr>
          <w:noProof/>
        </w:rPr>
        <w:t>Regional groups</w:t>
      </w:r>
      <w:r w:rsidR="2A3F8113">
        <w:rPr>
          <w:noProof/>
        </w:rPr>
        <w:t xml:space="preserve"> </w:t>
      </w:r>
      <w:r w:rsidR="29507177">
        <w:rPr>
          <w:noProof/>
        </w:rPr>
        <w:t>(Groups)</w:t>
      </w:r>
      <w:r w:rsidR="443ADC45">
        <w:rPr>
          <w:noProof/>
        </w:rPr>
        <w:t xml:space="preserve"> should be established for the purpose of proposing and reviewing projects of common interest</w:t>
      </w:r>
      <w:r w:rsidR="25EAAD5F">
        <w:rPr>
          <w:noProof/>
        </w:rPr>
        <w:t xml:space="preserve"> and projects of mutual interest</w:t>
      </w:r>
      <w:r w:rsidR="443ADC45">
        <w:rPr>
          <w:noProof/>
        </w:rPr>
        <w:t>, leading to the establishment of regional lists of projects of common interest</w:t>
      </w:r>
      <w:r w:rsidR="565695CA">
        <w:rPr>
          <w:noProof/>
        </w:rPr>
        <w:t xml:space="preserve"> and projects of mutual interest</w:t>
      </w:r>
      <w:r w:rsidR="443ADC45">
        <w:rPr>
          <w:noProof/>
        </w:rPr>
        <w:t xml:space="preserve">. In order to ensure broad consensus, those </w:t>
      </w:r>
      <w:r w:rsidR="29507177">
        <w:rPr>
          <w:noProof/>
        </w:rPr>
        <w:t>G</w:t>
      </w:r>
      <w:r w:rsidR="443ADC45">
        <w:rPr>
          <w:noProof/>
        </w:rPr>
        <w:t xml:space="preserve">roups should </w:t>
      </w:r>
      <w:r w:rsidR="00210BB8">
        <w:rPr>
          <w:noProof/>
        </w:rPr>
        <w:t>include</w:t>
      </w:r>
      <w:r w:rsidR="00874883">
        <w:rPr>
          <w:noProof/>
        </w:rPr>
        <w:t xml:space="preserve"> and</w:t>
      </w:r>
      <w:r w:rsidR="443ADC45">
        <w:rPr>
          <w:noProof/>
        </w:rPr>
        <w:t xml:space="preserve"> ensure close cooperation between Member States, national regulatory authorities, project promoters and relevant stakeholders. In the context of that cooperation, national regulatory authorities should, where necessary, advise </w:t>
      </w:r>
      <w:r w:rsidR="29507177">
        <w:rPr>
          <w:noProof/>
        </w:rPr>
        <w:t>G</w:t>
      </w:r>
      <w:r w:rsidR="443ADC45">
        <w:rPr>
          <w:noProof/>
        </w:rPr>
        <w:t xml:space="preserve">roups, inter alia, on the feasibility of the </w:t>
      </w:r>
      <w:r w:rsidR="00FB0207">
        <w:rPr>
          <w:noProof/>
        </w:rPr>
        <w:t xml:space="preserve">national </w:t>
      </w:r>
      <w:r w:rsidR="443ADC45">
        <w:rPr>
          <w:noProof/>
        </w:rPr>
        <w:t>regulatory aspects of proposed projects and on the feasibility of the proposed timetable for regulatory approval.</w:t>
      </w:r>
      <w:r w:rsidR="33F95D8A" w:rsidRPr="4E141F37">
        <w:rPr>
          <w:rStyle w:val="CommentReference"/>
          <w:noProof/>
          <w:sz w:val="24"/>
          <w:szCs w:val="24"/>
        </w:rPr>
        <w:t xml:space="preserve"> </w:t>
      </w:r>
    </w:p>
    <w:p w14:paraId="4F0B8B85" w14:textId="7847C061" w:rsidR="30B8E886" w:rsidRPr="002A75D5" w:rsidRDefault="00C44DD6" w:rsidP="00C44DD6">
      <w:pPr>
        <w:pStyle w:val="ManualConsidrant"/>
        <w:rPr>
          <w:rStyle w:val="CommentReference"/>
          <w:noProof/>
          <w:sz w:val="24"/>
          <w:szCs w:val="24"/>
        </w:rPr>
      </w:pPr>
      <w:r w:rsidRPr="00C44DD6">
        <w:rPr>
          <w:rStyle w:val="CommentReference"/>
          <w:noProof/>
        </w:rPr>
        <w:t>(13)</w:t>
      </w:r>
      <w:r w:rsidRPr="00C44DD6">
        <w:rPr>
          <w:rStyle w:val="CommentReference"/>
          <w:noProof/>
        </w:rPr>
        <w:tab/>
      </w:r>
      <w:r w:rsidR="443ADC45">
        <w:rPr>
          <w:noProof/>
        </w:rPr>
        <w:t xml:space="preserve">In order to increase the efficiency of the </w:t>
      </w:r>
      <w:r w:rsidR="00324B50">
        <w:rPr>
          <w:noProof/>
        </w:rPr>
        <w:t xml:space="preserve">network planning and </w:t>
      </w:r>
      <w:r w:rsidR="00D45C76">
        <w:rPr>
          <w:noProof/>
        </w:rPr>
        <w:t xml:space="preserve">project </w:t>
      </w:r>
      <w:r w:rsidR="00324B50">
        <w:rPr>
          <w:noProof/>
        </w:rPr>
        <w:t xml:space="preserve">development </w:t>
      </w:r>
      <w:r w:rsidR="443ADC45">
        <w:rPr>
          <w:noProof/>
        </w:rPr>
        <w:t>process</w:t>
      </w:r>
      <w:r w:rsidR="00324B50">
        <w:rPr>
          <w:noProof/>
        </w:rPr>
        <w:t>es</w:t>
      </w:r>
      <w:r w:rsidR="443ADC45">
        <w:rPr>
          <w:noProof/>
        </w:rPr>
        <w:t xml:space="preserve">, cooperation between the </w:t>
      </w:r>
      <w:r w:rsidR="29507177">
        <w:rPr>
          <w:noProof/>
        </w:rPr>
        <w:t>G</w:t>
      </w:r>
      <w:r w:rsidR="443ADC45">
        <w:rPr>
          <w:noProof/>
        </w:rPr>
        <w:t xml:space="preserve">roups should be strengthened. It is necessary that the Commission play an important role in facilitating that cooperation with a view to addressing the possible impact of projects </w:t>
      </w:r>
      <w:r w:rsidR="00324B50">
        <w:rPr>
          <w:noProof/>
        </w:rPr>
        <w:t>developed within one region</w:t>
      </w:r>
      <w:r w:rsidR="443ADC45">
        <w:rPr>
          <w:noProof/>
        </w:rPr>
        <w:t xml:space="preserve"> on other</w:t>
      </w:r>
      <w:r w:rsidR="00324B50">
        <w:rPr>
          <w:noProof/>
        </w:rPr>
        <w:t xml:space="preserve"> regions</w:t>
      </w:r>
      <w:r w:rsidR="443ADC45">
        <w:rPr>
          <w:noProof/>
        </w:rPr>
        <w:t>.</w:t>
      </w:r>
      <w:r w:rsidR="33F95D8A" w:rsidRPr="4E141F37">
        <w:rPr>
          <w:rStyle w:val="CommentReference"/>
          <w:noProof/>
          <w:sz w:val="24"/>
          <w:szCs w:val="24"/>
        </w:rPr>
        <w:t xml:space="preserve"> </w:t>
      </w:r>
    </w:p>
    <w:p w14:paraId="08F453BF" w14:textId="668ADCDC" w:rsidR="00930107" w:rsidRPr="002A75D5" w:rsidRDefault="00C44DD6" w:rsidP="00C44DD6">
      <w:pPr>
        <w:pStyle w:val="ManualConsidrant"/>
        <w:rPr>
          <w:noProof/>
        </w:rPr>
      </w:pPr>
      <w:r w:rsidRPr="00C44DD6">
        <w:rPr>
          <w:noProof/>
        </w:rPr>
        <w:t>(14)</w:t>
      </w:r>
      <w:r w:rsidRPr="00C44DD6">
        <w:rPr>
          <w:noProof/>
        </w:rPr>
        <w:tab/>
      </w:r>
      <w:r w:rsidR="17648E80">
        <w:rPr>
          <w:noProof/>
        </w:rPr>
        <w:t xml:space="preserve">In order to complement the </w:t>
      </w:r>
      <w:r w:rsidR="7B968448">
        <w:rPr>
          <w:noProof/>
        </w:rPr>
        <w:t>G</w:t>
      </w:r>
      <w:r w:rsidR="17648E80">
        <w:rPr>
          <w:noProof/>
        </w:rPr>
        <w:t>roups</w:t>
      </w:r>
      <w:r w:rsidR="007A61E5">
        <w:rPr>
          <w:noProof/>
        </w:rPr>
        <w:t>,</w:t>
      </w:r>
      <w:r w:rsidR="17648E80">
        <w:rPr>
          <w:noProof/>
        </w:rPr>
        <w:t xml:space="preserve"> several regional </w:t>
      </w:r>
      <w:r w:rsidR="2833461B">
        <w:rPr>
          <w:noProof/>
        </w:rPr>
        <w:t xml:space="preserve">cooperation fora have been established with the support of the Commission. </w:t>
      </w:r>
      <w:r w:rsidR="007509B8">
        <w:rPr>
          <w:noProof/>
        </w:rPr>
        <w:t xml:space="preserve">Regional cooperation </w:t>
      </w:r>
      <w:r w:rsidR="007B1326">
        <w:rPr>
          <w:noProof/>
        </w:rPr>
        <w:t xml:space="preserve">within and between the </w:t>
      </w:r>
      <w:r w:rsidR="008063E2">
        <w:rPr>
          <w:noProof/>
        </w:rPr>
        <w:t>fora</w:t>
      </w:r>
      <w:r w:rsidR="007B1326">
        <w:rPr>
          <w:noProof/>
        </w:rPr>
        <w:t xml:space="preserve"> and the Groups</w:t>
      </w:r>
      <w:r w:rsidR="007509B8">
        <w:rPr>
          <w:noProof/>
        </w:rPr>
        <w:t xml:space="preserve"> is a key tool to ensur</w:t>
      </w:r>
      <w:r w:rsidR="00B92E5F">
        <w:rPr>
          <w:noProof/>
        </w:rPr>
        <w:t>e</w:t>
      </w:r>
      <w:r w:rsidR="007509B8">
        <w:rPr>
          <w:noProof/>
        </w:rPr>
        <w:t xml:space="preserve"> deeper integration of the European energy system. </w:t>
      </w:r>
      <w:r w:rsidR="2833461B">
        <w:rPr>
          <w:noProof/>
        </w:rPr>
        <w:t>T</w:t>
      </w:r>
      <w:r w:rsidR="2AA1F0D9">
        <w:rPr>
          <w:noProof/>
        </w:rPr>
        <w:t xml:space="preserve">he four High-Level Groups cover different </w:t>
      </w:r>
      <w:r w:rsidR="295F906E">
        <w:rPr>
          <w:noProof/>
        </w:rPr>
        <w:t xml:space="preserve">European regions also with the involvement of third countries: the </w:t>
      </w:r>
      <w:r w:rsidR="5DB8210A">
        <w:rPr>
          <w:noProof/>
        </w:rPr>
        <w:t xml:space="preserve">Baltic Energy Market Interconnection Plan (BEMIP), </w:t>
      </w:r>
      <w:r w:rsidR="295F906E">
        <w:rPr>
          <w:noProof/>
        </w:rPr>
        <w:t xml:space="preserve">the </w:t>
      </w:r>
      <w:r w:rsidR="5DB8210A">
        <w:rPr>
          <w:noProof/>
        </w:rPr>
        <w:t>North Seas Energy Cooperation (NSEC), the High-Level Group on Interconnections for South-West Europe (SWE) and the High-Level Group for Central and South-Eastern European Energy Connectivity (CESEC)</w:t>
      </w:r>
      <w:r w:rsidR="295F906E">
        <w:rPr>
          <w:noProof/>
        </w:rPr>
        <w:t>.</w:t>
      </w:r>
      <w:r w:rsidR="5DB8210A">
        <w:rPr>
          <w:noProof/>
        </w:rPr>
        <w:t xml:space="preserve"> Regional cooperation in </w:t>
      </w:r>
      <w:r w:rsidR="000270EA">
        <w:rPr>
          <w:noProof/>
        </w:rPr>
        <w:t>those</w:t>
      </w:r>
      <w:r w:rsidR="5DB8210A">
        <w:rPr>
          <w:noProof/>
        </w:rPr>
        <w:t xml:space="preserve"> fora has been successful in </w:t>
      </w:r>
      <w:r w:rsidR="49E79BB4">
        <w:rPr>
          <w:noProof/>
        </w:rPr>
        <w:t xml:space="preserve">supporting </w:t>
      </w:r>
      <w:r w:rsidR="5DB8210A">
        <w:rPr>
          <w:noProof/>
        </w:rPr>
        <w:t xml:space="preserve">monitoring and accelerating the implementation of key energy infrastructure projects of regional dimension and of market integration actions. Consequently, </w:t>
      </w:r>
      <w:r w:rsidR="006355D1">
        <w:rPr>
          <w:noProof/>
        </w:rPr>
        <w:t>those</w:t>
      </w:r>
      <w:r w:rsidR="4E182FC5">
        <w:rPr>
          <w:noProof/>
        </w:rPr>
        <w:t xml:space="preserve"> </w:t>
      </w:r>
      <w:r w:rsidR="5DB8210A">
        <w:rPr>
          <w:noProof/>
        </w:rPr>
        <w:t xml:space="preserve">regional cooperation </w:t>
      </w:r>
      <w:r w:rsidR="4E182FC5">
        <w:rPr>
          <w:noProof/>
        </w:rPr>
        <w:t>fora sh</w:t>
      </w:r>
      <w:r w:rsidR="1FD9CE0A">
        <w:rPr>
          <w:noProof/>
        </w:rPr>
        <w:t xml:space="preserve">ould </w:t>
      </w:r>
      <w:r w:rsidR="5DB8210A">
        <w:rPr>
          <w:noProof/>
        </w:rPr>
        <w:t xml:space="preserve">be increasingly deployed to </w:t>
      </w:r>
      <w:r w:rsidR="1FD9CE0A">
        <w:rPr>
          <w:noProof/>
        </w:rPr>
        <w:t>support the achievement of the objectives</w:t>
      </w:r>
      <w:r w:rsidR="5DB8210A">
        <w:rPr>
          <w:noProof/>
        </w:rPr>
        <w:t xml:space="preserve"> of </w:t>
      </w:r>
      <w:r w:rsidR="7B968448">
        <w:rPr>
          <w:noProof/>
        </w:rPr>
        <w:t>this</w:t>
      </w:r>
      <w:r w:rsidR="5DB8210A">
        <w:rPr>
          <w:noProof/>
        </w:rPr>
        <w:t xml:space="preserve"> Regulation.</w:t>
      </w:r>
    </w:p>
    <w:p w14:paraId="203D857B" w14:textId="1630BB37" w:rsidR="30B8E886" w:rsidRPr="002A75D5" w:rsidRDefault="00C44DD6" w:rsidP="00C44DD6">
      <w:pPr>
        <w:pStyle w:val="ManualConsidrant"/>
        <w:rPr>
          <w:noProof/>
        </w:rPr>
      </w:pPr>
      <w:r w:rsidRPr="00C44DD6">
        <w:rPr>
          <w:noProof/>
        </w:rPr>
        <w:t>(15)</w:t>
      </w:r>
      <w:r w:rsidRPr="00C44DD6">
        <w:rPr>
          <w:noProof/>
        </w:rPr>
        <w:tab/>
      </w:r>
      <w:r w:rsidR="443ADC45">
        <w:rPr>
          <w:noProof/>
        </w:rPr>
        <w:t xml:space="preserve">A new Union list </w:t>
      </w:r>
      <w:r w:rsidR="00353D77">
        <w:rPr>
          <w:noProof/>
        </w:rPr>
        <w:t xml:space="preserve">of projects of common </w:t>
      </w:r>
      <w:r w:rsidR="00EE7DB8">
        <w:rPr>
          <w:noProof/>
        </w:rPr>
        <w:t>interest</w:t>
      </w:r>
      <w:r w:rsidR="0089261D">
        <w:rPr>
          <w:noProof/>
        </w:rPr>
        <w:t xml:space="preserve"> and </w:t>
      </w:r>
      <w:r w:rsidR="0020792F">
        <w:rPr>
          <w:noProof/>
        </w:rPr>
        <w:t>projects of</w:t>
      </w:r>
      <w:r w:rsidR="0089261D">
        <w:rPr>
          <w:noProof/>
        </w:rPr>
        <w:t xml:space="preserve"> mutual interest</w:t>
      </w:r>
      <w:r w:rsidR="00353D77">
        <w:rPr>
          <w:noProof/>
        </w:rPr>
        <w:t xml:space="preserve"> </w:t>
      </w:r>
      <w:r w:rsidR="00751D02">
        <w:rPr>
          <w:noProof/>
        </w:rPr>
        <w:t>(“the Union list”)</w:t>
      </w:r>
      <w:r w:rsidR="00353D77">
        <w:rPr>
          <w:noProof/>
        </w:rPr>
        <w:t xml:space="preserve"> </w:t>
      </w:r>
      <w:r w:rsidR="443ADC45">
        <w:rPr>
          <w:noProof/>
        </w:rPr>
        <w:t xml:space="preserve"> should be established every two years. Projects of common interest and projects of mutual interest that have been completed or that no longer fulfil the relevant criteria and requirements as set out in this Regulation should not appear on the </w:t>
      </w:r>
      <w:r w:rsidR="003E0B88">
        <w:rPr>
          <w:noProof/>
        </w:rPr>
        <w:t>subsequent</w:t>
      </w:r>
      <w:r w:rsidR="443ADC45">
        <w:rPr>
          <w:noProof/>
        </w:rPr>
        <w:t xml:space="preserve"> Union list. </w:t>
      </w:r>
    </w:p>
    <w:p w14:paraId="733670E9" w14:textId="72392AED" w:rsidR="30B8E886" w:rsidRPr="002A75D5" w:rsidRDefault="00C44DD6" w:rsidP="00C44DD6">
      <w:pPr>
        <w:pStyle w:val="ManualConsidrant"/>
        <w:rPr>
          <w:noProof/>
        </w:rPr>
      </w:pPr>
      <w:r w:rsidRPr="00C44DD6">
        <w:rPr>
          <w:noProof/>
        </w:rPr>
        <w:t>(16)</w:t>
      </w:r>
      <w:r w:rsidRPr="00C44DD6">
        <w:rPr>
          <w:noProof/>
        </w:rPr>
        <w:tab/>
      </w:r>
      <w:r w:rsidR="443ADC45">
        <w:rPr>
          <w:noProof/>
        </w:rPr>
        <w:t xml:space="preserve">Existing projects of common interest and existing projects of mutual interest that are to be included in the </w:t>
      </w:r>
      <w:r w:rsidR="008F68EE">
        <w:rPr>
          <w:noProof/>
        </w:rPr>
        <w:t>subsequent</w:t>
      </w:r>
      <w:r w:rsidR="443ADC45">
        <w:rPr>
          <w:noProof/>
        </w:rPr>
        <w:t xml:space="preserve"> Union list should be subject to the same selection process for the establishment of regional lists and for the establishment of the Union list applied to proposed projects unless they have obtained </w:t>
      </w:r>
      <w:r w:rsidR="00834373">
        <w:rPr>
          <w:noProof/>
        </w:rPr>
        <w:t xml:space="preserve">an </w:t>
      </w:r>
      <w:r w:rsidR="443ADC45">
        <w:rPr>
          <w:noProof/>
        </w:rPr>
        <w:t>approval</w:t>
      </w:r>
      <w:r w:rsidR="00834373">
        <w:rPr>
          <w:noProof/>
        </w:rPr>
        <w:t xml:space="preserve"> of the competent national regulatory authority</w:t>
      </w:r>
      <w:r w:rsidR="443ADC45">
        <w:rPr>
          <w:noProof/>
        </w:rPr>
        <w:t xml:space="preserve"> or a final investment decision providing sufficient assurance of the construction of the projects or their construction is ongoing and they show sufficient progress in their annual report, in which case they should remain on the Union list</w:t>
      </w:r>
      <w:r w:rsidR="6005E453">
        <w:rPr>
          <w:noProof/>
        </w:rPr>
        <w:t>.</w:t>
      </w:r>
      <w:r w:rsidR="33F95D8A" w:rsidRPr="4E141F37">
        <w:rPr>
          <w:rStyle w:val="CommentReference"/>
          <w:noProof/>
          <w:sz w:val="24"/>
          <w:szCs w:val="24"/>
        </w:rPr>
        <w:t xml:space="preserve"> </w:t>
      </w:r>
    </w:p>
    <w:p w14:paraId="0A968173" w14:textId="0E3DC19C" w:rsidR="00C37B04" w:rsidRDefault="00C44DD6" w:rsidP="00C44DD6">
      <w:pPr>
        <w:pStyle w:val="ManualConsidrant"/>
        <w:rPr>
          <w:noProof/>
        </w:rPr>
      </w:pPr>
      <w:r w:rsidRPr="00C44DD6">
        <w:rPr>
          <w:noProof/>
        </w:rPr>
        <w:t>(17)</w:t>
      </w:r>
      <w:r w:rsidRPr="00C44DD6">
        <w:rPr>
          <w:noProof/>
        </w:rPr>
        <w:tab/>
      </w:r>
      <w:r w:rsidR="443ADC45">
        <w:rPr>
          <w:noProof/>
        </w:rPr>
        <w:t>Whe</w:t>
      </w:r>
      <w:r w:rsidR="00F975E4">
        <w:rPr>
          <w:noProof/>
        </w:rPr>
        <w:t>re</w:t>
      </w:r>
      <w:r w:rsidR="443ADC45">
        <w:rPr>
          <w:noProof/>
        </w:rPr>
        <w:t xml:space="preserve"> existing projects of common interest and existing projects of mutual interest that are to be included in the following Union list are subject to the same selection process for the establishment of regional lists and for the establishment of the Union list applied to proposed projects, the administrative burden should be reduced to the extent possible, for example by using </w:t>
      </w:r>
      <w:r w:rsidR="00FD0C98">
        <w:rPr>
          <w:noProof/>
        </w:rPr>
        <w:t>project</w:t>
      </w:r>
      <w:r w:rsidR="443ADC45">
        <w:rPr>
          <w:noProof/>
        </w:rPr>
        <w:t xml:space="preserve"> information submitted previously</w:t>
      </w:r>
      <w:r w:rsidR="00FD0C98">
        <w:rPr>
          <w:noProof/>
        </w:rPr>
        <w:t xml:space="preserve"> in the assessment, if still up to date</w:t>
      </w:r>
      <w:r w:rsidR="3EB689E4">
        <w:rPr>
          <w:noProof/>
        </w:rPr>
        <w:t>.</w:t>
      </w:r>
    </w:p>
    <w:p w14:paraId="4AF0D458" w14:textId="47687AD9" w:rsidR="7D576D93" w:rsidRPr="002A75D5" w:rsidRDefault="00C44DD6" w:rsidP="00C44DD6">
      <w:pPr>
        <w:pStyle w:val="ManualConsidrant"/>
        <w:rPr>
          <w:rStyle w:val="CommentReference"/>
          <w:noProof/>
          <w:sz w:val="24"/>
          <w:szCs w:val="24"/>
        </w:rPr>
      </w:pPr>
      <w:r w:rsidRPr="00C44DD6">
        <w:rPr>
          <w:rStyle w:val="CommentReference"/>
          <w:noProof/>
        </w:rPr>
        <w:t>(18)</w:t>
      </w:r>
      <w:r w:rsidRPr="00C44DD6">
        <w:rPr>
          <w:rStyle w:val="CommentReference"/>
          <w:noProof/>
        </w:rPr>
        <w:tab/>
      </w:r>
      <w:r w:rsidR="080D81B4">
        <w:rPr>
          <w:noProof/>
        </w:rPr>
        <w:t>Projects of common</w:t>
      </w:r>
      <w:r w:rsidR="69BEA8AA">
        <w:rPr>
          <w:noProof/>
        </w:rPr>
        <w:t xml:space="preserve"> interest</w:t>
      </w:r>
      <w:r w:rsidR="080D81B4">
        <w:rPr>
          <w:noProof/>
        </w:rPr>
        <w:t xml:space="preserve"> </w:t>
      </w:r>
      <w:r w:rsidR="5B67DF2C">
        <w:rPr>
          <w:noProof/>
        </w:rPr>
        <w:t xml:space="preserve">and </w:t>
      </w:r>
      <w:r w:rsidR="75495D0F">
        <w:rPr>
          <w:noProof/>
        </w:rPr>
        <w:t xml:space="preserve">projects of </w:t>
      </w:r>
      <w:r w:rsidR="5B67DF2C">
        <w:rPr>
          <w:noProof/>
        </w:rPr>
        <w:t xml:space="preserve">mutual </w:t>
      </w:r>
      <w:r w:rsidR="080D81B4">
        <w:rPr>
          <w:noProof/>
        </w:rPr>
        <w:t>interest should comply with common, transparent and objective</w:t>
      </w:r>
      <w:r w:rsidR="21525C33">
        <w:rPr>
          <w:noProof/>
        </w:rPr>
        <w:t xml:space="preserve"> general and specific </w:t>
      </w:r>
      <w:r w:rsidR="080D81B4">
        <w:rPr>
          <w:noProof/>
        </w:rPr>
        <w:t xml:space="preserve">criteria in view of their contribution to the energy policy objectives. In order to be eligible for inclusion in the Union list, </w:t>
      </w:r>
      <w:r w:rsidR="1666C86F">
        <w:rPr>
          <w:noProof/>
        </w:rPr>
        <w:t xml:space="preserve">proposed </w:t>
      </w:r>
      <w:r w:rsidR="080D81B4">
        <w:rPr>
          <w:noProof/>
        </w:rPr>
        <w:t>electricity</w:t>
      </w:r>
      <w:r w:rsidR="79658BAF">
        <w:rPr>
          <w:noProof/>
        </w:rPr>
        <w:t xml:space="preserve"> projects, with the exception of smart electricity grids and projects</w:t>
      </w:r>
      <w:r w:rsidR="69BEA8AA">
        <w:rPr>
          <w:noProof/>
        </w:rPr>
        <w:t xml:space="preserve"> </w:t>
      </w:r>
      <w:r w:rsidR="79658BAF">
        <w:rPr>
          <w:noProof/>
        </w:rPr>
        <w:t>specifically designed to provide protection and resilience to existing critical</w:t>
      </w:r>
      <w:r w:rsidR="5BC2011C">
        <w:rPr>
          <w:noProof/>
        </w:rPr>
        <w:t xml:space="preserve"> </w:t>
      </w:r>
      <w:r w:rsidR="79658BAF">
        <w:rPr>
          <w:noProof/>
        </w:rPr>
        <w:t>network elements</w:t>
      </w:r>
      <w:r w:rsidR="3F505BF6">
        <w:rPr>
          <w:noProof/>
        </w:rPr>
        <w:t>,</w:t>
      </w:r>
      <w:r w:rsidR="79658BAF">
        <w:rPr>
          <w:noProof/>
        </w:rPr>
        <w:t xml:space="preserve"> should be part of the latest available Union-wide ten-year network development plan. Likewise, proposed hydrogen and electrolyser projects should be part of the latest available Union-wide ten-year network development plan. </w:t>
      </w:r>
    </w:p>
    <w:p w14:paraId="140F1D52" w14:textId="3A5419A4" w:rsidR="00191138" w:rsidRDefault="00C44DD6" w:rsidP="00C44DD6">
      <w:pPr>
        <w:pStyle w:val="ManualConsidrant"/>
        <w:rPr>
          <w:noProof/>
        </w:rPr>
      </w:pPr>
      <w:r w:rsidRPr="00C44DD6">
        <w:rPr>
          <w:noProof/>
        </w:rPr>
        <w:t>(19)</w:t>
      </w:r>
      <w:r w:rsidRPr="00C44DD6">
        <w:rPr>
          <w:noProof/>
        </w:rPr>
        <w:tab/>
      </w:r>
      <w:r w:rsidR="075093A6">
        <w:rPr>
          <w:noProof/>
        </w:rPr>
        <w:t>S</w:t>
      </w:r>
      <w:r w:rsidR="7C145C48">
        <w:rPr>
          <w:noProof/>
        </w:rPr>
        <w:t xml:space="preserve">ustainability in terms of the integration of renewable energy sources into the grid or the reduction of greenhouse gas emissions, as relevant, </w:t>
      </w:r>
      <w:r w:rsidR="3A2E44C3">
        <w:rPr>
          <w:noProof/>
        </w:rPr>
        <w:t xml:space="preserve">is a key criterion </w:t>
      </w:r>
      <w:r w:rsidR="4CB71934">
        <w:rPr>
          <w:noProof/>
        </w:rPr>
        <w:t>for</w:t>
      </w:r>
      <w:r w:rsidR="7C145C48">
        <w:rPr>
          <w:noProof/>
        </w:rPr>
        <w:t xml:space="preserve"> ensur</w:t>
      </w:r>
      <w:r w:rsidR="78D0C6B3">
        <w:rPr>
          <w:noProof/>
        </w:rPr>
        <w:t>ing</w:t>
      </w:r>
      <w:r w:rsidR="7C145C48">
        <w:rPr>
          <w:noProof/>
        </w:rPr>
        <w:t xml:space="preserve"> that trans-European energy networks policy is coherent with the Union’s targets for energy and climate and </w:t>
      </w:r>
      <w:r w:rsidR="00E42509">
        <w:rPr>
          <w:noProof/>
        </w:rPr>
        <w:t xml:space="preserve">the </w:t>
      </w:r>
      <w:r w:rsidR="7C145C48">
        <w:rPr>
          <w:noProof/>
        </w:rPr>
        <w:t xml:space="preserve">2050 climate neutrality objectives, taking into account the specificities of each Member State in reaching the climate neutrality objective. </w:t>
      </w:r>
      <w:r w:rsidR="00E40A18">
        <w:rPr>
          <w:noProof/>
        </w:rPr>
        <w:t>To this end, sustainability is one of the</w:t>
      </w:r>
      <w:r w:rsidR="00087E51">
        <w:rPr>
          <w:noProof/>
        </w:rPr>
        <w:t xml:space="preserve"> assessment criteria to be applied for all project categories.</w:t>
      </w:r>
      <w:r w:rsidR="7C145C48">
        <w:rPr>
          <w:noProof/>
        </w:rPr>
        <w:t xml:space="preserve"> </w:t>
      </w:r>
    </w:p>
    <w:p w14:paraId="22E4951A" w14:textId="14C08FAA" w:rsidR="007D15BC" w:rsidRPr="002A75D5" w:rsidRDefault="00C44DD6" w:rsidP="00C44DD6">
      <w:pPr>
        <w:pStyle w:val="ManualConsidrant"/>
        <w:rPr>
          <w:noProof/>
          <w:szCs w:val="24"/>
        </w:rPr>
      </w:pPr>
      <w:r w:rsidRPr="00C44DD6">
        <w:rPr>
          <w:noProof/>
        </w:rPr>
        <w:t>(20)</w:t>
      </w:r>
      <w:r w:rsidRPr="00C44DD6">
        <w:rPr>
          <w:noProof/>
        </w:rPr>
        <w:tab/>
      </w:r>
      <w:r w:rsidR="007D15BC">
        <w:rPr>
          <w:noProof/>
        </w:rPr>
        <w:t xml:space="preserve">There is </w:t>
      </w:r>
      <w:r w:rsidR="00491CD1">
        <w:rPr>
          <w:noProof/>
        </w:rPr>
        <w:t>a</w:t>
      </w:r>
      <w:r w:rsidR="007D15BC">
        <w:rPr>
          <w:noProof/>
        </w:rPr>
        <w:t xml:space="preserve"> growing need for stronger market integration and interconnectivity of the networks of the </w:t>
      </w:r>
      <w:r w:rsidR="00A93C15">
        <w:rPr>
          <w:noProof/>
        </w:rPr>
        <w:t xml:space="preserve">Union </w:t>
      </w:r>
      <w:r w:rsidR="007D15BC">
        <w:rPr>
          <w:noProof/>
        </w:rPr>
        <w:t xml:space="preserve">with those of the European Economic Area </w:t>
      </w:r>
      <w:r w:rsidR="009A2439">
        <w:rPr>
          <w:noProof/>
        </w:rPr>
        <w:t xml:space="preserve">(EEA) </w:t>
      </w:r>
      <w:r w:rsidR="007D15BC">
        <w:rPr>
          <w:noProof/>
        </w:rPr>
        <w:t xml:space="preserve">and the Energy Community. Therefore, the benefits and costs of projects of mutual interest </w:t>
      </w:r>
      <w:r w:rsidR="706FD580">
        <w:rPr>
          <w:noProof/>
        </w:rPr>
        <w:t xml:space="preserve">between a Member </w:t>
      </w:r>
      <w:r w:rsidR="007D15BC">
        <w:rPr>
          <w:noProof/>
        </w:rPr>
        <w:t>State</w:t>
      </w:r>
      <w:r w:rsidR="706FD580">
        <w:rPr>
          <w:noProof/>
        </w:rPr>
        <w:t xml:space="preserve"> and a country in the EEA or </w:t>
      </w:r>
      <w:r w:rsidR="007D15BC">
        <w:rPr>
          <w:noProof/>
        </w:rPr>
        <w:t>a</w:t>
      </w:r>
      <w:r w:rsidR="706FD580">
        <w:rPr>
          <w:noProof/>
        </w:rPr>
        <w:t xml:space="preserve"> Energy Community  contracting party </w:t>
      </w:r>
      <w:r w:rsidR="007D15BC">
        <w:rPr>
          <w:noProof/>
        </w:rPr>
        <w:t xml:space="preserve">should be considered cumulatively </w:t>
      </w:r>
      <w:r w:rsidR="1CDD9AF2">
        <w:rPr>
          <w:noProof/>
        </w:rPr>
        <w:t xml:space="preserve">for the </w:t>
      </w:r>
      <w:r w:rsidR="007D15BC">
        <w:rPr>
          <w:noProof/>
        </w:rPr>
        <w:t xml:space="preserve">Union and </w:t>
      </w:r>
      <w:r w:rsidR="00415FE8">
        <w:rPr>
          <w:noProof/>
        </w:rPr>
        <w:t>for</w:t>
      </w:r>
      <w:r w:rsidR="007D15BC">
        <w:rPr>
          <w:noProof/>
        </w:rPr>
        <w:t xml:space="preserve"> the </w:t>
      </w:r>
      <w:r w:rsidR="00971BA5" w:rsidRPr="00483702">
        <w:rPr>
          <w:noProof/>
        </w:rPr>
        <w:t>countr</w:t>
      </w:r>
      <w:r w:rsidR="48E50163" w:rsidRPr="00483702">
        <w:rPr>
          <w:noProof/>
        </w:rPr>
        <w:t>y</w:t>
      </w:r>
      <w:r w:rsidR="00971BA5" w:rsidRPr="00483702">
        <w:rPr>
          <w:noProof/>
        </w:rPr>
        <w:t xml:space="preserve"> </w:t>
      </w:r>
      <w:r w:rsidR="008A41FB" w:rsidRPr="00483702">
        <w:rPr>
          <w:noProof/>
        </w:rPr>
        <w:t xml:space="preserve">concerned </w:t>
      </w:r>
      <w:r w:rsidR="00415FE8" w:rsidRPr="00483702">
        <w:rPr>
          <w:noProof/>
        </w:rPr>
        <w:t xml:space="preserve">in </w:t>
      </w:r>
      <w:r w:rsidR="007D15BC" w:rsidRPr="00483702">
        <w:rPr>
          <w:noProof/>
        </w:rPr>
        <w:t xml:space="preserve">the </w:t>
      </w:r>
      <w:r w:rsidR="009A2439" w:rsidRPr="00483702">
        <w:rPr>
          <w:noProof/>
        </w:rPr>
        <w:t>EEA</w:t>
      </w:r>
      <w:r w:rsidR="007D15BC" w:rsidRPr="00483702">
        <w:rPr>
          <w:noProof/>
        </w:rPr>
        <w:t xml:space="preserve"> or </w:t>
      </w:r>
      <w:r w:rsidR="007E261E" w:rsidRPr="00483702">
        <w:rPr>
          <w:noProof/>
        </w:rPr>
        <w:t xml:space="preserve">the </w:t>
      </w:r>
      <w:r w:rsidR="009D12F3" w:rsidRPr="00483702">
        <w:rPr>
          <w:noProof/>
        </w:rPr>
        <w:t>contracting part</w:t>
      </w:r>
      <w:r w:rsidR="413170B3" w:rsidRPr="00483702">
        <w:rPr>
          <w:noProof/>
        </w:rPr>
        <w:t>y</w:t>
      </w:r>
      <w:r w:rsidR="009D12F3">
        <w:rPr>
          <w:noProof/>
        </w:rPr>
        <w:t xml:space="preserve"> concerned </w:t>
      </w:r>
      <w:r w:rsidR="007D15BC">
        <w:rPr>
          <w:noProof/>
        </w:rPr>
        <w:t>in the Energy Community</w:t>
      </w:r>
      <w:r w:rsidR="003A3634">
        <w:rPr>
          <w:noProof/>
        </w:rPr>
        <w:t>.</w:t>
      </w:r>
    </w:p>
    <w:p w14:paraId="3638D6C5" w14:textId="62F60F94" w:rsidR="00830728" w:rsidRPr="002A75D5" w:rsidRDefault="00C44DD6" w:rsidP="00C44DD6">
      <w:pPr>
        <w:pStyle w:val="ManualConsidrant"/>
        <w:rPr>
          <w:noProof/>
        </w:rPr>
      </w:pPr>
      <w:r w:rsidRPr="00C44DD6">
        <w:rPr>
          <w:noProof/>
        </w:rPr>
        <w:t>(21)</w:t>
      </w:r>
      <w:r w:rsidRPr="00C44DD6">
        <w:rPr>
          <w:noProof/>
        </w:rPr>
        <w:tab/>
      </w:r>
      <w:r w:rsidR="7C145C48">
        <w:rPr>
          <w:noProof/>
        </w:rPr>
        <w:t xml:space="preserve">The Union should facilitate infrastructure projects linking Union networks </w:t>
      </w:r>
      <w:r w:rsidR="67609A44">
        <w:rPr>
          <w:noProof/>
        </w:rPr>
        <w:t xml:space="preserve">directly </w:t>
      </w:r>
      <w:r w:rsidR="7C145C48">
        <w:rPr>
          <w:noProof/>
        </w:rPr>
        <w:t xml:space="preserve">with third-country networks </w:t>
      </w:r>
      <w:r w:rsidR="24868EA3">
        <w:rPr>
          <w:noProof/>
        </w:rPr>
        <w:t>which</w:t>
      </w:r>
      <w:r w:rsidR="00237E7D">
        <w:rPr>
          <w:noProof/>
        </w:rPr>
        <w:t xml:space="preserve"> </w:t>
      </w:r>
      <w:r w:rsidR="7C145C48">
        <w:rPr>
          <w:noProof/>
        </w:rPr>
        <w:t>are mutually beneficial and necessary for the energy transition and the achievement of the climate targets, and which also meet the specific criteria of the relevant infrastructure categories pursuant to this Regulation</w:t>
      </w:r>
      <w:r w:rsidR="501071CE">
        <w:rPr>
          <w:noProof/>
        </w:rPr>
        <w:t>.</w:t>
      </w:r>
      <w:r w:rsidR="355C74C8">
        <w:rPr>
          <w:noProof/>
        </w:rPr>
        <w:t xml:space="preserve"> T</w:t>
      </w:r>
      <w:r w:rsidR="26049198">
        <w:rPr>
          <w:noProof/>
        </w:rPr>
        <w:t xml:space="preserve">o reinforce </w:t>
      </w:r>
      <w:r w:rsidR="00071F04">
        <w:rPr>
          <w:noProof/>
        </w:rPr>
        <w:t>the</w:t>
      </w:r>
      <w:r w:rsidR="26049198">
        <w:rPr>
          <w:noProof/>
        </w:rPr>
        <w:t xml:space="preserve"> focus on cross-border projects</w:t>
      </w:r>
      <w:r w:rsidR="3A5E9A47">
        <w:rPr>
          <w:noProof/>
        </w:rPr>
        <w:t xml:space="preserve"> </w:t>
      </w:r>
      <w:r w:rsidR="00FC1D69">
        <w:rPr>
          <w:noProof/>
        </w:rPr>
        <w:t>and to maintain complementarity with the U</w:t>
      </w:r>
      <w:r w:rsidR="00F975E4">
        <w:rPr>
          <w:noProof/>
        </w:rPr>
        <w:t>nion</w:t>
      </w:r>
      <w:r w:rsidR="00FC1D69">
        <w:rPr>
          <w:noProof/>
        </w:rPr>
        <w:t xml:space="preserve">’s external policy, </w:t>
      </w:r>
      <w:r w:rsidR="3A5E9A47">
        <w:rPr>
          <w:noProof/>
        </w:rPr>
        <w:t>in the case of</w:t>
      </w:r>
      <w:r w:rsidR="355C74C8">
        <w:rPr>
          <w:noProof/>
        </w:rPr>
        <w:t xml:space="preserve"> projects</w:t>
      </w:r>
      <w:r w:rsidR="212DE316">
        <w:rPr>
          <w:noProof/>
        </w:rPr>
        <w:t xml:space="preserve"> </w:t>
      </w:r>
      <w:r w:rsidR="0F8F2F09">
        <w:rPr>
          <w:noProof/>
        </w:rPr>
        <w:t>of mutual interest</w:t>
      </w:r>
      <w:r w:rsidR="3A5E9A47">
        <w:rPr>
          <w:noProof/>
        </w:rPr>
        <w:t>, the projects</w:t>
      </w:r>
      <w:r w:rsidR="212DE316">
        <w:rPr>
          <w:noProof/>
        </w:rPr>
        <w:t xml:space="preserve"> </w:t>
      </w:r>
      <w:r w:rsidR="54637172">
        <w:rPr>
          <w:noProof/>
        </w:rPr>
        <w:t xml:space="preserve">should </w:t>
      </w:r>
      <w:r w:rsidR="0261A896">
        <w:rPr>
          <w:noProof/>
        </w:rPr>
        <w:t>directly connect</w:t>
      </w:r>
      <w:r w:rsidR="2348E308">
        <w:rPr>
          <w:noProof/>
        </w:rPr>
        <w:t xml:space="preserve"> a Member State with the first electricity network connection point</w:t>
      </w:r>
      <w:r w:rsidR="3A5E9A47">
        <w:rPr>
          <w:noProof/>
        </w:rPr>
        <w:t xml:space="preserve"> or the first hydrogen or </w:t>
      </w:r>
      <w:r w:rsidR="0E14B016">
        <w:rPr>
          <w:noProof/>
        </w:rPr>
        <w:t>carbon dioxide</w:t>
      </w:r>
      <w:r w:rsidR="3A5E9A47">
        <w:rPr>
          <w:noProof/>
        </w:rPr>
        <w:t xml:space="preserve"> connection point in the third country.</w:t>
      </w:r>
    </w:p>
    <w:p w14:paraId="3D94129E" w14:textId="3996A2F3" w:rsidR="007D15BC" w:rsidRDefault="00C44DD6" w:rsidP="00C44DD6">
      <w:pPr>
        <w:pStyle w:val="ManualConsidrant"/>
        <w:rPr>
          <w:noProof/>
        </w:rPr>
      </w:pPr>
      <w:r w:rsidRPr="00C44DD6">
        <w:rPr>
          <w:noProof/>
        </w:rPr>
        <w:t>(22)</w:t>
      </w:r>
      <w:r w:rsidRPr="00C44DD6">
        <w:rPr>
          <w:noProof/>
        </w:rPr>
        <w:tab/>
      </w:r>
      <w:r w:rsidR="007D15BC">
        <w:rPr>
          <w:noProof/>
        </w:rPr>
        <w:t>As regards projects of mutual interest related to</w:t>
      </w:r>
      <w:r w:rsidR="00F12D1C">
        <w:rPr>
          <w:noProof/>
        </w:rPr>
        <w:t xml:space="preserve"> </w:t>
      </w:r>
      <w:r w:rsidR="007D15BC">
        <w:rPr>
          <w:noProof/>
        </w:rPr>
        <w:t>electricity</w:t>
      </w:r>
      <w:r w:rsidR="00F96793">
        <w:rPr>
          <w:noProof/>
        </w:rPr>
        <w:t xml:space="preserve"> network</w:t>
      </w:r>
      <w:r w:rsidR="00F12D1C">
        <w:rPr>
          <w:noProof/>
        </w:rPr>
        <w:t>s</w:t>
      </w:r>
      <w:r w:rsidR="007D15BC">
        <w:rPr>
          <w:noProof/>
        </w:rPr>
        <w:t>, only interconnection projects linking energy systems should be eligible, provided that their transfer capacity could be fully used for market exchanges. It is the responsibility of the respective transmission system operators (TSOs) to assess in advance the impacts of any projects on the grid security and stability in order to confirm that the project can be fully integrated into the electricity networks of the countries concerned</w:t>
      </w:r>
      <w:r w:rsidR="00951A91">
        <w:rPr>
          <w:noProof/>
        </w:rPr>
        <w:t>.</w:t>
      </w:r>
    </w:p>
    <w:p w14:paraId="749B0313" w14:textId="5529A473" w:rsidR="00CC2E0D" w:rsidRDefault="00C44DD6" w:rsidP="00C44DD6">
      <w:pPr>
        <w:pStyle w:val="ManualConsidrant"/>
        <w:rPr>
          <w:noProof/>
        </w:rPr>
      </w:pPr>
      <w:r w:rsidRPr="00C44DD6">
        <w:rPr>
          <w:noProof/>
        </w:rPr>
        <w:t>(23)</w:t>
      </w:r>
      <w:r w:rsidRPr="00C44DD6">
        <w:rPr>
          <w:noProof/>
        </w:rPr>
        <w:tab/>
      </w:r>
      <w:r w:rsidR="004E06CC">
        <w:rPr>
          <w:noProof/>
        </w:rPr>
        <w:t>It is necessary to ensure that projects of mutual interest, which are granted priority treatment, genuinely advance the Union’s internal market, security of supply and climate</w:t>
      </w:r>
      <w:r w:rsidR="00A32425">
        <w:rPr>
          <w:noProof/>
        </w:rPr>
        <w:t xml:space="preserve"> </w:t>
      </w:r>
      <w:r w:rsidR="004E06CC">
        <w:rPr>
          <w:noProof/>
        </w:rPr>
        <w:t>neutrality objectives</w:t>
      </w:r>
      <w:r w:rsidR="000D5E0C">
        <w:rPr>
          <w:noProof/>
        </w:rPr>
        <w:t>.</w:t>
      </w:r>
      <w:r w:rsidR="004E06CC">
        <w:rPr>
          <w:noProof/>
        </w:rPr>
        <w:t xml:space="preserve"> </w:t>
      </w:r>
      <w:r w:rsidR="008643DE">
        <w:rPr>
          <w:noProof/>
        </w:rPr>
        <w:t>Therefore, p</w:t>
      </w:r>
      <w:r w:rsidR="4D3F11BE">
        <w:rPr>
          <w:noProof/>
        </w:rPr>
        <w:t xml:space="preserve">rojects of </w:t>
      </w:r>
      <w:r w:rsidR="4C8EBBAC">
        <w:rPr>
          <w:noProof/>
        </w:rPr>
        <w:t xml:space="preserve">mutual interest </w:t>
      </w:r>
      <w:r w:rsidR="7C145C48">
        <w:rPr>
          <w:noProof/>
        </w:rPr>
        <w:t xml:space="preserve">should be eligible for inclusion in the Union list </w:t>
      </w:r>
      <w:r w:rsidR="008643DE">
        <w:rPr>
          <w:noProof/>
        </w:rPr>
        <w:t xml:space="preserve">only </w:t>
      </w:r>
      <w:r w:rsidR="00BD4CF0">
        <w:rPr>
          <w:noProof/>
        </w:rPr>
        <w:t xml:space="preserve">where </w:t>
      </w:r>
      <w:r w:rsidR="7C145C48">
        <w:rPr>
          <w:noProof/>
        </w:rPr>
        <w:t xml:space="preserve">the policy framework </w:t>
      </w:r>
      <w:r w:rsidR="4F58F587">
        <w:rPr>
          <w:noProof/>
        </w:rPr>
        <w:t xml:space="preserve">of </w:t>
      </w:r>
      <w:r w:rsidR="2F33EA58">
        <w:rPr>
          <w:noProof/>
        </w:rPr>
        <w:t>a third country invo</w:t>
      </w:r>
      <w:r w:rsidR="054126CF">
        <w:rPr>
          <w:noProof/>
        </w:rPr>
        <w:t xml:space="preserve">lved </w:t>
      </w:r>
      <w:r w:rsidR="7C145C48">
        <w:rPr>
          <w:noProof/>
        </w:rPr>
        <w:t xml:space="preserve">has a high level of convergence </w:t>
      </w:r>
      <w:r w:rsidR="00C57492">
        <w:rPr>
          <w:noProof/>
        </w:rPr>
        <w:t>and</w:t>
      </w:r>
      <w:r w:rsidR="7C145C48">
        <w:rPr>
          <w:noProof/>
        </w:rPr>
        <w:t xml:space="preserve"> is supported by enforcement mechanisms</w:t>
      </w:r>
      <w:r w:rsidR="00C57492">
        <w:rPr>
          <w:noProof/>
        </w:rPr>
        <w:t>,</w:t>
      </w:r>
      <w:r w:rsidR="7C145C48">
        <w:rPr>
          <w:noProof/>
        </w:rPr>
        <w:t xml:space="preserve"> and </w:t>
      </w:r>
      <w:r w:rsidR="00C57492">
        <w:rPr>
          <w:noProof/>
        </w:rPr>
        <w:t>such projects</w:t>
      </w:r>
      <w:r w:rsidR="7C145C48">
        <w:rPr>
          <w:noProof/>
        </w:rPr>
        <w:t xml:space="preserve"> demonstrate a contribution to the Union’s and the third countries’ overall energy and climate policy objectives in terms of security of supply and decarbonisation.</w:t>
      </w:r>
      <w:r w:rsidR="6FDE850C">
        <w:rPr>
          <w:noProof/>
        </w:rPr>
        <w:t xml:space="preserve"> </w:t>
      </w:r>
    </w:p>
    <w:p w14:paraId="79D1DB45" w14:textId="5AC86724" w:rsidR="00CA7C04" w:rsidRPr="00156CC0" w:rsidRDefault="00C44DD6" w:rsidP="00C44DD6">
      <w:pPr>
        <w:pStyle w:val="ManualConsidrant"/>
        <w:rPr>
          <w:noProof/>
        </w:rPr>
      </w:pPr>
      <w:r w:rsidRPr="00C44DD6">
        <w:rPr>
          <w:noProof/>
        </w:rPr>
        <w:t>(24)</w:t>
      </w:r>
      <w:r w:rsidRPr="00C44DD6">
        <w:rPr>
          <w:noProof/>
        </w:rPr>
        <w:tab/>
      </w:r>
      <w:r w:rsidR="226DF2F1">
        <w:rPr>
          <w:noProof/>
        </w:rPr>
        <w:t xml:space="preserve">A high level of convergence of the policy framework should be presumed for the </w:t>
      </w:r>
      <w:r w:rsidR="009A2439">
        <w:rPr>
          <w:noProof/>
        </w:rPr>
        <w:t>EEA</w:t>
      </w:r>
      <w:r w:rsidR="226DF2F1">
        <w:rPr>
          <w:noProof/>
        </w:rPr>
        <w:t xml:space="preserve"> or Energy Community </w:t>
      </w:r>
      <w:r w:rsidR="00992AC6">
        <w:rPr>
          <w:noProof/>
        </w:rPr>
        <w:t>contracting p</w:t>
      </w:r>
      <w:r w:rsidR="226DF2F1">
        <w:rPr>
          <w:noProof/>
        </w:rPr>
        <w:t xml:space="preserve">arties or can be demonstrated in case of other third countries through bilateral agreements that include relevant provisions on climate and energy policy objectives on decarbonisation and further assessed by the appropriate </w:t>
      </w:r>
      <w:r w:rsidR="0016376B">
        <w:rPr>
          <w:noProof/>
        </w:rPr>
        <w:t>G</w:t>
      </w:r>
      <w:r w:rsidR="226DF2F1">
        <w:rPr>
          <w:noProof/>
        </w:rPr>
        <w:t xml:space="preserve">roup with the support of the Commission. In addition, the third country with which the Union cooperates in the development of projects of mutual interest should facilitate a similar timeline for accelerated implementation and other policy support measures, as provided for in this Regulation. </w:t>
      </w:r>
    </w:p>
    <w:p w14:paraId="02D5F183" w14:textId="010C954D" w:rsidR="00475B11" w:rsidRDefault="00C44DD6" w:rsidP="00C44DD6">
      <w:pPr>
        <w:pStyle w:val="ManualConsidrant"/>
        <w:rPr>
          <w:noProof/>
        </w:rPr>
      </w:pPr>
      <w:r w:rsidRPr="00C44DD6">
        <w:rPr>
          <w:noProof/>
        </w:rPr>
        <w:t>(25)</w:t>
      </w:r>
      <w:r w:rsidRPr="00C44DD6">
        <w:rPr>
          <w:noProof/>
        </w:rPr>
        <w:tab/>
      </w:r>
      <w:r w:rsidR="4854DF36">
        <w:rPr>
          <w:noProof/>
        </w:rPr>
        <w:t xml:space="preserve">The third country involved should ensure that the section of the project of mutual interest </w:t>
      </w:r>
      <w:r w:rsidR="000458D4">
        <w:rPr>
          <w:noProof/>
        </w:rPr>
        <w:t>located in the third country</w:t>
      </w:r>
      <w:r w:rsidR="4854DF36">
        <w:rPr>
          <w:noProof/>
        </w:rPr>
        <w:t xml:space="preserve"> and any additional investments necessary for the </w:t>
      </w:r>
      <w:r w:rsidR="000458D4">
        <w:rPr>
          <w:noProof/>
        </w:rPr>
        <w:t>total</w:t>
      </w:r>
      <w:r w:rsidR="4854DF36">
        <w:rPr>
          <w:noProof/>
        </w:rPr>
        <w:t xml:space="preserve"> benefits of the project of mutual interest to</w:t>
      </w:r>
      <w:r w:rsidR="008F17C6">
        <w:rPr>
          <w:noProof/>
        </w:rPr>
        <w:t xml:space="preserve"> be implemented</w:t>
      </w:r>
      <w:r w:rsidR="4854DF36">
        <w:rPr>
          <w:noProof/>
        </w:rPr>
        <w:t xml:space="preserve">, such as internal grid reinforcements, are also treated as </w:t>
      </w:r>
      <w:r w:rsidR="00C812FB">
        <w:rPr>
          <w:noProof/>
        </w:rPr>
        <w:t xml:space="preserve">a </w:t>
      </w:r>
      <w:r w:rsidR="4854DF36">
        <w:rPr>
          <w:noProof/>
        </w:rPr>
        <w:t>priority and are timely deployed to ensure full use of the project.</w:t>
      </w:r>
    </w:p>
    <w:p w14:paraId="649EE36A" w14:textId="7B442A02" w:rsidR="00191138" w:rsidRPr="00592A33" w:rsidRDefault="00C44DD6" w:rsidP="00C44DD6">
      <w:pPr>
        <w:pStyle w:val="ManualConsidrant"/>
        <w:rPr>
          <w:rStyle w:val="CommentReference"/>
          <w:noProof/>
          <w:sz w:val="24"/>
          <w:szCs w:val="24"/>
        </w:rPr>
      </w:pPr>
      <w:r w:rsidRPr="00C44DD6">
        <w:rPr>
          <w:rStyle w:val="CommentReference"/>
          <w:noProof/>
        </w:rPr>
        <w:t>(26)</w:t>
      </w:r>
      <w:r w:rsidRPr="00C44DD6">
        <w:rPr>
          <w:rStyle w:val="CommentReference"/>
          <w:noProof/>
        </w:rPr>
        <w:tab/>
      </w:r>
      <w:r w:rsidR="004B0041">
        <w:rPr>
          <w:noProof/>
        </w:rPr>
        <w:t>In order to ensure that projects for the storage of carbon dioxide which involve third countries contribute to cross-border carbon dioxide transport and storage in a manner consistent with the Union’s climate and environmental requirements</w:t>
      </w:r>
      <w:r w:rsidR="00DC7903">
        <w:rPr>
          <w:noProof/>
        </w:rPr>
        <w:t>, such projects should only be eligible if they are necessary for the functioning of cross-border transport and storage of carbon dioxide and where the third country maintains and effectively enforces an adequate legal framework. This legal framework</w:t>
      </w:r>
      <w:r w:rsidR="00D102A7">
        <w:rPr>
          <w:noProof/>
        </w:rPr>
        <w:t xml:space="preserve"> in the </w:t>
      </w:r>
      <w:r w:rsidR="00C646B5">
        <w:rPr>
          <w:noProof/>
        </w:rPr>
        <w:t>third country</w:t>
      </w:r>
      <w:r w:rsidR="00DC7903">
        <w:rPr>
          <w:noProof/>
        </w:rPr>
        <w:t xml:space="preserve"> should ensure the application of standards and safeguards that prevent carbon dioxide leaks and that guarantee the safety and effectiveness of the permanent storage of carbon dioxide for the protection of climate, human health and ecosystems. Those standards and safeguards should provide a level of protection at least equivalent to that laid down in Union law.</w:t>
      </w:r>
      <w:r w:rsidR="226DF2F1">
        <w:rPr>
          <w:noProof/>
        </w:rPr>
        <w:t xml:space="preserve"> It should be presumed that the </w:t>
      </w:r>
      <w:r w:rsidR="009A2439">
        <w:rPr>
          <w:noProof/>
        </w:rPr>
        <w:t>EEA</w:t>
      </w:r>
      <w:r w:rsidR="226DF2F1">
        <w:rPr>
          <w:noProof/>
        </w:rPr>
        <w:t xml:space="preserve"> </w:t>
      </w:r>
      <w:r w:rsidR="00802E72">
        <w:rPr>
          <w:noProof/>
        </w:rPr>
        <w:t xml:space="preserve">or Energy Community Contracting Parties </w:t>
      </w:r>
      <w:r w:rsidR="226DF2F1">
        <w:rPr>
          <w:noProof/>
        </w:rPr>
        <w:t>meet those standards and safeguards.</w:t>
      </w:r>
      <w:r w:rsidR="39C13E5C" w:rsidRPr="4E141F37">
        <w:rPr>
          <w:rStyle w:val="CommentReference"/>
          <w:noProof/>
        </w:rPr>
        <w:t xml:space="preserve"> </w:t>
      </w:r>
    </w:p>
    <w:p w14:paraId="3E873586" w14:textId="359A4B36" w:rsidR="541B755C" w:rsidRDefault="00C44DD6" w:rsidP="00C44DD6">
      <w:pPr>
        <w:pStyle w:val="ManualConsidrant"/>
        <w:rPr>
          <w:noProof/>
        </w:rPr>
      </w:pPr>
      <w:r w:rsidRPr="00C44DD6">
        <w:rPr>
          <w:noProof/>
        </w:rPr>
        <w:t>(27)</w:t>
      </w:r>
      <w:r w:rsidRPr="00C44DD6">
        <w:rPr>
          <w:noProof/>
        </w:rPr>
        <w:tab/>
      </w:r>
      <w:r w:rsidR="10C5BBED" w:rsidRPr="002A75D5">
        <w:rPr>
          <w:noProof/>
        </w:rPr>
        <w:t xml:space="preserve">Projects of common </w:t>
      </w:r>
      <w:r w:rsidR="7F25A8E0" w:rsidRPr="002A75D5">
        <w:rPr>
          <w:noProof/>
        </w:rPr>
        <w:t>interest</w:t>
      </w:r>
      <w:r w:rsidR="10C5BBED" w:rsidRPr="002A75D5">
        <w:rPr>
          <w:noProof/>
        </w:rPr>
        <w:t xml:space="preserve"> and projects of mutual interest should be implemented as quickly as possible and should be closely monitored </w:t>
      </w:r>
      <w:r w:rsidR="00EC4CE8">
        <w:rPr>
          <w:noProof/>
        </w:rPr>
        <w:t xml:space="preserve">by the </w:t>
      </w:r>
      <w:r w:rsidR="00ED14B1">
        <w:rPr>
          <w:noProof/>
        </w:rPr>
        <w:t xml:space="preserve">national competent </w:t>
      </w:r>
      <w:r w:rsidR="00B345D1">
        <w:rPr>
          <w:noProof/>
        </w:rPr>
        <w:t xml:space="preserve">authorities, the </w:t>
      </w:r>
      <w:r w:rsidR="00971D24">
        <w:rPr>
          <w:noProof/>
        </w:rPr>
        <w:t xml:space="preserve">Agency and the </w:t>
      </w:r>
      <w:r w:rsidR="00EC4CE8">
        <w:rPr>
          <w:noProof/>
        </w:rPr>
        <w:t>Groups</w:t>
      </w:r>
      <w:r w:rsidR="10C5BBED" w:rsidRPr="002A75D5">
        <w:rPr>
          <w:noProof/>
        </w:rPr>
        <w:t xml:space="preserve">, while duly observing the requirements for stakeholder participation and environmental legislation and keeping the administrative burden for project promoters to a minimum. </w:t>
      </w:r>
      <w:r w:rsidR="21B2238B" w:rsidRPr="002A75D5">
        <w:rPr>
          <w:noProof/>
        </w:rPr>
        <w:t xml:space="preserve">Particular attention should be paid to the assessment of risks as regards climate adaptation and </w:t>
      </w:r>
      <w:r w:rsidR="4F64A59B" w:rsidRPr="002A75D5">
        <w:rPr>
          <w:noProof/>
        </w:rPr>
        <w:t xml:space="preserve">as regards </w:t>
      </w:r>
      <w:r w:rsidR="31A59364" w:rsidRPr="002A75D5">
        <w:rPr>
          <w:noProof/>
        </w:rPr>
        <w:t>physical and cyber</w:t>
      </w:r>
      <w:r w:rsidR="155B9ED4" w:rsidRPr="002A75D5">
        <w:rPr>
          <w:noProof/>
        </w:rPr>
        <w:t xml:space="preserve"> </w:t>
      </w:r>
      <w:r w:rsidR="31A59364" w:rsidRPr="002A75D5">
        <w:rPr>
          <w:noProof/>
        </w:rPr>
        <w:t>security</w:t>
      </w:r>
      <w:r w:rsidR="0B3E519C" w:rsidRPr="002A75D5">
        <w:rPr>
          <w:noProof/>
        </w:rPr>
        <w:t xml:space="preserve">, </w:t>
      </w:r>
      <w:r w:rsidR="4F77C21C" w:rsidRPr="002A75D5">
        <w:rPr>
          <w:noProof/>
        </w:rPr>
        <w:t xml:space="preserve">building </w:t>
      </w:r>
      <w:r w:rsidR="4AA939CE" w:rsidRPr="002A75D5">
        <w:rPr>
          <w:noProof/>
        </w:rPr>
        <w:t>where ap</w:t>
      </w:r>
      <w:r w:rsidR="47E48C8F" w:rsidRPr="002A75D5">
        <w:rPr>
          <w:noProof/>
        </w:rPr>
        <w:t>p</w:t>
      </w:r>
      <w:r w:rsidR="4AA939CE" w:rsidRPr="002A75D5">
        <w:rPr>
          <w:noProof/>
        </w:rPr>
        <w:t>licable</w:t>
      </w:r>
      <w:r w:rsidR="4F77C21C" w:rsidRPr="002A75D5">
        <w:rPr>
          <w:noProof/>
        </w:rPr>
        <w:t xml:space="preserve"> on the requirements of Directive (EU)</w:t>
      </w:r>
      <w:r w:rsidR="00F4695C">
        <w:rPr>
          <w:noProof/>
        </w:rPr>
        <w:t xml:space="preserve"> </w:t>
      </w:r>
      <w:r w:rsidR="4F77C21C" w:rsidRPr="002A75D5">
        <w:rPr>
          <w:noProof/>
        </w:rPr>
        <w:t xml:space="preserve">2022/2557 </w:t>
      </w:r>
      <w:r w:rsidR="00475B11">
        <w:rPr>
          <w:noProof/>
        </w:rPr>
        <w:t>with regard to</w:t>
      </w:r>
      <w:r w:rsidR="4F77C21C" w:rsidRPr="002A75D5">
        <w:rPr>
          <w:noProof/>
        </w:rPr>
        <w:t xml:space="preserve"> the resilience of critical entities and </w:t>
      </w:r>
      <w:r w:rsidR="00F968E1">
        <w:rPr>
          <w:noProof/>
        </w:rPr>
        <w:t xml:space="preserve">the requirements </w:t>
      </w:r>
      <w:r w:rsidR="005E73F6">
        <w:rPr>
          <w:noProof/>
        </w:rPr>
        <w:t xml:space="preserve">of </w:t>
      </w:r>
      <w:r w:rsidR="4F77C21C" w:rsidRPr="002A75D5">
        <w:rPr>
          <w:noProof/>
        </w:rPr>
        <w:t>D</w:t>
      </w:r>
      <w:r w:rsidR="2F776B58" w:rsidRPr="002A75D5">
        <w:rPr>
          <w:noProof/>
        </w:rPr>
        <w:t>irective 2022/2555</w:t>
      </w:r>
      <w:r w:rsidR="00772CF3">
        <w:rPr>
          <w:noProof/>
        </w:rPr>
        <w:t xml:space="preserve"> </w:t>
      </w:r>
      <w:r w:rsidR="00772CF3" w:rsidRPr="00AC636F">
        <w:rPr>
          <w:noProof/>
        </w:rPr>
        <w:t>of the European Parliament and of the Council</w:t>
      </w:r>
      <w:r w:rsidR="00737513">
        <w:rPr>
          <w:rStyle w:val="FootnoteReference"/>
          <w:noProof/>
        </w:rPr>
        <w:footnoteReference w:id="52"/>
      </w:r>
      <w:r w:rsidR="2F776B58" w:rsidRPr="002A75D5">
        <w:rPr>
          <w:noProof/>
        </w:rPr>
        <w:t xml:space="preserve"> </w:t>
      </w:r>
      <w:r w:rsidR="00772CF3">
        <w:rPr>
          <w:noProof/>
        </w:rPr>
        <w:t>with regard to</w:t>
      </w:r>
      <w:r w:rsidR="2F776B58" w:rsidRPr="00B80625">
        <w:rPr>
          <w:noProof/>
        </w:rPr>
        <w:t xml:space="preserve"> measures for a high level of c</w:t>
      </w:r>
      <w:r w:rsidR="6A5B7919" w:rsidRPr="00B80625">
        <w:rPr>
          <w:noProof/>
        </w:rPr>
        <w:t>y</w:t>
      </w:r>
      <w:r w:rsidR="2F776B58" w:rsidRPr="00B80625">
        <w:rPr>
          <w:noProof/>
        </w:rPr>
        <w:t>bersecurity</w:t>
      </w:r>
      <w:r w:rsidR="05119E2A" w:rsidRPr="00B80625">
        <w:rPr>
          <w:noProof/>
        </w:rPr>
        <w:t xml:space="preserve"> </w:t>
      </w:r>
      <w:r w:rsidR="2F776B58" w:rsidRPr="00B80625">
        <w:rPr>
          <w:noProof/>
        </w:rPr>
        <w:t>across the Union</w:t>
      </w:r>
      <w:r w:rsidR="4B04A3D0" w:rsidRPr="00B80625">
        <w:rPr>
          <w:noProof/>
        </w:rPr>
        <w:t>,</w:t>
      </w:r>
      <w:r w:rsidR="54CB2C6D" w:rsidRPr="00B80625">
        <w:rPr>
          <w:noProof/>
        </w:rPr>
        <w:t xml:space="preserve"> and</w:t>
      </w:r>
      <w:r w:rsidR="046E8D21" w:rsidRPr="00B80625">
        <w:rPr>
          <w:noProof/>
        </w:rPr>
        <w:t xml:space="preserve"> </w:t>
      </w:r>
      <w:r w:rsidR="4B04A3D0" w:rsidRPr="00B80625">
        <w:rPr>
          <w:noProof/>
        </w:rPr>
        <w:t>project promoters shou</w:t>
      </w:r>
      <w:r w:rsidR="59AC8B39" w:rsidRPr="00B80625">
        <w:rPr>
          <w:noProof/>
        </w:rPr>
        <w:t>l</w:t>
      </w:r>
      <w:r w:rsidR="650BB62C" w:rsidRPr="00B80625">
        <w:rPr>
          <w:noProof/>
        </w:rPr>
        <w:t>d</w:t>
      </w:r>
      <w:r w:rsidR="4B04A3D0" w:rsidRPr="00B80625">
        <w:rPr>
          <w:noProof/>
        </w:rPr>
        <w:t xml:space="preserve"> report </w:t>
      </w:r>
      <w:r w:rsidR="00E62B28">
        <w:rPr>
          <w:noProof/>
        </w:rPr>
        <w:t xml:space="preserve">to the national competent authorities </w:t>
      </w:r>
      <w:r w:rsidR="4B04A3D0" w:rsidRPr="00B80625">
        <w:rPr>
          <w:noProof/>
        </w:rPr>
        <w:t>on the measures taken resulting from the risks assessed.</w:t>
      </w:r>
      <w:r w:rsidR="05119E2A" w:rsidRPr="00B80625">
        <w:rPr>
          <w:noProof/>
        </w:rPr>
        <w:t xml:space="preserve"> </w:t>
      </w:r>
      <w:r w:rsidR="00592A33">
        <w:rPr>
          <w:noProof/>
        </w:rPr>
        <w:t>P</w:t>
      </w:r>
      <w:r w:rsidR="00592A33" w:rsidRPr="00825EB1">
        <w:rPr>
          <w:noProof/>
        </w:rPr>
        <w:t xml:space="preserve">roject promoters should </w:t>
      </w:r>
      <w:r w:rsidR="00592A33">
        <w:rPr>
          <w:noProof/>
        </w:rPr>
        <w:t xml:space="preserve">also </w:t>
      </w:r>
      <w:r w:rsidR="00592A33" w:rsidRPr="00825EB1">
        <w:rPr>
          <w:noProof/>
        </w:rPr>
        <w:t>report on the compliance with environmental legislation and demonstrate that projects do ‘no significant harm’ to the environment within the meaning of Article 17 of Regulation (EU) 2020/852 of the European Parliament and of the Council</w:t>
      </w:r>
      <w:r w:rsidR="00592A33">
        <w:rPr>
          <w:rStyle w:val="FootnoteReference"/>
          <w:noProof/>
        </w:rPr>
        <w:footnoteReference w:id="53"/>
      </w:r>
      <w:r w:rsidR="00592A33" w:rsidRPr="002A75D5">
        <w:rPr>
          <w:noProof/>
        </w:rPr>
        <w:t xml:space="preserve">. </w:t>
      </w:r>
      <w:r w:rsidR="00592A33" w:rsidRPr="00825EB1">
        <w:rPr>
          <w:noProof/>
        </w:rPr>
        <w:t xml:space="preserve">For existing projects of common interest having reached sufficient maturity, </w:t>
      </w:r>
      <w:r w:rsidR="00C42B5E">
        <w:rPr>
          <w:noProof/>
        </w:rPr>
        <w:t xml:space="preserve">those </w:t>
      </w:r>
      <w:r w:rsidR="00592A33">
        <w:rPr>
          <w:noProof/>
        </w:rPr>
        <w:t>considerations</w:t>
      </w:r>
      <w:r w:rsidR="00592A33" w:rsidRPr="00825EB1">
        <w:rPr>
          <w:noProof/>
        </w:rPr>
        <w:t xml:space="preserve"> </w:t>
      </w:r>
      <w:r w:rsidR="00592A33">
        <w:rPr>
          <w:noProof/>
        </w:rPr>
        <w:t>should</w:t>
      </w:r>
      <w:r w:rsidR="00592A33" w:rsidRPr="00825EB1">
        <w:rPr>
          <w:noProof/>
        </w:rPr>
        <w:t xml:space="preserve"> be taken into account during project selection for </w:t>
      </w:r>
      <w:r w:rsidR="00517547">
        <w:rPr>
          <w:noProof/>
        </w:rPr>
        <w:t xml:space="preserve">the </w:t>
      </w:r>
      <w:r w:rsidR="00592A33" w:rsidRPr="00825EB1">
        <w:rPr>
          <w:noProof/>
        </w:rPr>
        <w:t xml:space="preserve">subsequent Union list by the </w:t>
      </w:r>
      <w:r w:rsidR="00592A33">
        <w:rPr>
          <w:noProof/>
        </w:rPr>
        <w:t>G</w:t>
      </w:r>
      <w:r w:rsidR="00592A33" w:rsidRPr="00825EB1">
        <w:rPr>
          <w:noProof/>
        </w:rPr>
        <w:t>roups</w:t>
      </w:r>
      <w:r w:rsidR="10C5BBED" w:rsidRPr="00B80625">
        <w:rPr>
          <w:noProof/>
        </w:rPr>
        <w:t>.</w:t>
      </w:r>
    </w:p>
    <w:p w14:paraId="641D2241" w14:textId="7B563774" w:rsidR="00592A33" w:rsidRDefault="00C44DD6" w:rsidP="00C44DD6">
      <w:pPr>
        <w:pStyle w:val="ManualConsidrant"/>
        <w:rPr>
          <w:noProof/>
        </w:rPr>
      </w:pPr>
      <w:r w:rsidRPr="00C44DD6">
        <w:rPr>
          <w:noProof/>
        </w:rPr>
        <w:t>(28)</w:t>
      </w:r>
      <w:r w:rsidRPr="00C44DD6">
        <w:rPr>
          <w:noProof/>
        </w:rPr>
        <w:tab/>
      </w:r>
      <w:r w:rsidR="00592A33">
        <w:rPr>
          <w:noProof/>
        </w:rPr>
        <w:t>The Commission should have the possibility to nominate European</w:t>
      </w:r>
      <w:r w:rsidR="002304A3">
        <w:rPr>
          <w:noProof/>
        </w:rPr>
        <w:t xml:space="preserve"> </w:t>
      </w:r>
      <w:r w:rsidR="00592A33">
        <w:rPr>
          <w:noProof/>
        </w:rPr>
        <w:t xml:space="preserve"> coordinators for projects facing particular difficulties or delays, in order to facilitate the implementation of projects which encounter difficulties.</w:t>
      </w:r>
    </w:p>
    <w:p w14:paraId="4CB809E1" w14:textId="391BD20E" w:rsidR="00AA09C0" w:rsidRPr="002A75D5" w:rsidRDefault="00C44DD6" w:rsidP="00C44DD6">
      <w:pPr>
        <w:pStyle w:val="ManualConsidrant"/>
        <w:rPr>
          <w:noProof/>
        </w:rPr>
      </w:pPr>
      <w:r w:rsidRPr="00C44DD6">
        <w:rPr>
          <w:noProof/>
        </w:rPr>
        <w:t>(29)</w:t>
      </w:r>
      <w:r w:rsidRPr="00C44DD6">
        <w:rPr>
          <w:noProof/>
        </w:rPr>
        <w:tab/>
      </w:r>
      <w:r w:rsidR="0E7354D5">
        <w:rPr>
          <w:noProof/>
        </w:rPr>
        <w:t>The permit</w:t>
      </w:r>
      <w:r w:rsidR="004A3833">
        <w:rPr>
          <w:noProof/>
        </w:rPr>
        <w:t>-</w:t>
      </w:r>
      <w:r w:rsidR="0E7354D5">
        <w:rPr>
          <w:noProof/>
        </w:rPr>
        <w:t>granting process should neither lead to administrative burdens which are disproportionate to the size or complexity of a project, nor create barriers to the development of the trans-European networks and market access.</w:t>
      </w:r>
      <w:r w:rsidR="39C13E5C" w:rsidRPr="4E141F37">
        <w:rPr>
          <w:rStyle w:val="CommentReference"/>
          <w:noProof/>
          <w:sz w:val="24"/>
          <w:szCs w:val="24"/>
        </w:rPr>
        <w:t xml:space="preserve"> </w:t>
      </w:r>
    </w:p>
    <w:p w14:paraId="4B5FD6A7" w14:textId="1FD7E93F" w:rsidR="00AA09C0" w:rsidRPr="002A75D5" w:rsidRDefault="00C44DD6" w:rsidP="00C44DD6">
      <w:pPr>
        <w:pStyle w:val="ManualConsidrant"/>
        <w:rPr>
          <w:noProof/>
        </w:rPr>
      </w:pPr>
      <w:r w:rsidRPr="00C44DD6">
        <w:rPr>
          <w:noProof/>
        </w:rPr>
        <w:t>(30)</w:t>
      </w:r>
      <w:r w:rsidRPr="00C44DD6">
        <w:rPr>
          <w:noProof/>
        </w:rPr>
        <w:tab/>
      </w:r>
      <w:r w:rsidR="0E7354D5">
        <w:rPr>
          <w:noProof/>
        </w:rPr>
        <w:t xml:space="preserve">Projects of common </w:t>
      </w:r>
      <w:r w:rsidR="4BB75E60">
        <w:rPr>
          <w:noProof/>
        </w:rPr>
        <w:t xml:space="preserve">interest </w:t>
      </w:r>
      <w:r w:rsidR="0E7354D5">
        <w:rPr>
          <w:noProof/>
        </w:rPr>
        <w:t xml:space="preserve">and projects of mutual interest should be given priority status at national level to ensure rapid administrative treatment and urgent treatment in all judicial and dispute resolution procedures relating to them. </w:t>
      </w:r>
    </w:p>
    <w:p w14:paraId="36BA9D4F" w14:textId="72B188BF" w:rsidR="00AA09C0" w:rsidRPr="002A75D5" w:rsidRDefault="00C44DD6" w:rsidP="00C44DD6">
      <w:pPr>
        <w:pStyle w:val="ManualConsidrant"/>
        <w:rPr>
          <w:noProof/>
        </w:rPr>
      </w:pPr>
      <w:r w:rsidRPr="00C44DD6">
        <w:rPr>
          <w:noProof/>
        </w:rPr>
        <w:t>(31)</w:t>
      </w:r>
      <w:r w:rsidRPr="00C44DD6">
        <w:rPr>
          <w:noProof/>
        </w:rPr>
        <w:tab/>
      </w:r>
      <w:r w:rsidR="0E7354D5">
        <w:rPr>
          <w:noProof/>
        </w:rPr>
        <w:t>Member States that currently do not attribute the highest possible national significance to energy infrastructure projects as regards the permit</w:t>
      </w:r>
      <w:r w:rsidR="00221224">
        <w:rPr>
          <w:noProof/>
        </w:rPr>
        <w:t>-</w:t>
      </w:r>
      <w:r w:rsidR="0E7354D5">
        <w:rPr>
          <w:noProof/>
        </w:rPr>
        <w:t>granting</w:t>
      </w:r>
      <w:r w:rsidR="002A3B02">
        <w:rPr>
          <w:noProof/>
        </w:rPr>
        <w:t xml:space="preserve"> process</w:t>
      </w:r>
      <w:r w:rsidR="0E7354D5">
        <w:rPr>
          <w:noProof/>
        </w:rPr>
        <w:t xml:space="preserve">, </w:t>
      </w:r>
      <w:r w:rsidR="00AD6BD3">
        <w:rPr>
          <w:noProof/>
        </w:rPr>
        <w:t>are</w:t>
      </w:r>
      <w:r w:rsidR="0E7354D5">
        <w:rPr>
          <w:noProof/>
        </w:rPr>
        <w:t xml:space="preserve"> </w:t>
      </w:r>
      <w:r w:rsidR="0E7354D5" w:rsidRPr="00D34ED2">
        <w:rPr>
          <w:noProof/>
        </w:rPr>
        <w:t xml:space="preserve">encouraged to consider introducing </w:t>
      </w:r>
      <w:r w:rsidR="0E7354D5">
        <w:rPr>
          <w:noProof/>
        </w:rPr>
        <w:t xml:space="preserve">such a high national significance, in particular </w:t>
      </w:r>
      <w:r w:rsidR="00187189">
        <w:rPr>
          <w:noProof/>
        </w:rPr>
        <w:t>where this could</w:t>
      </w:r>
      <w:r w:rsidR="0E7354D5">
        <w:rPr>
          <w:noProof/>
        </w:rPr>
        <w:t xml:space="preserve"> lead to a quicker permit</w:t>
      </w:r>
      <w:r w:rsidR="00221224">
        <w:rPr>
          <w:noProof/>
        </w:rPr>
        <w:t>-</w:t>
      </w:r>
      <w:r w:rsidR="0E7354D5">
        <w:rPr>
          <w:noProof/>
        </w:rPr>
        <w:t xml:space="preserve">granting process. </w:t>
      </w:r>
    </w:p>
    <w:p w14:paraId="3031B4F8" w14:textId="28E4F5AC" w:rsidR="00AA09C0" w:rsidRPr="002A75D5" w:rsidRDefault="00C44DD6" w:rsidP="00C44DD6">
      <w:pPr>
        <w:pStyle w:val="ManualConsidrant"/>
        <w:rPr>
          <w:noProof/>
        </w:rPr>
      </w:pPr>
      <w:r w:rsidRPr="00C44DD6">
        <w:rPr>
          <w:noProof/>
        </w:rPr>
        <w:t>(32)</w:t>
      </w:r>
      <w:r w:rsidRPr="00C44DD6">
        <w:rPr>
          <w:noProof/>
        </w:rPr>
        <w:tab/>
      </w:r>
      <w:r w:rsidR="0E7354D5">
        <w:rPr>
          <w:noProof/>
        </w:rPr>
        <w:t xml:space="preserve">Member States that do not currently have in place accelerated or urgent judicial procedures applicable to energy infrastructure projects </w:t>
      </w:r>
      <w:r w:rsidR="0E7354D5" w:rsidRPr="00D34ED2">
        <w:rPr>
          <w:noProof/>
        </w:rPr>
        <w:t>should be encouraged to consider introducing</w:t>
      </w:r>
      <w:r w:rsidR="0E7354D5">
        <w:rPr>
          <w:noProof/>
        </w:rPr>
        <w:t xml:space="preserve"> such procedures, in particular by evaluating whether that would lead to the quicker implementation of such projects.</w:t>
      </w:r>
    </w:p>
    <w:p w14:paraId="7DF85CB1" w14:textId="402D6769" w:rsidR="003759F3" w:rsidRDefault="00C44DD6" w:rsidP="00C44DD6">
      <w:pPr>
        <w:pStyle w:val="ManualConsidrant"/>
        <w:rPr>
          <w:noProof/>
        </w:rPr>
      </w:pPr>
      <w:r w:rsidRPr="00C44DD6">
        <w:rPr>
          <w:noProof/>
        </w:rPr>
        <w:t>(33)</w:t>
      </w:r>
      <w:r w:rsidRPr="00C44DD6">
        <w:rPr>
          <w:noProof/>
        </w:rPr>
        <w:tab/>
      </w:r>
      <w:r w:rsidR="009B59D1">
        <w:rPr>
          <w:noProof/>
        </w:rPr>
        <w:t>Projects concerning hydrogen assets, electrolyser facilities and carbon dioxide</w:t>
      </w:r>
      <w:r w:rsidR="00547D05">
        <w:rPr>
          <w:noProof/>
        </w:rPr>
        <w:t xml:space="preserve"> assets</w:t>
      </w:r>
      <w:r w:rsidR="009B59D1">
        <w:rPr>
          <w:noProof/>
        </w:rPr>
        <w:t xml:space="preserve"> contribute to energy and climate goals, including </w:t>
      </w:r>
      <w:r w:rsidR="43A2BC0D">
        <w:rPr>
          <w:noProof/>
        </w:rPr>
        <w:t xml:space="preserve">with regard </w:t>
      </w:r>
      <w:r w:rsidR="009B59D1">
        <w:rPr>
          <w:noProof/>
        </w:rPr>
        <w:t>to the need to accelerate the deployment of renewable energy and its integration in their energy mix. Therefore, a</w:t>
      </w:r>
      <w:r w:rsidR="0E7354D5">
        <w:rPr>
          <w:noProof/>
        </w:rPr>
        <w:t xml:space="preserve">ll projects of common </w:t>
      </w:r>
      <w:r w:rsidR="000D07AA">
        <w:rPr>
          <w:noProof/>
        </w:rPr>
        <w:t xml:space="preserve">interest </w:t>
      </w:r>
      <w:r w:rsidR="0E7354D5">
        <w:rPr>
          <w:noProof/>
        </w:rPr>
        <w:t xml:space="preserve">and </w:t>
      </w:r>
      <w:r w:rsidR="000D07AA">
        <w:rPr>
          <w:noProof/>
        </w:rPr>
        <w:t>projects of</w:t>
      </w:r>
      <w:r w:rsidR="0E7354D5">
        <w:rPr>
          <w:noProof/>
        </w:rPr>
        <w:t xml:space="preserve"> mutual interest </w:t>
      </w:r>
      <w:r w:rsidR="003759F3">
        <w:rPr>
          <w:noProof/>
        </w:rPr>
        <w:t>concerning hydrogen, electrolyser facilities, and carbon dioxide</w:t>
      </w:r>
      <w:r w:rsidR="00547D05">
        <w:rPr>
          <w:noProof/>
        </w:rPr>
        <w:t xml:space="preserve"> assets</w:t>
      </w:r>
      <w:r w:rsidR="00C426AD">
        <w:rPr>
          <w:noProof/>
        </w:rPr>
        <w:t xml:space="preserve"> </w:t>
      </w:r>
      <w:r w:rsidR="0E7354D5">
        <w:rPr>
          <w:noProof/>
        </w:rPr>
        <w:t>should be considered to be of public interest from an energy policy perspective</w:t>
      </w:r>
      <w:r w:rsidR="003759F3">
        <w:rPr>
          <w:noProof/>
        </w:rPr>
        <w:t>, and it should be possible for Member States to consider them as being of overriding public interest</w:t>
      </w:r>
      <w:r w:rsidR="00476C9F">
        <w:rPr>
          <w:noProof/>
        </w:rPr>
        <w:t xml:space="preserve">, </w:t>
      </w:r>
      <w:r w:rsidR="00476C9F" w:rsidRPr="008D6940">
        <w:rPr>
          <w:noProof/>
        </w:rPr>
        <w:t>except for cultural heritage</w:t>
      </w:r>
      <w:r w:rsidR="00476C9F">
        <w:rPr>
          <w:noProof/>
        </w:rPr>
        <w:t xml:space="preserve"> and where there is clear evidence that those projects have significant adverse effects on the environment which cannot be mitigated or compensated for</w:t>
      </w:r>
      <w:r w:rsidR="0E7354D5">
        <w:rPr>
          <w:noProof/>
        </w:rPr>
        <w:t xml:space="preserve">. </w:t>
      </w:r>
    </w:p>
    <w:p w14:paraId="3C08E0E5" w14:textId="20CEFF85" w:rsidR="00AA09C0" w:rsidRPr="002A75D5" w:rsidRDefault="00C44DD6" w:rsidP="00C44DD6">
      <w:pPr>
        <w:pStyle w:val="ManualConsidrant"/>
        <w:rPr>
          <w:noProof/>
        </w:rPr>
      </w:pPr>
      <w:r w:rsidRPr="00C44DD6">
        <w:rPr>
          <w:noProof/>
        </w:rPr>
        <w:t>(34)</w:t>
      </w:r>
      <w:r w:rsidRPr="00C44DD6">
        <w:rPr>
          <w:noProof/>
        </w:rPr>
        <w:tab/>
      </w:r>
      <w:r w:rsidR="0E7354D5" w:rsidRPr="00B80625">
        <w:rPr>
          <w:noProof/>
        </w:rPr>
        <w:t>Due to their role integrating renewable energy assets, flexibility solution</w:t>
      </w:r>
      <w:r w:rsidR="0070279F">
        <w:rPr>
          <w:noProof/>
        </w:rPr>
        <w:t>s</w:t>
      </w:r>
      <w:r w:rsidR="0E7354D5" w:rsidRPr="00B80625">
        <w:rPr>
          <w:noProof/>
        </w:rPr>
        <w:t>, energy storage and electrification in general, electricity infrastructure projects are considered essential to reach climate neutrality</w:t>
      </w:r>
      <w:r w:rsidR="003759F3">
        <w:rPr>
          <w:noProof/>
        </w:rPr>
        <w:t xml:space="preserve">. Therefore, </w:t>
      </w:r>
      <w:r w:rsidR="0E7354D5" w:rsidRPr="00B80625">
        <w:rPr>
          <w:noProof/>
        </w:rPr>
        <w:t>until</w:t>
      </w:r>
      <w:r w:rsidR="00BA1A24">
        <w:rPr>
          <w:noProof/>
        </w:rPr>
        <w:t xml:space="preserve"> the</w:t>
      </w:r>
      <w:r w:rsidR="0E7354D5" w:rsidRPr="00B80625">
        <w:rPr>
          <w:noProof/>
        </w:rPr>
        <w:t xml:space="preserve"> </w:t>
      </w:r>
      <w:r w:rsidR="009757B1">
        <w:rPr>
          <w:noProof/>
        </w:rPr>
        <w:t>Union</w:t>
      </w:r>
      <w:r w:rsidR="0E7354D5" w:rsidRPr="00B80625">
        <w:rPr>
          <w:noProof/>
        </w:rPr>
        <w:t xml:space="preserve"> climate neutrality </w:t>
      </w:r>
      <w:r w:rsidR="009757B1">
        <w:rPr>
          <w:noProof/>
        </w:rPr>
        <w:t>target</w:t>
      </w:r>
      <w:r w:rsidR="0E7354D5" w:rsidRPr="00B80625">
        <w:rPr>
          <w:noProof/>
        </w:rPr>
        <w:t xml:space="preserve"> is achieved, </w:t>
      </w:r>
      <w:r w:rsidR="003759F3">
        <w:rPr>
          <w:noProof/>
        </w:rPr>
        <w:t xml:space="preserve">such projects </w:t>
      </w:r>
      <w:r w:rsidR="0E7354D5" w:rsidRPr="00B80625">
        <w:rPr>
          <w:noProof/>
        </w:rPr>
        <w:t xml:space="preserve">should be presumed to be of overriding public interest and to serve public health and safety </w:t>
      </w:r>
      <w:r w:rsidR="00E02321" w:rsidRPr="00B80625">
        <w:rPr>
          <w:noProof/>
        </w:rPr>
        <w:t>whe</w:t>
      </w:r>
      <w:r w:rsidR="00E02321">
        <w:rPr>
          <w:noProof/>
        </w:rPr>
        <w:t>re</w:t>
      </w:r>
      <w:r w:rsidR="00E02321" w:rsidRPr="00B80625">
        <w:rPr>
          <w:noProof/>
        </w:rPr>
        <w:t xml:space="preserve"> </w:t>
      </w:r>
      <w:r w:rsidR="0E7354D5" w:rsidRPr="00B80625">
        <w:rPr>
          <w:noProof/>
        </w:rPr>
        <w:t xml:space="preserve">balancing competing legal interests, </w:t>
      </w:r>
      <w:r w:rsidR="00094130" w:rsidRPr="006F1FEB">
        <w:rPr>
          <w:noProof/>
        </w:rPr>
        <w:t>except </w:t>
      </w:r>
      <w:r w:rsidR="00094130" w:rsidRPr="00AB3A5E">
        <w:rPr>
          <w:noProof/>
        </w:rPr>
        <w:t>for cultural heritage and </w:t>
      </w:r>
      <w:r w:rsidR="00355230" w:rsidRPr="00AB3A5E">
        <w:rPr>
          <w:noProof/>
        </w:rPr>
        <w:t>where there is clear evidence that those projects have significant adverse effects on the environment which cannot be mitigated or compensated for</w:t>
      </w:r>
      <w:r w:rsidR="0E7354D5" w:rsidRPr="006F1FEB">
        <w:rPr>
          <w:noProof/>
        </w:rPr>
        <w:t xml:space="preserve">, as provided </w:t>
      </w:r>
      <w:r w:rsidR="008C5203" w:rsidRPr="006F1FEB">
        <w:rPr>
          <w:noProof/>
        </w:rPr>
        <w:t>for in</w:t>
      </w:r>
      <w:r w:rsidR="0E7354D5" w:rsidRPr="006F1FEB">
        <w:rPr>
          <w:noProof/>
        </w:rPr>
        <w:t xml:space="preserve"> Directive (EU) 2019/944</w:t>
      </w:r>
      <w:r w:rsidR="008C5203" w:rsidRPr="006F1FEB">
        <w:rPr>
          <w:noProof/>
        </w:rPr>
        <w:t xml:space="preserve"> of the European Parliament and of the Co</w:t>
      </w:r>
      <w:r w:rsidR="008C5203" w:rsidRPr="008C5203">
        <w:rPr>
          <w:noProof/>
        </w:rPr>
        <w:t>uncil</w:t>
      </w:r>
      <w:r w:rsidR="00407BA5">
        <w:rPr>
          <w:rStyle w:val="FootnoteReference"/>
          <w:noProof/>
        </w:rPr>
        <w:footnoteReference w:id="54"/>
      </w:r>
      <w:r w:rsidR="0E7354D5" w:rsidRPr="002A75D5">
        <w:rPr>
          <w:noProof/>
        </w:rPr>
        <w:t>.</w:t>
      </w:r>
    </w:p>
    <w:p w14:paraId="3BA88EED" w14:textId="3FEDCC9A" w:rsidR="003759F3" w:rsidRDefault="00C44DD6" w:rsidP="00C44DD6">
      <w:pPr>
        <w:pStyle w:val="ManualConsidrant"/>
        <w:rPr>
          <w:noProof/>
        </w:rPr>
      </w:pPr>
      <w:r w:rsidRPr="00C44DD6">
        <w:rPr>
          <w:noProof/>
        </w:rPr>
        <w:t>(35)</w:t>
      </w:r>
      <w:r w:rsidRPr="00C44DD6">
        <w:rPr>
          <w:noProof/>
        </w:rPr>
        <w:tab/>
      </w:r>
      <w:r w:rsidR="0E7354D5">
        <w:rPr>
          <w:noProof/>
        </w:rPr>
        <w:t>Due to their importance to reach climate neutrality, and their strategic importance as project</w:t>
      </w:r>
      <w:r w:rsidR="00A57D88">
        <w:rPr>
          <w:noProof/>
        </w:rPr>
        <w:t>s</w:t>
      </w:r>
      <w:r w:rsidR="0E7354D5">
        <w:rPr>
          <w:noProof/>
        </w:rPr>
        <w:t xml:space="preserve"> </w:t>
      </w:r>
      <w:r w:rsidR="00A57D88">
        <w:rPr>
          <w:noProof/>
        </w:rPr>
        <w:t>o</w:t>
      </w:r>
      <w:r w:rsidR="0E7354D5">
        <w:rPr>
          <w:noProof/>
        </w:rPr>
        <w:t xml:space="preserve">n the Union list, </w:t>
      </w:r>
      <w:r w:rsidR="003759F3">
        <w:rPr>
          <w:noProof/>
        </w:rPr>
        <w:t xml:space="preserve">it should be possible for Member States to allow for </w:t>
      </w:r>
      <w:r w:rsidR="0E7354D5" w:rsidRPr="00B80625">
        <w:rPr>
          <w:noProof/>
        </w:rPr>
        <w:t>projects of common interest and projects of mutual interest concerning electricity</w:t>
      </w:r>
      <w:r w:rsidR="00A95970">
        <w:rPr>
          <w:rStyle w:val="FootnoteReference"/>
          <w:noProof/>
        </w:rPr>
        <w:footnoteReference w:id="55"/>
      </w:r>
      <w:r w:rsidR="003E2726">
        <w:rPr>
          <w:noProof/>
        </w:rPr>
        <w:t xml:space="preserve"> </w:t>
      </w:r>
      <w:r w:rsidR="0E7354D5" w:rsidRPr="00B80625">
        <w:rPr>
          <w:noProof/>
        </w:rPr>
        <w:t xml:space="preserve">that have been expressly included in a National Development Plan </w:t>
      </w:r>
      <w:r w:rsidR="003759F3">
        <w:rPr>
          <w:noProof/>
        </w:rPr>
        <w:t xml:space="preserve">which </w:t>
      </w:r>
      <w:r w:rsidR="0E7354D5" w:rsidRPr="00B80625">
        <w:rPr>
          <w:noProof/>
        </w:rPr>
        <w:t xml:space="preserve">was subject to a strategic environmental assessment in </w:t>
      </w:r>
      <w:r w:rsidR="00F20DB2">
        <w:rPr>
          <w:noProof/>
        </w:rPr>
        <w:t>accordance</w:t>
      </w:r>
      <w:r w:rsidR="0E7354D5" w:rsidRPr="00B80625">
        <w:rPr>
          <w:noProof/>
        </w:rPr>
        <w:t xml:space="preserve"> with Directive 2001/42</w:t>
      </w:r>
      <w:r w:rsidR="66E021EB" w:rsidRPr="00B80625">
        <w:rPr>
          <w:noProof/>
        </w:rPr>
        <w:t>/EC</w:t>
      </w:r>
      <w:r w:rsidR="000E1D64">
        <w:rPr>
          <w:noProof/>
        </w:rPr>
        <w:t xml:space="preserve"> of the European Parliament and of the Council</w:t>
      </w:r>
      <w:r w:rsidR="00142B31">
        <w:rPr>
          <w:rStyle w:val="FootnoteReference"/>
          <w:noProof/>
        </w:rPr>
        <w:footnoteReference w:id="56"/>
      </w:r>
      <w:r w:rsidR="0E7354D5" w:rsidRPr="002A75D5" w:rsidDel="00492A6A">
        <w:rPr>
          <w:noProof/>
        </w:rPr>
        <w:t>,</w:t>
      </w:r>
      <w:r w:rsidR="003759F3" w:rsidDel="00492A6A">
        <w:rPr>
          <w:noProof/>
        </w:rPr>
        <w:t xml:space="preserve"> </w:t>
      </w:r>
      <w:r w:rsidR="5F3E9451" w:rsidRPr="02E6FABD" w:rsidDel="00492A6A">
        <w:rPr>
          <w:noProof/>
          <w:lang w:eastAsia="en-IE"/>
        </w:rPr>
        <w:t>and, if it is likely to have a significant impact on Natura 2000 sites, to the appropriate assessment pursuant to Article 6(3) of Directive 92/43/</w:t>
      </w:r>
      <w:r w:rsidR="5F3E9451" w:rsidRPr="68796D7E" w:rsidDel="00492A6A">
        <w:rPr>
          <w:noProof/>
          <w:lang w:eastAsia="en-IE"/>
        </w:rPr>
        <w:t>EEC</w:t>
      </w:r>
      <w:r w:rsidR="7F1EC720" w:rsidRPr="68796D7E" w:rsidDel="00492A6A">
        <w:rPr>
          <w:noProof/>
          <w:lang w:eastAsia="en-IE"/>
        </w:rPr>
        <w:t>,</w:t>
      </w:r>
      <w:r w:rsidR="23861AF3" w:rsidRPr="68796D7E" w:rsidDel="00492A6A">
        <w:rPr>
          <w:noProof/>
          <w:lang w:eastAsia="en-IE"/>
        </w:rPr>
        <w:t xml:space="preserve"> to be</w:t>
      </w:r>
      <w:r w:rsidR="003759F3" w:rsidDel="00492A6A">
        <w:rPr>
          <w:noProof/>
        </w:rPr>
        <w:t xml:space="preserve"> </w:t>
      </w:r>
      <w:r w:rsidR="0E7354D5" w:rsidRPr="00B80625" w:rsidDel="00492A6A">
        <w:rPr>
          <w:noProof/>
        </w:rPr>
        <w:t>exempted from environmental impact assessments under Directive 2011/92/</w:t>
      </w:r>
      <w:r w:rsidR="0E7354D5" w:rsidDel="00492A6A">
        <w:rPr>
          <w:noProof/>
        </w:rPr>
        <w:t>EU,</w:t>
      </w:r>
      <w:r w:rsidR="0E7354D5" w:rsidRPr="00B80625" w:rsidDel="00492A6A">
        <w:rPr>
          <w:noProof/>
        </w:rPr>
        <w:t xml:space="preserve"> from assessments of their implications </w:t>
      </w:r>
      <w:r w:rsidR="09AEE23B" w:rsidRPr="4E141F37">
        <w:rPr>
          <w:rFonts w:eastAsia="Times New Roman"/>
          <w:noProof/>
        </w:rPr>
        <w:t>on species protection pursuant to Article 12(1) of Directive 92/43/EEC and to Article 5 of Directive 2009/147/EC</w:t>
      </w:r>
      <w:r w:rsidR="00B4E815" w:rsidRPr="4E141F37">
        <w:rPr>
          <w:rFonts w:eastAsia="Times New Roman"/>
          <w:noProof/>
        </w:rPr>
        <w:t>,</w:t>
      </w:r>
      <w:r w:rsidR="09AEE23B" w:rsidRPr="4E141F37">
        <w:rPr>
          <w:rFonts w:eastAsia="Times New Roman"/>
          <w:noProof/>
        </w:rPr>
        <w:t xml:space="preserve"> </w:t>
      </w:r>
      <w:r w:rsidR="5B72E701" w:rsidRPr="4E141F37">
        <w:rPr>
          <w:rFonts w:eastAsia="Times New Roman"/>
          <w:noProof/>
        </w:rPr>
        <w:t xml:space="preserve">and from </w:t>
      </w:r>
      <w:r w:rsidR="4AE0DED1" w:rsidRPr="4E141F37">
        <w:rPr>
          <w:rFonts w:eastAsia="Times New Roman"/>
          <w:noProof/>
        </w:rPr>
        <w:t xml:space="preserve">assessments </w:t>
      </w:r>
      <w:r w:rsidR="73E64C97" w:rsidRPr="4E141F37">
        <w:rPr>
          <w:rFonts w:eastAsia="Times New Roman"/>
          <w:noProof/>
        </w:rPr>
        <w:t xml:space="preserve">of their implications </w:t>
      </w:r>
      <w:r w:rsidR="0E7354D5" w:rsidRPr="4E141F37" w:rsidDel="00492A6A">
        <w:rPr>
          <w:rFonts w:eastAsia="Times New Roman"/>
          <w:noProof/>
        </w:rPr>
        <w:t>for Natura 2000 s</w:t>
      </w:r>
      <w:r w:rsidR="0E7354D5" w:rsidRPr="00BF645A" w:rsidDel="00492A6A">
        <w:rPr>
          <w:noProof/>
        </w:rPr>
        <w:t>ites.</w:t>
      </w:r>
      <w:r w:rsidR="00492A6A">
        <w:rPr>
          <w:noProof/>
        </w:rPr>
        <w:t xml:space="preserve"> </w:t>
      </w:r>
      <w:r w:rsidR="003759F3">
        <w:rPr>
          <w:noProof/>
        </w:rPr>
        <w:t xml:space="preserve">Such exemptions should be possible </w:t>
      </w:r>
      <w:r w:rsidR="0E7354D5" w:rsidRPr="00B80625">
        <w:rPr>
          <w:noProof/>
        </w:rPr>
        <w:t xml:space="preserve">until climate neutrality is achieved. </w:t>
      </w:r>
    </w:p>
    <w:p w14:paraId="4C7FFCDA" w14:textId="3AA7517C" w:rsidR="00AA09C0" w:rsidRDefault="00C44DD6" w:rsidP="00C44DD6">
      <w:pPr>
        <w:pStyle w:val="ManualConsidrant"/>
        <w:rPr>
          <w:noProof/>
        </w:rPr>
      </w:pPr>
      <w:r w:rsidRPr="00C44DD6">
        <w:rPr>
          <w:noProof/>
        </w:rPr>
        <w:t>(36)</w:t>
      </w:r>
      <w:r w:rsidRPr="00C44DD6">
        <w:rPr>
          <w:noProof/>
        </w:rPr>
        <w:tab/>
      </w:r>
      <w:r w:rsidR="00306E8D">
        <w:rPr>
          <w:noProof/>
        </w:rPr>
        <w:t xml:space="preserve">In order to mitigate any possible impact of such exemptions, </w:t>
      </w:r>
      <w:r w:rsidR="48BD1B41">
        <w:rPr>
          <w:noProof/>
        </w:rPr>
        <w:t xml:space="preserve">following the screening </w:t>
      </w:r>
      <w:r w:rsidR="0E7354D5">
        <w:rPr>
          <w:noProof/>
        </w:rPr>
        <w:t>Member State</w:t>
      </w:r>
      <w:r w:rsidR="00BC7BE0">
        <w:rPr>
          <w:noProof/>
        </w:rPr>
        <w:t>s’</w:t>
      </w:r>
      <w:r w:rsidR="0E7354D5">
        <w:rPr>
          <w:noProof/>
        </w:rPr>
        <w:t xml:space="preserve"> competent authorities should ensure that appropriate and proportionate mitigation</w:t>
      </w:r>
      <w:r w:rsidR="0049480A">
        <w:rPr>
          <w:noProof/>
        </w:rPr>
        <w:t xml:space="preserve"> measures</w:t>
      </w:r>
      <w:r w:rsidR="00700801">
        <w:rPr>
          <w:noProof/>
        </w:rPr>
        <w:t xml:space="preserve"> </w:t>
      </w:r>
      <w:r w:rsidR="00513D73">
        <w:rPr>
          <w:noProof/>
        </w:rPr>
        <w:t>are applied</w:t>
      </w:r>
      <w:r w:rsidR="0049480A">
        <w:rPr>
          <w:noProof/>
        </w:rPr>
        <w:t>, considering the use of the best available technologies</w:t>
      </w:r>
      <w:r w:rsidR="4888FAD8">
        <w:rPr>
          <w:noProof/>
        </w:rPr>
        <w:t>.</w:t>
      </w:r>
      <w:r w:rsidR="0E7354D5">
        <w:rPr>
          <w:noProof/>
        </w:rPr>
        <w:t xml:space="preserve"> </w:t>
      </w:r>
      <w:r w:rsidR="0A1E4501">
        <w:rPr>
          <w:noProof/>
        </w:rPr>
        <w:t>W</w:t>
      </w:r>
      <w:r w:rsidR="1077FD33">
        <w:rPr>
          <w:noProof/>
        </w:rPr>
        <w:t>here it</w:t>
      </w:r>
      <w:r w:rsidR="189CD430">
        <w:rPr>
          <w:noProof/>
        </w:rPr>
        <w:t xml:space="preserve"> is not possible to apply such mitigation measures</w:t>
      </w:r>
      <w:r w:rsidR="2ADFE1E4">
        <w:rPr>
          <w:noProof/>
        </w:rPr>
        <w:t xml:space="preserve">, competent authorities </w:t>
      </w:r>
      <w:r w:rsidR="003E03BA" w:rsidRPr="00635D66">
        <w:rPr>
          <w:noProof/>
        </w:rPr>
        <w:t>should</w:t>
      </w:r>
      <w:r w:rsidR="003E03BA">
        <w:rPr>
          <w:noProof/>
        </w:rPr>
        <w:t xml:space="preserve"> </w:t>
      </w:r>
      <w:r w:rsidR="2ADFE1E4">
        <w:rPr>
          <w:noProof/>
        </w:rPr>
        <w:t>ensure</w:t>
      </w:r>
      <w:r w:rsidR="1077FD33">
        <w:rPr>
          <w:noProof/>
        </w:rPr>
        <w:t xml:space="preserve"> </w:t>
      </w:r>
      <w:r w:rsidR="189CD430">
        <w:rPr>
          <w:noProof/>
        </w:rPr>
        <w:t xml:space="preserve">that project promoters adopt appropriate compensatory measures to address those effects, which, if other proportionate compensatory measures are not available, </w:t>
      </w:r>
      <w:r w:rsidR="4C1D0AD2">
        <w:rPr>
          <w:noProof/>
        </w:rPr>
        <w:t xml:space="preserve">may include </w:t>
      </w:r>
      <w:r w:rsidR="0E7354D5">
        <w:rPr>
          <w:noProof/>
        </w:rPr>
        <w:t xml:space="preserve">the payment of monetary compensation for species protection programmes. </w:t>
      </w:r>
      <w:r w:rsidR="00F20DB2">
        <w:rPr>
          <w:noProof/>
        </w:rPr>
        <w:t>In addition</w:t>
      </w:r>
      <w:r w:rsidR="0E7354D5">
        <w:rPr>
          <w:noProof/>
        </w:rPr>
        <w:t xml:space="preserve">, where a project is likely to have significant </w:t>
      </w:r>
      <w:r w:rsidR="00311D62">
        <w:rPr>
          <w:noProof/>
        </w:rPr>
        <w:t>negative</w:t>
      </w:r>
      <w:r w:rsidR="000F54BC">
        <w:rPr>
          <w:noProof/>
        </w:rPr>
        <w:t xml:space="preserve"> </w:t>
      </w:r>
      <w:r w:rsidR="0E7354D5">
        <w:rPr>
          <w:noProof/>
        </w:rPr>
        <w:t>effects on the environment of another Member State, the national competent authorit</w:t>
      </w:r>
      <w:r w:rsidR="00251BF6">
        <w:rPr>
          <w:noProof/>
        </w:rPr>
        <w:t>ies</w:t>
      </w:r>
      <w:r w:rsidR="0E7354D5">
        <w:rPr>
          <w:noProof/>
        </w:rPr>
        <w:t xml:space="preserve"> should ensure that the Member States concerned ha</w:t>
      </w:r>
      <w:r w:rsidR="00A81523">
        <w:rPr>
          <w:noProof/>
        </w:rPr>
        <w:t>ve</w:t>
      </w:r>
      <w:r w:rsidR="0E7354D5">
        <w:rPr>
          <w:noProof/>
        </w:rPr>
        <w:t xml:space="preserve"> cooperated to identify measures to avoid the significant impacts, or, where needed, to mitigate or compensate them.</w:t>
      </w:r>
    </w:p>
    <w:p w14:paraId="65142078" w14:textId="3292893A" w:rsidR="00BC7BE0" w:rsidRPr="00BC7BE0" w:rsidRDefault="00C44DD6" w:rsidP="00C44DD6">
      <w:pPr>
        <w:pStyle w:val="ManualConsidrant"/>
        <w:rPr>
          <w:noProof/>
          <w:lang w:val="en-IE"/>
        </w:rPr>
      </w:pPr>
      <w:r w:rsidRPr="00C44DD6">
        <w:rPr>
          <w:noProof/>
        </w:rPr>
        <w:t>(37)</w:t>
      </w:r>
      <w:r w:rsidRPr="00C44DD6">
        <w:rPr>
          <w:noProof/>
        </w:rPr>
        <w:tab/>
      </w:r>
      <w:r w:rsidR="001B2F70">
        <w:rPr>
          <w:noProof/>
        </w:rPr>
        <w:t>In order to speed up the deployment of the trans-European energy network</w:t>
      </w:r>
      <w:r w:rsidR="00F25637">
        <w:rPr>
          <w:noProof/>
        </w:rPr>
        <w:t>,</w:t>
      </w:r>
      <w:r w:rsidR="001B2F70">
        <w:rPr>
          <w:noProof/>
        </w:rPr>
        <w:t xml:space="preserve"> </w:t>
      </w:r>
      <w:r w:rsidR="00632065">
        <w:rPr>
          <w:noProof/>
        </w:rPr>
        <w:t xml:space="preserve">the </w:t>
      </w:r>
      <w:r w:rsidR="001B2F70">
        <w:rPr>
          <w:noProof/>
        </w:rPr>
        <w:t xml:space="preserve">conditions for applying specific derogations as </w:t>
      </w:r>
      <w:r w:rsidR="00C00D26">
        <w:rPr>
          <w:noProof/>
        </w:rPr>
        <w:t xml:space="preserve">set out </w:t>
      </w:r>
      <w:r w:rsidR="001B2F70">
        <w:rPr>
          <w:noProof/>
        </w:rPr>
        <w:t xml:space="preserve">in Union environmental legislation </w:t>
      </w:r>
      <w:r w:rsidR="00F25637">
        <w:rPr>
          <w:noProof/>
        </w:rPr>
        <w:t>should be</w:t>
      </w:r>
      <w:r w:rsidR="00632065">
        <w:rPr>
          <w:noProof/>
        </w:rPr>
        <w:t xml:space="preserve"> clear</w:t>
      </w:r>
      <w:r w:rsidR="001B2F70">
        <w:rPr>
          <w:noProof/>
        </w:rPr>
        <w:t xml:space="preserve">. In particular, when assessing whether there are satisfactory alternative solutions </w:t>
      </w:r>
      <w:r w:rsidR="00632065">
        <w:rPr>
          <w:noProof/>
        </w:rPr>
        <w:t>to energy projects</w:t>
      </w:r>
      <w:r w:rsidR="001B2F70">
        <w:rPr>
          <w:noProof/>
        </w:rPr>
        <w:t>, the scope of such assessment should be limited to alternative solutions that ensure the achievement of the same objective within the same or similar timeframe and without resulting in significantly higher costs. When comparing the timeframe and the cost of satisfactory alternative solutions, the relevant authorities should</w:t>
      </w:r>
      <w:r w:rsidR="00861029">
        <w:rPr>
          <w:noProof/>
        </w:rPr>
        <w:t xml:space="preserve"> be able to</w:t>
      </w:r>
      <w:r w:rsidR="001B2F70">
        <w:rPr>
          <w:noProof/>
        </w:rPr>
        <w:t xml:space="preserve"> take into account the need to deploy </w:t>
      </w:r>
      <w:r w:rsidR="00F00FFD">
        <w:rPr>
          <w:noProof/>
        </w:rPr>
        <w:t xml:space="preserve">projects of common </w:t>
      </w:r>
      <w:r w:rsidR="00ED1D22">
        <w:rPr>
          <w:noProof/>
        </w:rPr>
        <w:t xml:space="preserve">interest </w:t>
      </w:r>
      <w:r w:rsidR="00F00FFD">
        <w:rPr>
          <w:noProof/>
        </w:rPr>
        <w:t xml:space="preserve">and </w:t>
      </w:r>
      <w:r w:rsidR="00ED1D22">
        <w:rPr>
          <w:noProof/>
        </w:rPr>
        <w:t>projects of</w:t>
      </w:r>
      <w:r w:rsidR="00F00FFD">
        <w:rPr>
          <w:noProof/>
        </w:rPr>
        <w:t xml:space="preserve"> mutual interest </w:t>
      </w:r>
      <w:r w:rsidR="001B2F70">
        <w:rPr>
          <w:noProof/>
        </w:rPr>
        <w:t xml:space="preserve">in an accelerated and cost-effective manner in accordance with the priorities set out in their integrated national energy and climate plans and updates thereof submitted </w:t>
      </w:r>
      <w:r w:rsidR="001D78B0">
        <w:rPr>
          <w:noProof/>
        </w:rPr>
        <w:t>to the</w:t>
      </w:r>
      <w:r w:rsidR="00FD735A">
        <w:rPr>
          <w:noProof/>
        </w:rPr>
        <w:t xml:space="preserve"> Commission</w:t>
      </w:r>
      <w:r w:rsidR="001B2F70">
        <w:rPr>
          <w:noProof/>
        </w:rPr>
        <w:t xml:space="preserve"> pursuant to Regulation (EU) 2018/1999. </w:t>
      </w:r>
    </w:p>
    <w:p w14:paraId="502E7D4D" w14:textId="05A8AA1B" w:rsidR="001B2F70" w:rsidRDefault="00C44DD6" w:rsidP="00C44DD6">
      <w:pPr>
        <w:pStyle w:val="ManualConsidrant"/>
        <w:rPr>
          <w:noProof/>
          <w:lang w:val="en-IE"/>
        </w:rPr>
      </w:pPr>
      <w:r w:rsidRPr="00C44DD6">
        <w:rPr>
          <w:noProof/>
        </w:rPr>
        <w:t>(38)</w:t>
      </w:r>
      <w:r w:rsidRPr="00C44DD6">
        <w:rPr>
          <w:noProof/>
        </w:rPr>
        <w:tab/>
      </w:r>
      <w:r w:rsidR="001B2F70">
        <w:rPr>
          <w:noProof/>
        </w:rPr>
        <w:t>Similarly, w</w:t>
      </w:r>
      <w:r w:rsidR="001B2F70" w:rsidRPr="4E141F37">
        <w:rPr>
          <w:noProof/>
          <w:lang w:val="en-IE"/>
        </w:rPr>
        <w:t xml:space="preserve">hen applying the relevant derogation provided for in Directive 92/43/EEC, </w:t>
      </w:r>
      <w:r w:rsidR="006A2EA8" w:rsidRPr="4E141F37">
        <w:rPr>
          <w:noProof/>
          <w:lang w:val="en-IE"/>
        </w:rPr>
        <w:t xml:space="preserve">it is appropriate that </w:t>
      </w:r>
      <w:r w:rsidR="001B2F70" w:rsidRPr="4E141F37">
        <w:rPr>
          <w:noProof/>
          <w:lang w:val="en-IE"/>
        </w:rPr>
        <w:t xml:space="preserve">the relevant authorities </w:t>
      </w:r>
      <w:r w:rsidR="006D280E" w:rsidRPr="4E141F37">
        <w:rPr>
          <w:noProof/>
          <w:lang w:val="en-IE"/>
        </w:rPr>
        <w:t>may</w:t>
      </w:r>
      <w:r w:rsidR="001B2F70" w:rsidRPr="4E141F37" w:rsidDel="006D280E">
        <w:rPr>
          <w:noProof/>
          <w:lang w:val="en-IE"/>
        </w:rPr>
        <w:t>,</w:t>
      </w:r>
      <w:r w:rsidR="006D280E" w:rsidRPr="4E141F37">
        <w:rPr>
          <w:noProof/>
          <w:lang w:val="en-IE"/>
        </w:rPr>
        <w:t xml:space="preserve"> in justified cases and where it can be reasonably demonstrated that the plan or project would not irreversibly affect</w:t>
      </w:r>
      <w:r w:rsidR="5D403813" w:rsidRPr="44DFA106">
        <w:rPr>
          <w:noProof/>
          <w:lang w:val="en-IE"/>
        </w:rPr>
        <w:t>,</w:t>
      </w:r>
      <w:r w:rsidR="69FA320E" w:rsidRPr="4E141F37">
        <w:rPr>
          <w:noProof/>
          <w:lang w:val="en-IE"/>
        </w:rPr>
        <w:t xml:space="preserve"> </w:t>
      </w:r>
      <w:r w:rsidR="006D280E" w:rsidRPr="4E141F37">
        <w:rPr>
          <w:noProof/>
          <w:lang w:val="en-IE"/>
        </w:rPr>
        <w:t>before the measures are put into place</w:t>
      </w:r>
      <w:r w:rsidR="001B2F70">
        <w:rPr>
          <w:noProof/>
          <w:lang w:val="en-IE"/>
        </w:rPr>
        <w:t>,</w:t>
      </w:r>
      <w:r w:rsidR="006D280E" w:rsidRPr="4E141F37" w:rsidDel="00E97850">
        <w:rPr>
          <w:noProof/>
          <w:lang w:val="en-IE"/>
        </w:rPr>
        <w:t xml:space="preserve"> the overall coherence of the Natura 2000 network</w:t>
      </w:r>
      <w:r w:rsidR="001B2F70">
        <w:rPr>
          <w:noProof/>
          <w:lang w:val="en-IE"/>
        </w:rPr>
        <w:t>,</w:t>
      </w:r>
      <w:r w:rsidR="4B42D2EC" w:rsidRPr="4E141F37">
        <w:rPr>
          <w:noProof/>
          <w:lang w:val="en-IE"/>
        </w:rPr>
        <w:t xml:space="preserve"> </w:t>
      </w:r>
      <w:r w:rsidR="006D280E" w:rsidRPr="4E141F37">
        <w:rPr>
          <w:noProof/>
          <w:lang w:val="en-IE"/>
        </w:rPr>
        <w:t>the environmental integrity of the site is preserved and</w:t>
      </w:r>
      <w:r w:rsidR="4B0235A8" w:rsidRPr="2EE01904">
        <w:rPr>
          <w:noProof/>
          <w:lang w:val="en-IE"/>
        </w:rPr>
        <w:t xml:space="preserve"> </w:t>
      </w:r>
      <w:r w:rsidR="006D280E" w:rsidRPr="4E141F37">
        <w:rPr>
          <w:noProof/>
          <w:lang w:val="en-IE"/>
        </w:rPr>
        <w:t>a high level of protection of the Natura 2000 sites is ensured</w:t>
      </w:r>
      <w:r w:rsidR="2E5222D0" w:rsidRPr="3AF8610B">
        <w:rPr>
          <w:noProof/>
          <w:lang w:val="en-IE"/>
        </w:rPr>
        <w:t>,</w:t>
      </w:r>
      <w:r w:rsidR="001B2F70" w:rsidRPr="4E141F37" w:rsidDel="006D280E">
        <w:rPr>
          <w:noProof/>
          <w:lang w:val="en-IE"/>
        </w:rPr>
        <w:t xml:space="preserve"> </w:t>
      </w:r>
      <w:r w:rsidR="42DE950E" w:rsidRPr="3AF8610B">
        <w:rPr>
          <w:noProof/>
          <w:lang w:val="en-IE"/>
        </w:rPr>
        <w:t>allow</w:t>
      </w:r>
      <w:r w:rsidR="001B2F70" w:rsidRPr="4E141F37" w:rsidDel="00F00FFD">
        <w:rPr>
          <w:noProof/>
          <w:lang w:val="en-IE"/>
        </w:rPr>
        <w:t xml:space="preserve"> that</w:t>
      </w:r>
      <w:r w:rsidR="001B2F70" w:rsidRPr="4E141F37" w:rsidDel="001B2F70">
        <w:rPr>
          <w:noProof/>
          <w:lang w:val="en-IE"/>
        </w:rPr>
        <w:t xml:space="preserve"> compensatory measures </w:t>
      </w:r>
      <w:r w:rsidR="001B2F70" w:rsidRPr="4E141F37" w:rsidDel="00F00FFD">
        <w:rPr>
          <w:noProof/>
          <w:lang w:val="en-IE"/>
        </w:rPr>
        <w:t>are carried</w:t>
      </w:r>
      <w:r w:rsidR="001B2F70" w:rsidRPr="4E141F37" w:rsidDel="001B2F70">
        <w:rPr>
          <w:noProof/>
          <w:lang w:val="en-IE"/>
        </w:rPr>
        <w:t xml:space="preserve"> out in parallel with the implementation of the</w:t>
      </w:r>
      <w:r w:rsidR="001B2F70" w:rsidRPr="4E141F37" w:rsidDel="002C43E0">
        <w:rPr>
          <w:noProof/>
          <w:lang w:val="en-IE"/>
        </w:rPr>
        <w:t xml:space="preserve"> plan or</w:t>
      </w:r>
      <w:r w:rsidR="001B2F70" w:rsidRPr="4E141F37" w:rsidDel="001B2F70">
        <w:rPr>
          <w:noProof/>
          <w:lang w:val="en-IE"/>
        </w:rPr>
        <w:t xml:space="preserve"> project</w:t>
      </w:r>
      <w:r w:rsidR="001B2F70" w:rsidRPr="4E141F37">
        <w:rPr>
          <w:noProof/>
          <w:lang w:val="en-IE"/>
        </w:rPr>
        <w:t>.</w:t>
      </w:r>
    </w:p>
    <w:p w14:paraId="2289C76B" w14:textId="56047FD3" w:rsidR="00AA09C0" w:rsidRPr="00B80625" w:rsidRDefault="00C44DD6" w:rsidP="00C44DD6">
      <w:pPr>
        <w:pStyle w:val="ManualConsidrant"/>
        <w:rPr>
          <w:noProof/>
        </w:rPr>
      </w:pPr>
      <w:r w:rsidRPr="00C44DD6">
        <w:rPr>
          <w:noProof/>
        </w:rPr>
        <w:t>(39)</w:t>
      </w:r>
      <w:r w:rsidRPr="00C44DD6">
        <w:rPr>
          <w:noProof/>
        </w:rPr>
        <w:tab/>
      </w:r>
      <w:r w:rsidR="0E7354D5">
        <w:rPr>
          <w:noProof/>
        </w:rPr>
        <w:t xml:space="preserve">In order to reduce complexity, increase efficiency and transparency, and help enhance cooperation among Member States, </w:t>
      </w:r>
      <w:r w:rsidR="007A16CD">
        <w:rPr>
          <w:noProof/>
        </w:rPr>
        <w:t>Member States should ensure that there is one single competent authority responsible for</w:t>
      </w:r>
      <w:r w:rsidR="0E7354D5">
        <w:rPr>
          <w:noProof/>
        </w:rPr>
        <w:t xml:space="preserve"> facilitating and coordinating all permit</w:t>
      </w:r>
      <w:r w:rsidR="00221224">
        <w:rPr>
          <w:noProof/>
        </w:rPr>
        <w:t>-</w:t>
      </w:r>
      <w:r w:rsidR="0E7354D5">
        <w:rPr>
          <w:noProof/>
        </w:rPr>
        <w:t>granting processes towards the issuing of a comprehensive decision, cooperating with other concerned authorities and national competent authorities of other Member States, acting as a sole point of contact for promotors mediating their contact with other authorities, and monitoring the development and delays of projects on the Union list.</w:t>
      </w:r>
    </w:p>
    <w:p w14:paraId="1AB4228C" w14:textId="119681F6" w:rsidR="00AA09C0" w:rsidRPr="0022673C" w:rsidRDefault="00C44DD6" w:rsidP="00C44DD6">
      <w:pPr>
        <w:pStyle w:val="ManualConsidrant"/>
        <w:rPr>
          <w:noProof/>
          <w:lang w:val="en-IE"/>
        </w:rPr>
      </w:pPr>
      <w:r w:rsidRPr="00C44DD6">
        <w:rPr>
          <w:noProof/>
        </w:rPr>
        <w:t>(40)</w:t>
      </w:r>
      <w:r w:rsidRPr="00C44DD6">
        <w:rPr>
          <w:noProof/>
        </w:rPr>
        <w:tab/>
      </w:r>
      <w:r w:rsidR="00522526" w:rsidRPr="4E141F37">
        <w:rPr>
          <w:noProof/>
          <w:lang w:val="en-IE"/>
        </w:rPr>
        <w:t>To increase</w:t>
      </w:r>
      <w:r w:rsidR="0E7354D5" w:rsidRPr="4E141F37">
        <w:rPr>
          <w:noProof/>
          <w:lang w:val="en-IE"/>
        </w:rPr>
        <w:t xml:space="preserve"> </w:t>
      </w:r>
      <w:r w:rsidR="00522526" w:rsidRPr="4E141F37">
        <w:rPr>
          <w:noProof/>
          <w:lang w:val="en-IE"/>
        </w:rPr>
        <w:t>the</w:t>
      </w:r>
      <w:r w:rsidR="0E7354D5" w:rsidRPr="4E141F37">
        <w:rPr>
          <w:noProof/>
          <w:lang w:val="en-IE"/>
        </w:rPr>
        <w:t xml:space="preserve"> efficiency of procedures</w:t>
      </w:r>
      <w:r w:rsidR="009F61F5" w:rsidRPr="4E141F37">
        <w:rPr>
          <w:noProof/>
          <w:lang w:val="en-IE"/>
        </w:rPr>
        <w:t>,</w:t>
      </w:r>
      <w:r w:rsidR="0E7354D5" w:rsidRPr="4E141F37">
        <w:rPr>
          <w:noProof/>
          <w:lang w:val="en-IE"/>
        </w:rPr>
        <w:t xml:space="preserve"> national competent authorities should also be responsible for ensuring that</w:t>
      </w:r>
      <w:r w:rsidR="00296BCE" w:rsidRPr="4E141F37">
        <w:rPr>
          <w:noProof/>
          <w:lang w:val="en-IE"/>
        </w:rPr>
        <w:t>,</w:t>
      </w:r>
      <w:r w:rsidR="0E7354D5" w:rsidRPr="4E141F37">
        <w:rPr>
          <w:noProof/>
          <w:lang w:val="en-IE"/>
        </w:rPr>
        <w:t xml:space="preserve"> for hybrid transmission and generation projects</w:t>
      </w:r>
      <w:r w:rsidR="001C3BD3" w:rsidRPr="4E141F37">
        <w:rPr>
          <w:noProof/>
          <w:lang w:val="en-IE"/>
        </w:rPr>
        <w:t>,</w:t>
      </w:r>
      <w:r w:rsidR="0E7354D5" w:rsidRPr="4E141F37">
        <w:rPr>
          <w:noProof/>
          <w:lang w:val="en-IE"/>
        </w:rPr>
        <w:t xml:space="preserve"> the </w:t>
      </w:r>
      <w:r w:rsidR="00D20B6D" w:rsidRPr="4E141F37">
        <w:rPr>
          <w:noProof/>
          <w:lang w:val="en-IE"/>
        </w:rPr>
        <w:t xml:space="preserve">timeline for </w:t>
      </w:r>
      <w:r w:rsidR="0E7354D5" w:rsidRPr="4E141F37">
        <w:rPr>
          <w:noProof/>
          <w:lang w:val="en-IE"/>
        </w:rPr>
        <w:t xml:space="preserve">permitting aligns to all assets of the project in a manner that </w:t>
      </w:r>
      <w:r w:rsidR="00A977AF" w:rsidRPr="4E141F37">
        <w:rPr>
          <w:noProof/>
          <w:lang w:val="en-IE"/>
        </w:rPr>
        <w:t xml:space="preserve">expedites </w:t>
      </w:r>
      <w:r w:rsidR="0E7354D5" w:rsidRPr="4E141F37">
        <w:rPr>
          <w:noProof/>
          <w:lang w:val="en-IE"/>
        </w:rPr>
        <w:t xml:space="preserve">the </w:t>
      </w:r>
      <w:r w:rsidR="00B02834" w:rsidRPr="4E141F37">
        <w:rPr>
          <w:noProof/>
          <w:lang w:val="en-IE"/>
        </w:rPr>
        <w:t>permit-granting process</w:t>
      </w:r>
      <w:r w:rsidR="003A0FEC" w:rsidRPr="4E141F37">
        <w:rPr>
          <w:noProof/>
          <w:lang w:val="en-IE"/>
        </w:rPr>
        <w:t xml:space="preserve"> </w:t>
      </w:r>
      <w:r w:rsidR="0E7354D5" w:rsidRPr="4E141F37">
        <w:rPr>
          <w:noProof/>
          <w:lang w:val="en-IE"/>
        </w:rPr>
        <w:t xml:space="preserve">for the generation and transmission assets. </w:t>
      </w:r>
      <w:r w:rsidR="39C13E5C" w:rsidRPr="4E141F37">
        <w:rPr>
          <w:noProof/>
          <w:lang w:val="en-IE"/>
        </w:rPr>
        <w:t xml:space="preserve"> </w:t>
      </w:r>
    </w:p>
    <w:p w14:paraId="0B9E2410" w14:textId="346B4082" w:rsidR="00AA09C0" w:rsidRPr="0044444C" w:rsidRDefault="00C44DD6" w:rsidP="00C44DD6">
      <w:pPr>
        <w:pStyle w:val="ManualConsidrant"/>
        <w:rPr>
          <w:rStyle w:val="CommentReference"/>
          <w:noProof/>
          <w:sz w:val="24"/>
          <w:szCs w:val="24"/>
        </w:rPr>
      </w:pPr>
      <w:bookmarkStart w:id="3" w:name="_Hlk213340662"/>
      <w:r w:rsidRPr="00C44DD6">
        <w:rPr>
          <w:rStyle w:val="CommentReference"/>
          <w:noProof/>
        </w:rPr>
        <w:t>(41)</w:t>
      </w:r>
      <w:r w:rsidRPr="00C44DD6">
        <w:rPr>
          <w:rStyle w:val="CommentReference"/>
          <w:noProof/>
        </w:rPr>
        <w:tab/>
      </w:r>
      <w:r w:rsidR="0E7354D5">
        <w:rPr>
          <w:noProof/>
        </w:rPr>
        <w:t>In order to simplify and expedite the permit</w:t>
      </w:r>
      <w:r w:rsidR="001B4B95">
        <w:rPr>
          <w:noProof/>
        </w:rPr>
        <w:t>-</w:t>
      </w:r>
      <w:r w:rsidR="0E7354D5">
        <w:rPr>
          <w:noProof/>
        </w:rPr>
        <w:t xml:space="preserve">granting process for projects on the Union list </w:t>
      </w:r>
      <w:r w:rsidR="00EF6D72">
        <w:rPr>
          <w:noProof/>
        </w:rPr>
        <w:t xml:space="preserve">located in two </w:t>
      </w:r>
      <w:r w:rsidR="000F3F83">
        <w:rPr>
          <w:noProof/>
        </w:rPr>
        <w:t>or more Member States</w:t>
      </w:r>
      <w:r w:rsidR="0E7354D5">
        <w:rPr>
          <w:noProof/>
        </w:rPr>
        <w:t>, a unique point of contact amongst the national competent authorities should be jointly designated by the Member States concerned. Having a single authority facilitating the process, and issuing the final comprehensive decision, should lighten the administrative burden for project developers and reduce complexity, increase efficiency and speed up the permit</w:t>
      </w:r>
      <w:r w:rsidR="006149F4">
        <w:rPr>
          <w:noProof/>
        </w:rPr>
        <w:t>-</w:t>
      </w:r>
      <w:r w:rsidR="0E7354D5">
        <w:rPr>
          <w:noProof/>
        </w:rPr>
        <w:t xml:space="preserve">granting process, especially </w:t>
      </w:r>
      <w:r w:rsidR="00B549F0">
        <w:rPr>
          <w:noProof/>
        </w:rPr>
        <w:t>where</w:t>
      </w:r>
      <w:r w:rsidR="0E7354D5">
        <w:rPr>
          <w:noProof/>
        </w:rPr>
        <w:t xml:space="preserve"> Member States provide for joint procedures with aligned timelines and assessments.</w:t>
      </w:r>
      <w:r w:rsidR="39C13E5C" w:rsidRPr="4E141F37">
        <w:rPr>
          <w:rStyle w:val="CommentReference"/>
          <w:noProof/>
          <w:sz w:val="24"/>
          <w:szCs w:val="24"/>
        </w:rPr>
        <w:t xml:space="preserve"> </w:t>
      </w:r>
      <w:r w:rsidR="00A475E2" w:rsidRPr="4E141F37">
        <w:rPr>
          <w:rStyle w:val="CommentReference"/>
          <w:noProof/>
          <w:sz w:val="24"/>
          <w:szCs w:val="24"/>
        </w:rPr>
        <w:t xml:space="preserve">To ensure effective cross-border cooperation, the Commission </w:t>
      </w:r>
      <w:r w:rsidR="00A3379D" w:rsidRPr="4E141F37">
        <w:rPr>
          <w:rStyle w:val="CommentReference"/>
          <w:noProof/>
          <w:sz w:val="24"/>
          <w:szCs w:val="24"/>
        </w:rPr>
        <w:t>should</w:t>
      </w:r>
      <w:r w:rsidR="00A475E2" w:rsidRPr="4E141F37">
        <w:rPr>
          <w:rStyle w:val="CommentReference"/>
          <w:noProof/>
          <w:sz w:val="24"/>
          <w:szCs w:val="24"/>
        </w:rPr>
        <w:t xml:space="preserve"> focus on identified interconnection priority projects strengthening the coordination and monitoring of their implementation and permitting. </w:t>
      </w:r>
      <w:r w:rsidR="00B42C11" w:rsidRPr="4E141F37">
        <w:rPr>
          <w:rStyle w:val="CommentReference"/>
          <w:noProof/>
          <w:sz w:val="24"/>
          <w:szCs w:val="24"/>
        </w:rPr>
        <w:t>For that purpose</w:t>
      </w:r>
      <w:r w:rsidR="00A475E2" w:rsidRPr="4E141F37">
        <w:rPr>
          <w:rStyle w:val="CommentReference"/>
          <w:noProof/>
          <w:sz w:val="24"/>
          <w:szCs w:val="24"/>
        </w:rPr>
        <w:t xml:space="preserve">, the Commission </w:t>
      </w:r>
      <w:r w:rsidR="00AC07C7" w:rsidRPr="4E141F37">
        <w:rPr>
          <w:rStyle w:val="CommentReference"/>
          <w:noProof/>
          <w:sz w:val="24"/>
          <w:szCs w:val="24"/>
        </w:rPr>
        <w:t xml:space="preserve">should </w:t>
      </w:r>
      <w:r w:rsidR="00A475E2" w:rsidRPr="4E141F37">
        <w:rPr>
          <w:rStyle w:val="CommentReference"/>
          <w:noProof/>
          <w:sz w:val="24"/>
          <w:szCs w:val="24"/>
        </w:rPr>
        <w:t>support Member States in identifying joint procedures for an effective and efficient permit</w:t>
      </w:r>
      <w:r w:rsidR="006149F4" w:rsidRPr="4E141F37">
        <w:rPr>
          <w:rStyle w:val="CommentReference"/>
          <w:noProof/>
          <w:sz w:val="24"/>
          <w:szCs w:val="24"/>
        </w:rPr>
        <w:t>-</w:t>
      </w:r>
      <w:r w:rsidR="00B42C11" w:rsidRPr="4E141F37">
        <w:rPr>
          <w:rStyle w:val="CommentReference"/>
          <w:noProof/>
          <w:sz w:val="24"/>
          <w:szCs w:val="24"/>
        </w:rPr>
        <w:t>granting process</w:t>
      </w:r>
      <w:r w:rsidR="00DF5DDD" w:rsidRPr="4E141F37">
        <w:rPr>
          <w:rStyle w:val="CommentReference"/>
          <w:noProof/>
          <w:sz w:val="24"/>
          <w:szCs w:val="24"/>
        </w:rPr>
        <w:t>.</w:t>
      </w:r>
    </w:p>
    <w:p w14:paraId="4CDA2D10" w14:textId="6559785C" w:rsidR="006745E0" w:rsidRDefault="00C44DD6" w:rsidP="00C44DD6">
      <w:pPr>
        <w:pStyle w:val="ManualConsidrant"/>
        <w:rPr>
          <w:noProof/>
        </w:rPr>
      </w:pPr>
      <w:r w:rsidRPr="00C44DD6">
        <w:rPr>
          <w:noProof/>
        </w:rPr>
        <w:t>(42)</w:t>
      </w:r>
      <w:r w:rsidRPr="00C44DD6">
        <w:rPr>
          <w:noProof/>
        </w:rPr>
        <w:tab/>
      </w:r>
      <w:r w:rsidR="0044444C">
        <w:rPr>
          <w:noProof/>
        </w:rPr>
        <w:t>Member States should be able to include in comprehensive decisions, where appropriate, decisions taken in the context of negotiations with individual landowners to grant access to, ownership of, or a right to occupy, property in the context of spatial planning, which determines the general land use of a defined region, including other developments such as highways, railways, buildings and nature protection areas and which is not undertaken for the specific purpose of the planned project and granting of operational permits. In the context of the permit</w:t>
      </w:r>
      <w:r w:rsidR="006149F4">
        <w:rPr>
          <w:noProof/>
        </w:rPr>
        <w:t>-</w:t>
      </w:r>
      <w:r w:rsidR="0044444C">
        <w:rPr>
          <w:noProof/>
        </w:rPr>
        <w:t xml:space="preserve">granting process, a project of common interest should be able to include related infrastructure to the extent that it is essential for the construction or functioning of the project. </w:t>
      </w:r>
    </w:p>
    <w:p w14:paraId="68FFA1F1" w14:textId="4864FD62" w:rsidR="0044444C" w:rsidRDefault="00C44DD6" w:rsidP="00C44DD6">
      <w:pPr>
        <w:pStyle w:val="ManualConsidrant"/>
        <w:rPr>
          <w:noProof/>
        </w:rPr>
      </w:pPr>
      <w:r w:rsidRPr="00C44DD6">
        <w:rPr>
          <w:noProof/>
        </w:rPr>
        <w:t>(43)</w:t>
      </w:r>
      <w:r w:rsidRPr="00C44DD6">
        <w:rPr>
          <w:noProof/>
        </w:rPr>
        <w:tab/>
      </w:r>
      <w:r w:rsidR="0044444C" w:rsidRPr="000E34D5">
        <w:rPr>
          <w:noProof/>
        </w:rPr>
        <w:t>This Regulation, in particular the provisions on permit</w:t>
      </w:r>
      <w:r w:rsidR="006149F4">
        <w:rPr>
          <w:noProof/>
        </w:rPr>
        <w:t>-</w:t>
      </w:r>
      <w:r w:rsidR="0044444C" w:rsidRPr="000E34D5">
        <w:rPr>
          <w:noProof/>
        </w:rPr>
        <w:t>granting, public participation and the implementation of projects of common interest, should apply without prejudice to Union and international law, including provisions to protect the environment and human health, and provisions adopted under the Common Fisheries Policy and Integrated Maritime Policy, in particular Directive 2014/89/EU of the European Parliament and of the</w:t>
      </w:r>
      <w:r w:rsidR="0044444C" w:rsidRPr="00AC7864">
        <w:rPr>
          <w:noProof/>
        </w:rPr>
        <w:t xml:space="preserve"> Council</w:t>
      </w:r>
      <w:r w:rsidR="0044444C">
        <w:rPr>
          <w:rStyle w:val="FootnoteReference"/>
          <w:noProof/>
        </w:rPr>
        <w:footnoteReference w:id="57"/>
      </w:r>
      <w:r w:rsidR="0044444C">
        <w:rPr>
          <w:noProof/>
        </w:rPr>
        <w:t>.</w:t>
      </w:r>
    </w:p>
    <w:bookmarkEnd w:id="3"/>
    <w:p w14:paraId="31F4804E" w14:textId="1D00F288" w:rsidR="00AA09C0" w:rsidRPr="002A75D5" w:rsidRDefault="00C44DD6" w:rsidP="00C44DD6">
      <w:pPr>
        <w:pStyle w:val="ManualConsidrant"/>
        <w:rPr>
          <w:rStyle w:val="CommentReference"/>
          <w:noProof/>
          <w:sz w:val="24"/>
          <w:szCs w:val="24"/>
        </w:rPr>
      </w:pPr>
      <w:r w:rsidRPr="00C44DD6">
        <w:rPr>
          <w:rStyle w:val="CommentReference"/>
          <w:noProof/>
        </w:rPr>
        <w:t>(44)</w:t>
      </w:r>
      <w:r w:rsidRPr="00C44DD6">
        <w:rPr>
          <w:rStyle w:val="CommentReference"/>
          <w:noProof/>
        </w:rPr>
        <w:tab/>
      </w:r>
      <w:r w:rsidR="0E7354D5">
        <w:rPr>
          <w:noProof/>
        </w:rPr>
        <w:t xml:space="preserve">It is essential that stakeholders, including civil society, </w:t>
      </w:r>
      <w:r w:rsidR="00D218C4">
        <w:rPr>
          <w:noProof/>
        </w:rPr>
        <w:t>are</w:t>
      </w:r>
      <w:r w:rsidR="0E7354D5">
        <w:rPr>
          <w:noProof/>
        </w:rPr>
        <w:t xml:space="preserve"> provided with information and </w:t>
      </w:r>
      <w:r w:rsidR="00D218C4">
        <w:rPr>
          <w:noProof/>
        </w:rPr>
        <w:t>are</w:t>
      </w:r>
      <w:r w:rsidR="0E7354D5">
        <w:rPr>
          <w:noProof/>
        </w:rPr>
        <w:t xml:space="preserve"> consulted, in order to ensure the success of projects and to limit objections to them.</w:t>
      </w:r>
      <w:r w:rsidR="741C33DF">
        <w:rPr>
          <w:noProof/>
        </w:rPr>
        <w:t xml:space="preserve"> </w:t>
      </w:r>
      <w:r w:rsidR="0E7354D5">
        <w:rPr>
          <w:noProof/>
        </w:rPr>
        <w:t xml:space="preserve">Despite the existence of established standards ensuring the participation of the public in environmental decision-making procedures, which apply fully to projects of common interest, additional measures </w:t>
      </w:r>
      <w:r w:rsidR="00730F64">
        <w:rPr>
          <w:noProof/>
        </w:rPr>
        <w:t>should be</w:t>
      </w:r>
      <w:r w:rsidR="0E7354D5">
        <w:rPr>
          <w:noProof/>
        </w:rPr>
        <w:t xml:space="preserve"> required to ensure the highest possible standards of transparency and public participation in all relevant issues in the permit</w:t>
      </w:r>
      <w:r w:rsidR="006149F4">
        <w:rPr>
          <w:noProof/>
        </w:rPr>
        <w:t>-</w:t>
      </w:r>
      <w:r w:rsidR="0E7354D5">
        <w:rPr>
          <w:noProof/>
        </w:rPr>
        <w:t xml:space="preserve">granting process for projects of common interest. Where already covered by national rules under the same or higher standards as in this Regulation, the pre-consultation ahead of the </w:t>
      </w:r>
      <w:r w:rsidR="008D6725">
        <w:rPr>
          <w:noProof/>
        </w:rPr>
        <w:t xml:space="preserve">permit-granting </w:t>
      </w:r>
      <w:r w:rsidR="0E7354D5">
        <w:rPr>
          <w:noProof/>
        </w:rPr>
        <w:t>proce</w:t>
      </w:r>
      <w:r w:rsidR="004566BF">
        <w:rPr>
          <w:noProof/>
        </w:rPr>
        <w:t>ss</w:t>
      </w:r>
      <w:r w:rsidR="0E7354D5">
        <w:rPr>
          <w:noProof/>
        </w:rPr>
        <w:t xml:space="preserve"> should be optional and duplication of legal requirements</w:t>
      </w:r>
      <w:r w:rsidR="00530C30">
        <w:rPr>
          <w:noProof/>
        </w:rPr>
        <w:t xml:space="preserve"> should be avoided</w:t>
      </w:r>
      <w:r w:rsidR="0E7354D5">
        <w:rPr>
          <w:noProof/>
        </w:rPr>
        <w:t>.</w:t>
      </w:r>
      <w:r w:rsidR="39C13E5C" w:rsidRPr="4E141F37">
        <w:rPr>
          <w:rStyle w:val="CommentReference"/>
          <w:noProof/>
          <w:sz w:val="24"/>
          <w:szCs w:val="24"/>
        </w:rPr>
        <w:t xml:space="preserve"> </w:t>
      </w:r>
    </w:p>
    <w:p w14:paraId="0BEAFD71" w14:textId="14305386" w:rsidR="00AA09C0" w:rsidRDefault="00C44DD6" w:rsidP="00C44DD6">
      <w:pPr>
        <w:pStyle w:val="ManualConsidrant"/>
        <w:rPr>
          <w:noProof/>
        </w:rPr>
      </w:pPr>
      <w:r w:rsidRPr="00C44DD6">
        <w:rPr>
          <w:noProof/>
        </w:rPr>
        <w:t>(45)</w:t>
      </w:r>
      <w:r w:rsidRPr="00C44DD6">
        <w:rPr>
          <w:noProof/>
        </w:rPr>
        <w:tab/>
      </w:r>
      <w:r w:rsidR="0E7354D5" w:rsidRPr="00B80625">
        <w:rPr>
          <w:noProof/>
        </w:rPr>
        <w:t>The correct and coordinated implementation of Directives 2001/42/EC</w:t>
      </w:r>
      <w:r w:rsidR="3F709DD6" w:rsidRPr="000E34D5">
        <w:rPr>
          <w:noProof/>
        </w:rPr>
        <w:t xml:space="preserve"> </w:t>
      </w:r>
      <w:r w:rsidR="0E7354D5" w:rsidRPr="000E34D5">
        <w:rPr>
          <w:noProof/>
        </w:rPr>
        <w:t>and 2011/92/EU</w:t>
      </w:r>
      <w:r w:rsidR="0E7354D5" w:rsidRPr="002A75D5">
        <w:rPr>
          <w:noProof/>
        </w:rPr>
        <w:t xml:space="preserve"> </w:t>
      </w:r>
      <w:r w:rsidR="0E7354D5" w:rsidRPr="000E34D5">
        <w:rPr>
          <w:noProof/>
        </w:rPr>
        <w:t>and</w:t>
      </w:r>
      <w:r w:rsidR="001256B1">
        <w:rPr>
          <w:noProof/>
        </w:rPr>
        <w:t>,</w:t>
      </w:r>
      <w:r w:rsidR="0E7354D5" w:rsidRPr="000E34D5">
        <w:rPr>
          <w:noProof/>
        </w:rPr>
        <w:t xml:space="preserve"> where applicable, of the United Nations Economic Commission for Europe Convention on access to information, public participation in decision-making and access to justice in environmental matters</w:t>
      </w:r>
      <w:r w:rsidR="008C1133">
        <w:rPr>
          <w:rStyle w:val="FootnoteReference"/>
          <w:noProof/>
        </w:rPr>
        <w:footnoteReference w:id="58"/>
      </w:r>
      <w:r w:rsidR="0E7354D5" w:rsidRPr="002A75D5">
        <w:rPr>
          <w:noProof/>
        </w:rPr>
        <w:t>, signed in Aarhus on 25 June 1998 (the ‘Aarhus Convention’), and of the Convention on environmental impact assessment in a transboundary context</w:t>
      </w:r>
      <w:r w:rsidR="000F1652">
        <w:rPr>
          <w:rStyle w:val="FootnoteReference"/>
          <w:noProof/>
        </w:rPr>
        <w:footnoteReference w:id="59"/>
      </w:r>
      <w:r w:rsidR="0E7354D5" w:rsidRPr="002A75D5">
        <w:rPr>
          <w:noProof/>
        </w:rPr>
        <w:t xml:space="preserve">, </w:t>
      </w:r>
      <w:r w:rsidR="0E7354D5" w:rsidRPr="000E34D5">
        <w:rPr>
          <w:noProof/>
        </w:rPr>
        <w:t xml:space="preserve">signed in Espoo on 25 February 1991 (the ‘Espoo Convention’), should ensure the harmonisation of the main principles for the assessment of environmental and climate effects, including in a cross-border context. The Commission has issued guidance to support Member States to streamline the environmental assessment procedures for energy infrastructure and to ensure the coherent application of environmental assessment procedures required under Union law for projects of common interest. </w:t>
      </w:r>
    </w:p>
    <w:p w14:paraId="51098801" w14:textId="12279949" w:rsidR="00AA09C0" w:rsidRPr="002A75D5" w:rsidRDefault="00C44DD6" w:rsidP="00C44DD6">
      <w:pPr>
        <w:pStyle w:val="ManualConsidrant"/>
        <w:rPr>
          <w:noProof/>
        </w:rPr>
      </w:pPr>
      <w:r w:rsidRPr="00C44DD6">
        <w:rPr>
          <w:noProof/>
        </w:rPr>
        <w:t>(46)</w:t>
      </w:r>
      <w:r w:rsidRPr="00C44DD6">
        <w:rPr>
          <w:noProof/>
        </w:rPr>
        <w:tab/>
      </w:r>
      <w:r w:rsidR="0E7354D5">
        <w:rPr>
          <w:noProof/>
        </w:rPr>
        <w:t>It is important to streamline and improve the permit</w:t>
      </w:r>
      <w:r w:rsidR="006149F4">
        <w:rPr>
          <w:noProof/>
        </w:rPr>
        <w:t>-</w:t>
      </w:r>
      <w:r w:rsidR="0E7354D5">
        <w:rPr>
          <w:noProof/>
        </w:rPr>
        <w:t>granting process, while respecting, to the extent possible and with due regard to the principle of subsidiarity, national competences and procedures for the construction of new energy infrastructure. Given the urgency of developing energy infrastructures, the simplification of the permit</w:t>
      </w:r>
      <w:r w:rsidR="006149F4">
        <w:rPr>
          <w:noProof/>
        </w:rPr>
        <w:t>-</w:t>
      </w:r>
      <w:r w:rsidR="0E7354D5">
        <w:rPr>
          <w:noProof/>
        </w:rPr>
        <w:t>granting process should set a clear time limit for the decision of the relevant authorities regarding the construction of the project. That time limit should stimulate an efficient definition and handling of procedures. This Regulation should establish maximum time limits. However, Member States can strive to achieve shorter time limits where feasible, in particular, as regards projects such as smart grids, which may not require as complex a permit</w:t>
      </w:r>
      <w:r w:rsidR="00490F31">
        <w:rPr>
          <w:noProof/>
        </w:rPr>
        <w:t>-</w:t>
      </w:r>
      <w:r w:rsidR="00BF24A9">
        <w:rPr>
          <w:noProof/>
        </w:rPr>
        <w:t>gran</w:t>
      </w:r>
      <w:r w:rsidR="0E7354D5">
        <w:rPr>
          <w:noProof/>
        </w:rPr>
        <w:t xml:space="preserve">ting process as </w:t>
      </w:r>
      <w:r w:rsidR="00271FE9">
        <w:rPr>
          <w:noProof/>
        </w:rPr>
        <w:t xml:space="preserve">the one for </w:t>
      </w:r>
      <w:r w:rsidR="0E7354D5">
        <w:rPr>
          <w:noProof/>
        </w:rPr>
        <w:t>transmission infrastructure.</w:t>
      </w:r>
    </w:p>
    <w:p w14:paraId="75B371CA" w14:textId="6EDF936C" w:rsidR="00AA09C0" w:rsidRPr="008E03D3" w:rsidRDefault="00C44DD6" w:rsidP="00C44DD6">
      <w:pPr>
        <w:pStyle w:val="ManualConsidrant"/>
        <w:rPr>
          <w:noProof/>
        </w:rPr>
      </w:pPr>
      <w:r w:rsidRPr="00C44DD6">
        <w:rPr>
          <w:noProof/>
        </w:rPr>
        <w:t>(47)</w:t>
      </w:r>
      <w:r w:rsidRPr="00C44DD6">
        <w:rPr>
          <w:noProof/>
        </w:rPr>
        <w:tab/>
      </w:r>
      <w:r w:rsidR="1EE6A729">
        <w:rPr>
          <w:noProof/>
        </w:rPr>
        <w:t>The</w:t>
      </w:r>
      <w:r w:rsidR="10442ACF">
        <w:rPr>
          <w:noProof/>
        </w:rPr>
        <w:t xml:space="preserve"> </w:t>
      </w:r>
      <w:r w:rsidR="1EE6A729">
        <w:rPr>
          <w:noProof/>
        </w:rPr>
        <w:t>lack of resources of permit</w:t>
      </w:r>
      <w:r w:rsidR="00D770F0">
        <w:rPr>
          <w:noProof/>
        </w:rPr>
        <w:t>-granting</w:t>
      </w:r>
      <w:r w:rsidR="1EE6A729">
        <w:rPr>
          <w:noProof/>
        </w:rPr>
        <w:t> authorities and the</w:t>
      </w:r>
      <w:r w:rsidR="10442ACF">
        <w:rPr>
          <w:noProof/>
        </w:rPr>
        <w:t xml:space="preserve"> </w:t>
      </w:r>
      <w:r w:rsidR="1EE6A729">
        <w:rPr>
          <w:noProof/>
        </w:rPr>
        <w:t>lack of digitalisation of permit</w:t>
      </w:r>
      <w:r w:rsidR="00490F31">
        <w:rPr>
          <w:noProof/>
        </w:rPr>
        <w:t>-</w:t>
      </w:r>
      <w:r w:rsidR="00BF24A9">
        <w:rPr>
          <w:noProof/>
        </w:rPr>
        <w:t>gran</w:t>
      </w:r>
      <w:r w:rsidR="1EE6A729">
        <w:rPr>
          <w:noProof/>
        </w:rPr>
        <w:t>ting processes and data availability are bottlenecks slowing down permit</w:t>
      </w:r>
      <w:r w:rsidR="00490F31">
        <w:rPr>
          <w:noProof/>
        </w:rPr>
        <w:t>-</w:t>
      </w:r>
      <w:r w:rsidR="00BF24A9">
        <w:rPr>
          <w:noProof/>
        </w:rPr>
        <w:t>gran</w:t>
      </w:r>
      <w:r w:rsidR="1EE6A729">
        <w:rPr>
          <w:noProof/>
        </w:rPr>
        <w:t>ting</w:t>
      </w:r>
      <w:r w:rsidR="00BF24A9">
        <w:rPr>
          <w:noProof/>
        </w:rPr>
        <w:t xml:space="preserve"> process</w:t>
      </w:r>
      <w:r w:rsidR="004F4210">
        <w:rPr>
          <w:noProof/>
        </w:rPr>
        <w:t>es</w:t>
      </w:r>
      <w:r w:rsidR="1EE6A729">
        <w:rPr>
          <w:noProof/>
        </w:rPr>
        <w:t>. Digitalisation and an appropriate use of artificial intelligen</w:t>
      </w:r>
      <w:r w:rsidR="00965315">
        <w:rPr>
          <w:noProof/>
        </w:rPr>
        <w:t>ce</w:t>
      </w:r>
      <w:r w:rsidR="1EE6A729">
        <w:rPr>
          <w:noProof/>
        </w:rPr>
        <w:t xml:space="preserve"> features are expected to speed up procedures and to increase efficiency of processes by allowing for faster handling of applications and increase transparency through improved access to information on procedural steps and requirements. However, digitalisation of permit-granting </w:t>
      </w:r>
      <w:r w:rsidR="00BD5F18">
        <w:rPr>
          <w:noProof/>
        </w:rPr>
        <w:t>processes </w:t>
      </w:r>
      <w:r w:rsidR="1EE6A729">
        <w:rPr>
          <w:noProof/>
        </w:rPr>
        <w:t xml:space="preserve">is lagging behind, with data often scattered across different competent authorities without unified digital processes or platforms, and without interoperability being ensured. </w:t>
      </w:r>
      <w:r w:rsidR="009D737D">
        <w:rPr>
          <w:noProof/>
        </w:rPr>
        <w:t>That</w:t>
      </w:r>
      <w:r w:rsidR="1EE6A729">
        <w:rPr>
          <w:noProof/>
        </w:rPr>
        <w:t xml:space="preserve"> leads to lack of clarity on the status of the applications and </w:t>
      </w:r>
      <w:r w:rsidR="005667A9">
        <w:rPr>
          <w:noProof/>
        </w:rPr>
        <w:t>hindering</w:t>
      </w:r>
      <w:r w:rsidR="004A27E2">
        <w:rPr>
          <w:noProof/>
        </w:rPr>
        <w:t xml:space="preserve"> the identification of</w:t>
      </w:r>
      <w:r w:rsidR="1EE6A729">
        <w:rPr>
          <w:noProof/>
        </w:rPr>
        <w:t xml:space="preserve"> bottlenecks. </w:t>
      </w:r>
      <w:r w:rsidR="00E401A8">
        <w:rPr>
          <w:noProof/>
        </w:rPr>
        <w:t xml:space="preserve">Therefore, </w:t>
      </w:r>
      <w:r w:rsidR="1EE6A729">
        <w:rPr>
          <w:noProof/>
        </w:rPr>
        <w:t xml:space="preserve">Member States should set up a </w:t>
      </w:r>
      <w:r w:rsidR="140AEEC2">
        <w:rPr>
          <w:noProof/>
        </w:rPr>
        <w:t>digital platform</w:t>
      </w:r>
      <w:r w:rsidR="1EE6A729">
        <w:rPr>
          <w:noProof/>
        </w:rPr>
        <w:t xml:space="preserve"> at national level for all the steps of the permit-granting </w:t>
      </w:r>
      <w:r w:rsidR="00535973">
        <w:rPr>
          <w:noProof/>
        </w:rPr>
        <w:t xml:space="preserve">processes </w:t>
      </w:r>
      <w:r w:rsidR="1EE6A729">
        <w:rPr>
          <w:noProof/>
        </w:rPr>
        <w:t xml:space="preserve">for renewable energy, storage and grid projects so that the digitalisation of procedures is uniform, interoperable and transparent maximising its benefits in terms of speeding up </w:t>
      </w:r>
      <w:r w:rsidR="00F12191">
        <w:rPr>
          <w:noProof/>
        </w:rPr>
        <w:t xml:space="preserve">the </w:t>
      </w:r>
      <w:r w:rsidR="1EE6A729">
        <w:rPr>
          <w:noProof/>
        </w:rPr>
        <w:t>permit</w:t>
      </w:r>
      <w:r w:rsidR="00F12191">
        <w:rPr>
          <w:noProof/>
        </w:rPr>
        <w:t>-granting process</w:t>
      </w:r>
      <w:r w:rsidR="1EE6A729">
        <w:rPr>
          <w:noProof/>
        </w:rPr>
        <w:t>. Such platform</w:t>
      </w:r>
      <w:r w:rsidR="009265D3">
        <w:rPr>
          <w:noProof/>
        </w:rPr>
        <w:t>s</w:t>
      </w:r>
      <w:r w:rsidR="1EE6A729">
        <w:rPr>
          <w:noProof/>
        </w:rPr>
        <w:t xml:space="preserve"> should enable </w:t>
      </w:r>
      <w:r w:rsidR="003A7B0B">
        <w:rPr>
          <w:noProof/>
        </w:rPr>
        <w:t>project</w:t>
      </w:r>
      <w:r w:rsidR="1EE6A729">
        <w:rPr>
          <w:noProof/>
        </w:rPr>
        <w:t xml:space="preserve"> promoters to file applications and check their status, attribute them to the competent authorities, and allow authorities to process them by having access to all relevant data and information</w:t>
      </w:r>
      <w:r w:rsidR="60379EAC">
        <w:rPr>
          <w:noProof/>
        </w:rPr>
        <w:t>,</w:t>
      </w:r>
      <w:r w:rsidR="1EE6A729">
        <w:rPr>
          <w:noProof/>
        </w:rPr>
        <w:t xml:space="preserve"> without the need for intermediate paper-based steps. In addition, such platform should allow for the extraction of statistics on the overall progress of permit</w:t>
      </w:r>
      <w:r w:rsidR="001542CC">
        <w:rPr>
          <w:noProof/>
        </w:rPr>
        <w:t>-granting</w:t>
      </w:r>
      <w:r w:rsidR="1EE6A729">
        <w:rPr>
          <w:noProof/>
        </w:rPr>
        <w:t xml:space="preserve"> processes in Member States. </w:t>
      </w:r>
      <w:r w:rsidR="00273A73">
        <w:rPr>
          <w:noProof/>
        </w:rPr>
        <w:t>Such digital platforms should rely on secure and interoperable means provided through European Digital Identity Wallets, in compliance with the requirements of Regulation (EU) No 910/2014, for natural persons and, in the future, with European Business Wallets, in compliance wit</w:t>
      </w:r>
      <w:r w:rsidR="00273A73" w:rsidRPr="009748C4">
        <w:rPr>
          <w:noProof/>
        </w:rPr>
        <w:t>h [Regulation (EU) No XXX/20YY],</w:t>
      </w:r>
      <w:r w:rsidR="00273A73">
        <w:rPr>
          <w:noProof/>
        </w:rPr>
        <w:t xml:space="preserve"> for legal persons, for enabling electronic identification and authentication, signing or sealing of documents, submission of documents and sending or receiving notifications between competent authorities and economic operators  </w:t>
      </w:r>
    </w:p>
    <w:p w14:paraId="00215403" w14:textId="12CD73C9" w:rsidR="00AA09C0" w:rsidRPr="000E34D5" w:rsidRDefault="00C44DD6" w:rsidP="00C44DD6">
      <w:pPr>
        <w:pStyle w:val="ManualConsidrant"/>
        <w:rPr>
          <w:noProof/>
        </w:rPr>
      </w:pPr>
      <w:r w:rsidRPr="00C44DD6">
        <w:rPr>
          <w:noProof/>
        </w:rPr>
        <w:t>(48)</w:t>
      </w:r>
      <w:r w:rsidRPr="00C44DD6">
        <w:rPr>
          <w:noProof/>
        </w:rPr>
        <w:tab/>
      </w:r>
      <w:r w:rsidR="0E7354D5">
        <w:rPr>
          <w:noProof/>
        </w:rPr>
        <w:t xml:space="preserve">The competent authorities should be responsible for ensuring compliance with the time limits established in this Regulation. Further, in line with the urgency </w:t>
      </w:r>
      <w:r w:rsidR="08A82CC8">
        <w:rPr>
          <w:noProof/>
        </w:rPr>
        <w:t>t</w:t>
      </w:r>
      <w:r w:rsidR="0E7354D5">
        <w:rPr>
          <w:noProof/>
        </w:rPr>
        <w:t xml:space="preserve">o deploy energy infrastructures, and the strategic importance of projects of common interest and projects of mutual interest to achieve the Union’s energy and climate goals and to the extent that the concept of tacit approval exists under national law, Member States should ensure that the lack of a reply by the national competent authorities within the deadline </w:t>
      </w:r>
      <w:r w:rsidR="004D082F">
        <w:rPr>
          <w:noProof/>
        </w:rPr>
        <w:t xml:space="preserve">set out in </w:t>
      </w:r>
      <w:r w:rsidR="0E7354D5">
        <w:rPr>
          <w:noProof/>
        </w:rPr>
        <w:t xml:space="preserve">this Regulation, or a lack of a reply by an authority concerned </w:t>
      </w:r>
      <w:r w:rsidR="004D082F">
        <w:rPr>
          <w:noProof/>
        </w:rPr>
        <w:t xml:space="preserve">within </w:t>
      </w:r>
      <w:r w:rsidR="0E7354D5">
        <w:rPr>
          <w:noProof/>
        </w:rPr>
        <w:t>the deadline established by the national competent authority, leads to the specific opinion, authorisation or permit being tacitly approved or answered positively</w:t>
      </w:r>
      <w:r w:rsidR="000660B3">
        <w:rPr>
          <w:noProof/>
        </w:rPr>
        <w:t xml:space="preserve">, with the exception of </w:t>
      </w:r>
      <w:r w:rsidR="2985AC84">
        <w:rPr>
          <w:noProof/>
        </w:rPr>
        <w:t xml:space="preserve">environmental </w:t>
      </w:r>
      <w:r w:rsidR="000660B3">
        <w:rPr>
          <w:noProof/>
        </w:rPr>
        <w:t>decisions,</w:t>
      </w:r>
      <w:r w:rsidR="0E7354D5">
        <w:rPr>
          <w:noProof/>
        </w:rPr>
        <w:t xml:space="preserve"> and that such conclusion is made public. </w:t>
      </w:r>
    </w:p>
    <w:p w14:paraId="19A0B3DC" w14:textId="289FBAC9" w:rsidR="00AA09C0" w:rsidRPr="000E34D5" w:rsidRDefault="00C44DD6" w:rsidP="00C44DD6">
      <w:pPr>
        <w:pStyle w:val="ManualConsidrant"/>
        <w:rPr>
          <w:noProof/>
        </w:rPr>
      </w:pPr>
      <w:r w:rsidRPr="00C44DD6">
        <w:rPr>
          <w:noProof/>
        </w:rPr>
        <w:t>(49)</w:t>
      </w:r>
      <w:r w:rsidRPr="00C44DD6">
        <w:rPr>
          <w:noProof/>
        </w:rPr>
        <w:tab/>
      </w:r>
      <w:r w:rsidR="0E7354D5">
        <w:rPr>
          <w:noProof/>
        </w:rPr>
        <w:t>The permit</w:t>
      </w:r>
      <w:r w:rsidR="002A25A0">
        <w:rPr>
          <w:noProof/>
        </w:rPr>
        <w:t>-</w:t>
      </w:r>
      <w:r w:rsidR="0E7354D5">
        <w:rPr>
          <w:noProof/>
        </w:rPr>
        <w:t xml:space="preserve">granting process should </w:t>
      </w:r>
      <w:r w:rsidR="00444B53">
        <w:rPr>
          <w:noProof/>
        </w:rPr>
        <w:t>provide for</w:t>
      </w:r>
      <w:r w:rsidR="0E7354D5">
        <w:rPr>
          <w:noProof/>
        </w:rPr>
        <w:t xml:space="preserve"> two </w:t>
      </w:r>
      <w:r w:rsidR="00B00D01">
        <w:rPr>
          <w:noProof/>
        </w:rPr>
        <w:t>procedures</w:t>
      </w:r>
      <w:r w:rsidR="0E7354D5">
        <w:rPr>
          <w:noProof/>
        </w:rPr>
        <w:t xml:space="preserve">, </w:t>
      </w:r>
      <w:r w:rsidR="1286764E">
        <w:rPr>
          <w:noProof/>
        </w:rPr>
        <w:t>namely</w:t>
      </w:r>
      <w:r w:rsidR="0E7354D5">
        <w:rPr>
          <w:noProof/>
        </w:rPr>
        <w:t xml:space="preserve"> the optional pre-application </w:t>
      </w:r>
      <w:r w:rsidR="00867955">
        <w:rPr>
          <w:noProof/>
        </w:rPr>
        <w:t xml:space="preserve">procedure </w:t>
      </w:r>
      <w:r w:rsidR="0E7354D5">
        <w:rPr>
          <w:noProof/>
        </w:rPr>
        <w:t>where the work towards a complete application file is delivered and accepted by the national competent authority, and the mandatory statutory permit</w:t>
      </w:r>
      <w:r w:rsidR="003C65D2">
        <w:rPr>
          <w:noProof/>
        </w:rPr>
        <w:t>-</w:t>
      </w:r>
      <w:r w:rsidR="0E7354D5">
        <w:rPr>
          <w:noProof/>
        </w:rPr>
        <w:t xml:space="preserve">granting </w:t>
      </w:r>
      <w:r w:rsidR="00867955">
        <w:rPr>
          <w:noProof/>
        </w:rPr>
        <w:t xml:space="preserve">procedure </w:t>
      </w:r>
      <w:r w:rsidR="0E7354D5">
        <w:rPr>
          <w:noProof/>
        </w:rPr>
        <w:t>between the acceptance of the file and the moment the authorities render a comprehensive decision. Within the pre-application phase national competent authorities should carry out a series of tasks.</w:t>
      </w:r>
      <w:r w:rsidR="43B1BB3B">
        <w:rPr>
          <w:noProof/>
        </w:rPr>
        <w:t xml:space="preserve"> </w:t>
      </w:r>
      <w:r w:rsidR="0E7354D5">
        <w:rPr>
          <w:noProof/>
        </w:rPr>
        <w:t xml:space="preserve">They should screen the project and notify the project promoter of what authorisations, studies, permits and assessments are required to complete </w:t>
      </w:r>
      <w:r w:rsidR="008C080C">
        <w:rPr>
          <w:noProof/>
        </w:rPr>
        <w:t xml:space="preserve">the </w:t>
      </w:r>
      <w:r w:rsidR="0E7354D5">
        <w:rPr>
          <w:noProof/>
        </w:rPr>
        <w:t>permit</w:t>
      </w:r>
      <w:r w:rsidR="002A25A0">
        <w:rPr>
          <w:noProof/>
        </w:rPr>
        <w:t>-</w:t>
      </w:r>
      <w:r w:rsidR="0E7354D5">
        <w:rPr>
          <w:noProof/>
        </w:rPr>
        <w:t xml:space="preserve">granting process, including the environmental assessments and mitigation or compensation measures that should be deployed. They should define the scope and level of detail of the documentation identified in the screening conclusions, making sure that no subsequent documentation is to be requested from the </w:t>
      </w:r>
      <w:r w:rsidR="003676DF">
        <w:rPr>
          <w:noProof/>
        </w:rPr>
        <w:t xml:space="preserve">project </w:t>
      </w:r>
      <w:r w:rsidR="0E7354D5">
        <w:rPr>
          <w:noProof/>
        </w:rPr>
        <w:t>promoter save for where a material change has occurred to the project or its surrounding environment that renders the conditions and assumptions used to determine the scope non-applicable. They should draw up a detailed schedule for the permit</w:t>
      </w:r>
      <w:r w:rsidR="00B95351">
        <w:rPr>
          <w:noProof/>
        </w:rPr>
        <w:t>-</w:t>
      </w:r>
      <w:r w:rsidR="0E7354D5">
        <w:rPr>
          <w:noProof/>
        </w:rPr>
        <w:t xml:space="preserve">granting process. After receiving the draft application file, including all the preparatory documents, they should decide whether the file is deemed complete or requires the missing information in </w:t>
      </w:r>
      <w:r w:rsidR="00BF24A9">
        <w:rPr>
          <w:noProof/>
        </w:rPr>
        <w:t>accordance</w:t>
      </w:r>
      <w:r w:rsidR="0E7354D5">
        <w:rPr>
          <w:noProof/>
        </w:rPr>
        <w:t xml:space="preserve"> with what was identified at the </w:t>
      </w:r>
      <w:r w:rsidR="00F76D51">
        <w:rPr>
          <w:noProof/>
        </w:rPr>
        <w:t>pre-application</w:t>
      </w:r>
      <w:r w:rsidR="0E7354D5">
        <w:rPr>
          <w:noProof/>
        </w:rPr>
        <w:t xml:space="preserve"> </w:t>
      </w:r>
      <w:r w:rsidR="00867955">
        <w:rPr>
          <w:noProof/>
        </w:rPr>
        <w:t>procedure</w:t>
      </w:r>
      <w:r w:rsidR="0E7354D5">
        <w:rPr>
          <w:noProof/>
        </w:rPr>
        <w:t>.</w:t>
      </w:r>
    </w:p>
    <w:p w14:paraId="4520BE50" w14:textId="1ED9E7D6" w:rsidR="00AA09C0" w:rsidRPr="000E34D5" w:rsidRDefault="00C44DD6" w:rsidP="00C44DD6">
      <w:pPr>
        <w:pStyle w:val="ManualConsidrant"/>
        <w:rPr>
          <w:noProof/>
        </w:rPr>
      </w:pPr>
      <w:r w:rsidRPr="00C44DD6">
        <w:rPr>
          <w:noProof/>
        </w:rPr>
        <w:t>(50)</w:t>
      </w:r>
      <w:r w:rsidRPr="00C44DD6">
        <w:rPr>
          <w:noProof/>
        </w:rPr>
        <w:tab/>
      </w:r>
      <w:r w:rsidR="0E7354D5">
        <w:rPr>
          <w:noProof/>
        </w:rPr>
        <w:t>Where it is considered efficient, the national competent authorities may design the permitting requirements for the permit</w:t>
      </w:r>
      <w:r w:rsidR="00B95351">
        <w:rPr>
          <w:noProof/>
        </w:rPr>
        <w:t>-</w:t>
      </w:r>
      <w:r w:rsidR="00BF24A9">
        <w:rPr>
          <w:noProof/>
        </w:rPr>
        <w:t>gran</w:t>
      </w:r>
      <w:r w:rsidR="0E7354D5">
        <w:rPr>
          <w:noProof/>
        </w:rPr>
        <w:t>ting process and public consultations of a certain project to take place</w:t>
      </w:r>
      <w:r w:rsidR="058DEBA3">
        <w:rPr>
          <w:noProof/>
        </w:rPr>
        <w:t xml:space="preserve"> </w:t>
      </w:r>
      <w:r w:rsidR="0E7354D5">
        <w:rPr>
          <w:noProof/>
        </w:rPr>
        <w:t>in phases, provided the permit</w:t>
      </w:r>
      <w:r w:rsidR="00B95351">
        <w:rPr>
          <w:noProof/>
        </w:rPr>
        <w:t>-</w:t>
      </w:r>
      <w:r w:rsidR="00BF24A9">
        <w:rPr>
          <w:noProof/>
        </w:rPr>
        <w:t>gran</w:t>
      </w:r>
      <w:r w:rsidR="0E7354D5">
        <w:rPr>
          <w:noProof/>
        </w:rPr>
        <w:t>ting process is simplified and accelerated.</w:t>
      </w:r>
    </w:p>
    <w:p w14:paraId="1431DE89" w14:textId="2585F377" w:rsidR="00AA09C0" w:rsidRDefault="00C44DD6" w:rsidP="00C44DD6">
      <w:pPr>
        <w:pStyle w:val="ManualConsidrant"/>
        <w:rPr>
          <w:noProof/>
        </w:rPr>
      </w:pPr>
      <w:r w:rsidRPr="00C44DD6">
        <w:rPr>
          <w:noProof/>
        </w:rPr>
        <w:t>(51)</w:t>
      </w:r>
      <w:r w:rsidRPr="00C44DD6">
        <w:rPr>
          <w:noProof/>
        </w:rPr>
        <w:tab/>
      </w:r>
      <w:r w:rsidR="0E7354D5">
        <w:rPr>
          <w:noProof/>
        </w:rPr>
        <w:t xml:space="preserve">This Regulation should apply only to the granting of permits for projects of common interest and projects of mutual interest, public participation therein and </w:t>
      </w:r>
      <w:r w:rsidR="003845FB">
        <w:rPr>
          <w:noProof/>
        </w:rPr>
        <w:t xml:space="preserve">the </w:t>
      </w:r>
      <w:r w:rsidR="0E7354D5">
        <w:rPr>
          <w:noProof/>
        </w:rPr>
        <w:t>regulatory treatment</w:t>
      </w:r>
      <w:r w:rsidR="003845FB">
        <w:rPr>
          <w:noProof/>
        </w:rPr>
        <w:t xml:space="preserve"> of the projects</w:t>
      </w:r>
      <w:r w:rsidR="0E7354D5">
        <w:rPr>
          <w:noProof/>
        </w:rPr>
        <w:t>. Member States should nevertheless be able to adopt national provisions to apply the same or similar rules to other projects that do not have the status of projects of common interest or projects of mutual interest within the scope of this Regulation.</w:t>
      </w:r>
    </w:p>
    <w:p w14:paraId="5832E0CB" w14:textId="565F6A82" w:rsidR="009F19F0" w:rsidRPr="002A75D5" w:rsidRDefault="00C44DD6" w:rsidP="00C44DD6">
      <w:pPr>
        <w:pStyle w:val="ManualConsidrant"/>
        <w:rPr>
          <w:noProof/>
        </w:rPr>
      </w:pPr>
      <w:r w:rsidRPr="00C44DD6">
        <w:rPr>
          <w:noProof/>
        </w:rPr>
        <w:t>(52)</w:t>
      </w:r>
      <w:r w:rsidRPr="00C44DD6">
        <w:rPr>
          <w:noProof/>
        </w:rPr>
        <w:tab/>
      </w:r>
      <w:r w:rsidR="7C145C48">
        <w:rPr>
          <w:noProof/>
        </w:rPr>
        <w:t xml:space="preserve">The Union-wide ten-year network development plan process </w:t>
      </w:r>
      <w:r w:rsidR="35D324F7">
        <w:rPr>
          <w:noProof/>
        </w:rPr>
        <w:t xml:space="preserve">provides </w:t>
      </w:r>
      <w:r w:rsidR="1A803C1C">
        <w:rPr>
          <w:noProof/>
        </w:rPr>
        <w:t xml:space="preserve">a </w:t>
      </w:r>
      <w:r w:rsidR="1A0B7B4A">
        <w:rPr>
          <w:noProof/>
        </w:rPr>
        <w:t xml:space="preserve">solid </w:t>
      </w:r>
      <w:r w:rsidR="7C145C48">
        <w:rPr>
          <w:noProof/>
        </w:rPr>
        <w:t>basis for the identification of projects of common</w:t>
      </w:r>
      <w:r w:rsidR="00A205DE">
        <w:rPr>
          <w:noProof/>
        </w:rPr>
        <w:t xml:space="preserve"> interest</w:t>
      </w:r>
      <w:r w:rsidR="7C145C48">
        <w:rPr>
          <w:noProof/>
        </w:rPr>
        <w:t xml:space="preserve"> </w:t>
      </w:r>
      <w:r w:rsidR="0E11B0F1">
        <w:rPr>
          <w:noProof/>
        </w:rPr>
        <w:t xml:space="preserve">and </w:t>
      </w:r>
      <w:r w:rsidR="7B3756AD">
        <w:rPr>
          <w:noProof/>
        </w:rPr>
        <w:t xml:space="preserve">projects of </w:t>
      </w:r>
      <w:r w:rsidR="0E11B0F1">
        <w:rPr>
          <w:noProof/>
        </w:rPr>
        <w:t xml:space="preserve">mutual </w:t>
      </w:r>
      <w:r w:rsidR="7C145C48">
        <w:rPr>
          <w:noProof/>
        </w:rPr>
        <w:t xml:space="preserve">interest. </w:t>
      </w:r>
      <w:r w:rsidR="04802F0E">
        <w:rPr>
          <w:noProof/>
        </w:rPr>
        <w:t>W</w:t>
      </w:r>
      <w:r w:rsidR="7C145C48">
        <w:rPr>
          <w:noProof/>
        </w:rPr>
        <w:t xml:space="preserve">hile the </w:t>
      </w:r>
      <w:r w:rsidR="00F23F71" w:rsidRPr="02E6FABD">
        <w:rPr>
          <w:noProof/>
          <w:shd w:val="clear" w:color="auto" w:fill="FFFFFF"/>
        </w:rPr>
        <w:t>European Network of Transmission System Operators for Electricity (</w:t>
      </w:r>
      <w:r w:rsidR="7C145C48">
        <w:rPr>
          <w:noProof/>
        </w:rPr>
        <w:t>ENTSO for Electricity</w:t>
      </w:r>
      <w:r w:rsidR="00F23F71">
        <w:rPr>
          <w:noProof/>
        </w:rPr>
        <w:t>)</w:t>
      </w:r>
      <w:r w:rsidR="6AF8DA0E">
        <w:rPr>
          <w:noProof/>
        </w:rPr>
        <w:t xml:space="preserve">, </w:t>
      </w:r>
      <w:r w:rsidR="008134C1" w:rsidRPr="008134C1">
        <w:rPr>
          <w:noProof/>
        </w:rPr>
        <w:t xml:space="preserve">the European Network of Transmission System Operators for Gas </w:t>
      </w:r>
      <w:r w:rsidR="008134C1">
        <w:rPr>
          <w:noProof/>
        </w:rPr>
        <w:t>(</w:t>
      </w:r>
      <w:r w:rsidR="7C145C48">
        <w:rPr>
          <w:noProof/>
        </w:rPr>
        <w:t>ENTSO for Gas</w:t>
      </w:r>
      <w:r w:rsidR="008134C1">
        <w:rPr>
          <w:noProof/>
        </w:rPr>
        <w:t>)</w:t>
      </w:r>
      <w:r w:rsidR="04802F0E">
        <w:rPr>
          <w:noProof/>
        </w:rPr>
        <w:t xml:space="preserve">, </w:t>
      </w:r>
      <w:r w:rsidR="001C79F1" w:rsidRPr="001C79F1">
        <w:rPr>
          <w:noProof/>
        </w:rPr>
        <w:t xml:space="preserve">the European Network of Network Operators for Hydrogen </w:t>
      </w:r>
      <w:r w:rsidR="001C79F1">
        <w:rPr>
          <w:noProof/>
        </w:rPr>
        <w:t>(</w:t>
      </w:r>
      <w:r w:rsidR="04802F0E">
        <w:rPr>
          <w:noProof/>
        </w:rPr>
        <w:t>ENNOH</w:t>
      </w:r>
      <w:r w:rsidR="001C79F1">
        <w:rPr>
          <w:noProof/>
        </w:rPr>
        <w:t>)</w:t>
      </w:r>
      <w:r w:rsidR="7C145C48">
        <w:rPr>
          <w:noProof/>
        </w:rPr>
        <w:t xml:space="preserve"> and TSOs </w:t>
      </w:r>
      <w:r w:rsidR="35D324F7">
        <w:rPr>
          <w:noProof/>
        </w:rPr>
        <w:t xml:space="preserve">continue to play an </w:t>
      </w:r>
      <w:r w:rsidR="7C145C48">
        <w:rPr>
          <w:noProof/>
        </w:rPr>
        <w:t xml:space="preserve">important role in the process, more </w:t>
      </w:r>
      <w:r w:rsidR="59E83466">
        <w:rPr>
          <w:noProof/>
        </w:rPr>
        <w:t xml:space="preserve">streamlining and steering </w:t>
      </w:r>
      <w:r w:rsidR="7C145C48">
        <w:rPr>
          <w:noProof/>
        </w:rPr>
        <w:t xml:space="preserve">is required, in particular as regards defining the scenarios for the future, identifying long-term infrastructure gaps and </w:t>
      </w:r>
      <w:r w:rsidR="0039451C" w:rsidRPr="00185722">
        <w:rPr>
          <w:noProof/>
        </w:rPr>
        <w:t xml:space="preserve">energy infrastructure </w:t>
      </w:r>
      <w:r w:rsidR="7C145C48">
        <w:rPr>
          <w:noProof/>
        </w:rPr>
        <w:t xml:space="preserve">bottlenecks and </w:t>
      </w:r>
      <w:r w:rsidR="04802F0E">
        <w:rPr>
          <w:noProof/>
        </w:rPr>
        <w:t xml:space="preserve">addressing those gaps with most </w:t>
      </w:r>
      <w:r w:rsidR="5C4060FB">
        <w:rPr>
          <w:noProof/>
        </w:rPr>
        <w:t>adequate</w:t>
      </w:r>
      <w:r w:rsidR="04802F0E">
        <w:rPr>
          <w:noProof/>
        </w:rPr>
        <w:t xml:space="preserve"> solutions</w:t>
      </w:r>
      <w:r w:rsidR="7C145C48">
        <w:rPr>
          <w:noProof/>
        </w:rPr>
        <w:t xml:space="preserve">, to </w:t>
      </w:r>
      <w:r w:rsidR="4420F08B">
        <w:rPr>
          <w:noProof/>
        </w:rPr>
        <w:t xml:space="preserve">increase the </w:t>
      </w:r>
      <w:r w:rsidR="177F482E">
        <w:rPr>
          <w:noProof/>
        </w:rPr>
        <w:t xml:space="preserve">political </w:t>
      </w:r>
      <w:r w:rsidR="45EBEF66">
        <w:rPr>
          <w:noProof/>
        </w:rPr>
        <w:t>weight</w:t>
      </w:r>
      <w:r w:rsidR="177F482E">
        <w:rPr>
          <w:noProof/>
        </w:rPr>
        <w:t xml:space="preserve">, </w:t>
      </w:r>
      <w:r w:rsidR="5EE17EE1">
        <w:rPr>
          <w:noProof/>
        </w:rPr>
        <w:t>pertinence</w:t>
      </w:r>
      <w:r w:rsidR="0CCAAEF5">
        <w:rPr>
          <w:noProof/>
        </w:rPr>
        <w:t xml:space="preserve"> and </w:t>
      </w:r>
      <w:r w:rsidR="732AF3C5">
        <w:rPr>
          <w:noProof/>
        </w:rPr>
        <w:t xml:space="preserve">robustness of </w:t>
      </w:r>
      <w:r w:rsidR="7C145C48">
        <w:rPr>
          <w:noProof/>
        </w:rPr>
        <w:t>the process. Therefore, the Agency and the Commission should have an increased role in the process for drawing up the Union-wide ten-year network development plans pursuant to Regulations (EU) 2019/943</w:t>
      </w:r>
      <w:r w:rsidR="2018A4D3">
        <w:rPr>
          <w:noProof/>
        </w:rPr>
        <w:t xml:space="preserve"> and (EU) 2024/1789</w:t>
      </w:r>
      <w:r w:rsidR="7C145C48">
        <w:rPr>
          <w:noProof/>
        </w:rPr>
        <w:t xml:space="preserve">. </w:t>
      </w:r>
    </w:p>
    <w:p w14:paraId="32E6C056" w14:textId="2C265A35" w:rsidR="00DE66F1" w:rsidRDefault="00C44DD6" w:rsidP="00C44DD6">
      <w:pPr>
        <w:pStyle w:val="ManualConsidrant"/>
        <w:rPr>
          <w:noProof/>
        </w:rPr>
      </w:pPr>
      <w:r w:rsidRPr="00C44DD6">
        <w:rPr>
          <w:noProof/>
        </w:rPr>
        <w:t>(53)</w:t>
      </w:r>
      <w:r w:rsidRPr="00C44DD6">
        <w:rPr>
          <w:noProof/>
        </w:rPr>
        <w:tab/>
      </w:r>
      <w:r w:rsidR="732AF3C5">
        <w:rPr>
          <w:noProof/>
        </w:rPr>
        <w:t xml:space="preserve">Considering that </w:t>
      </w:r>
      <w:r w:rsidR="6593B591">
        <w:rPr>
          <w:noProof/>
        </w:rPr>
        <w:t>the</w:t>
      </w:r>
      <w:r w:rsidR="732AF3C5">
        <w:rPr>
          <w:noProof/>
        </w:rPr>
        <w:t xml:space="preserve"> </w:t>
      </w:r>
      <w:r w:rsidR="007646E5">
        <w:rPr>
          <w:noProof/>
        </w:rPr>
        <w:t xml:space="preserve">selected </w:t>
      </w:r>
      <w:r w:rsidR="732AF3C5">
        <w:rPr>
          <w:noProof/>
        </w:rPr>
        <w:t xml:space="preserve">scenario </w:t>
      </w:r>
      <w:r w:rsidR="22FC7491">
        <w:rPr>
          <w:noProof/>
        </w:rPr>
        <w:t xml:space="preserve">and </w:t>
      </w:r>
      <w:r w:rsidR="007646E5">
        <w:rPr>
          <w:noProof/>
        </w:rPr>
        <w:t xml:space="preserve">its </w:t>
      </w:r>
      <w:r w:rsidR="22FC7491">
        <w:rPr>
          <w:noProof/>
        </w:rPr>
        <w:t xml:space="preserve">underlying assumptions </w:t>
      </w:r>
      <w:r w:rsidR="732AF3C5">
        <w:rPr>
          <w:noProof/>
        </w:rPr>
        <w:t>play a major role</w:t>
      </w:r>
      <w:r w:rsidR="6B37388C">
        <w:rPr>
          <w:noProof/>
        </w:rPr>
        <w:t xml:space="preserve"> in the </w:t>
      </w:r>
      <w:r w:rsidR="007646E5">
        <w:rPr>
          <w:noProof/>
        </w:rPr>
        <w:t xml:space="preserve">Union-wide network development planning </w:t>
      </w:r>
      <w:r w:rsidR="6B37388C">
        <w:rPr>
          <w:noProof/>
        </w:rPr>
        <w:t>process</w:t>
      </w:r>
      <w:r w:rsidR="007646E5">
        <w:rPr>
          <w:noProof/>
        </w:rPr>
        <w:t>,</w:t>
      </w:r>
      <w:r w:rsidR="61F59576">
        <w:rPr>
          <w:noProof/>
        </w:rPr>
        <w:t xml:space="preserve"> </w:t>
      </w:r>
      <w:r w:rsidR="7B8A3255">
        <w:rPr>
          <w:noProof/>
        </w:rPr>
        <w:t xml:space="preserve">the Commission </w:t>
      </w:r>
      <w:r w:rsidR="4955281E">
        <w:rPr>
          <w:noProof/>
        </w:rPr>
        <w:t xml:space="preserve">should </w:t>
      </w:r>
      <w:r w:rsidR="7B8A3255">
        <w:rPr>
          <w:noProof/>
        </w:rPr>
        <w:t xml:space="preserve">play a central role in defining </w:t>
      </w:r>
      <w:r w:rsidR="007646E5">
        <w:rPr>
          <w:noProof/>
        </w:rPr>
        <w:t>it</w:t>
      </w:r>
      <w:r w:rsidR="7FA69C28">
        <w:rPr>
          <w:noProof/>
        </w:rPr>
        <w:t xml:space="preserve">. </w:t>
      </w:r>
      <w:r w:rsidR="00DE3688">
        <w:rPr>
          <w:noProof/>
        </w:rPr>
        <w:t>That</w:t>
      </w:r>
      <w:r w:rsidR="7FA69C28">
        <w:rPr>
          <w:noProof/>
        </w:rPr>
        <w:t xml:space="preserve"> should help streamline the inputs and</w:t>
      </w:r>
      <w:r w:rsidR="548DC253">
        <w:rPr>
          <w:noProof/>
        </w:rPr>
        <w:t xml:space="preserve"> </w:t>
      </w:r>
      <w:r w:rsidR="30D8D8A4">
        <w:rPr>
          <w:noProof/>
        </w:rPr>
        <w:t xml:space="preserve">ensure </w:t>
      </w:r>
      <w:r w:rsidR="3C2A3794">
        <w:rPr>
          <w:noProof/>
        </w:rPr>
        <w:t xml:space="preserve">better compliance with the </w:t>
      </w:r>
      <w:r w:rsidR="5AA049B7">
        <w:rPr>
          <w:noProof/>
        </w:rPr>
        <w:t xml:space="preserve">Union’s </w:t>
      </w:r>
      <w:r w:rsidR="3C2A3794">
        <w:rPr>
          <w:noProof/>
        </w:rPr>
        <w:t>policy targets</w:t>
      </w:r>
      <w:r w:rsidR="5AA049B7">
        <w:rPr>
          <w:noProof/>
        </w:rPr>
        <w:t xml:space="preserve">. </w:t>
      </w:r>
      <w:r w:rsidR="77C6B5CE">
        <w:rPr>
          <w:noProof/>
        </w:rPr>
        <w:t xml:space="preserve">It is also </w:t>
      </w:r>
      <w:r w:rsidR="17F43738">
        <w:rPr>
          <w:noProof/>
        </w:rPr>
        <w:t>appropriate</w:t>
      </w:r>
      <w:r w:rsidR="08C18B0A">
        <w:rPr>
          <w:noProof/>
        </w:rPr>
        <w:t xml:space="preserve"> </w:t>
      </w:r>
      <w:r w:rsidR="348C86E1">
        <w:rPr>
          <w:noProof/>
        </w:rPr>
        <w:t xml:space="preserve">for </w:t>
      </w:r>
      <w:r w:rsidR="0DBABFD8">
        <w:rPr>
          <w:noProof/>
        </w:rPr>
        <w:t>the</w:t>
      </w:r>
      <w:r w:rsidR="21D1FAA4">
        <w:rPr>
          <w:noProof/>
        </w:rPr>
        <w:t xml:space="preserve"> Union-wide</w:t>
      </w:r>
      <w:r w:rsidR="0DBABFD8">
        <w:rPr>
          <w:noProof/>
        </w:rPr>
        <w:t xml:space="preserve"> ten-year </w:t>
      </w:r>
      <w:r w:rsidR="348C86E1">
        <w:rPr>
          <w:noProof/>
        </w:rPr>
        <w:t xml:space="preserve">network development </w:t>
      </w:r>
      <w:r w:rsidR="7C644A0A">
        <w:rPr>
          <w:noProof/>
        </w:rPr>
        <w:t xml:space="preserve">plans </w:t>
      </w:r>
      <w:r w:rsidR="08C18B0A">
        <w:rPr>
          <w:noProof/>
        </w:rPr>
        <w:t xml:space="preserve">to </w:t>
      </w:r>
      <w:r w:rsidR="05659B07">
        <w:rPr>
          <w:noProof/>
        </w:rPr>
        <w:t xml:space="preserve">be based on </w:t>
      </w:r>
      <w:r w:rsidR="08C18B0A">
        <w:rPr>
          <w:noProof/>
        </w:rPr>
        <w:t>one central scenario, with possible sensitivit</w:t>
      </w:r>
      <w:r w:rsidR="1818FBE4">
        <w:rPr>
          <w:noProof/>
        </w:rPr>
        <w:t>y analys</w:t>
      </w:r>
      <w:r w:rsidR="08C18B0A">
        <w:rPr>
          <w:noProof/>
        </w:rPr>
        <w:t>es</w:t>
      </w:r>
      <w:r w:rsidR="00132FF8">
        <w:rPr>
          <w:noProof/>
        </w:rPr>
        <w:t xml:space="preserve"> </w:t>
      </w:r>
      <w:r w:rsidR="00CD6F31">
        <w:rPr>
          <w:noProof/>
        </w:rPr>
        <w:t>to</w:t>
      </w:r>
      <w:r w:rsidR="00132FF8">
        <w:rPr>
          <w:noProof/>
        </w:rPr>
        <w:t xml:space="preserve"> the scenario</w:t>
      </w:r>
      <w:r w:rsidR="00CD6F31">
        <w:rPr>
          <w:noProof/>
        </w:rPr>
        <w:t xml:space="preserve"> in case of change of external conditions</w:t>
      </w:r>
      <w:r w:rsidR="08C18B0A">
        <w:rPr>
          <w:noProof/>
        </w:rPr>
        <w:t xml:space="preserve">, </w:t>
      </w:r>
      <w:r w:rsidR="60DEF265">
        <w:rPr>
          <w:noProof/>
        </w:rPr>
        <w:t xml:space="preserve">because the main purpose of the scenario is to provide a </w:t>
      </w:r>
      <w:r w:rsidR="6C867D01">
        <w:rPr>
          <w:noProof/>
        </w:rPr>
        <w:t xml:space="preserve">common </w:t>
      </w:r>
      <w:r w:rsidR="1B7E9196">
        <w:rPr>
          <w:noProof/>
        </w:rPr>
        <w:t xml:space="preserve">basis for the </w:t>
      </w:r>
      <w:r w:rsidR="0A51670B">
        <w:rPr>
          <w:noProof/>
        </w:rPr>
        <w:t xml:space="preserve">assessment of the infrastructure gaps </w:t>
      </w:r>
      <w:r w:rsidR="6E3A62E1">
        <w:rPr>
          <w:noProof/>
        </w:rPr>
        <w:t xml:space="preserve">and benefits of </w:t>
      </w:r>
      <w:r w:rsidR="3B39D27A">
        <w:rPr>
          <w:noProof/>
        </w:rPr>
        <w:t>candidate projects</w:t>
      </w:r>
      <w:r w:rsidR="3C2A3794">
        <w:rPr>
          <w:noProof/>
        </w:rPr>
        <w:t xml:space="preserve"> </w:t>
      </w:r>
      <w:r w:rsidR="4790CBC8">
        <w:rPr>
          <w:noProof/>
        </w:rPr>
        <w:t>of common interest and project of mutual interest</w:t>
      </w:r>
      <w:r w:rsidR="2EB32F95">
        <w:rPr>
          <w:noProof/>
        </w:rPr>
        <w:t>.</w:t>
      </w:r>
      <w:r w:rsidR="70ACF026">
        <w:rPr>
          <w:noProof/>
        </w:rPr>
        <w:t xml:space="preserve"> </w:t>
      </w:r>
      <w:r w:rsidR="6B46DFE2">
        <w:rPr>
          <w:noProof/>
        </w:rPr>
        <w:t xml:space="preserve">The </w:t>
      </w:r>
      <w:r w:rsidR="4C376EA9">
        <w:rPr>
          <w:noProof/>
        </w:rPr>
        <w:t>increased importance of the central scenario require</w:t>
      </w:r>
      <w:r w:rsidR="002C6554">
        <w:rPr>
          <w:noProof/>
        </w:rPr>
        <w:t>s</w:t>
      </w:r>
      <w:r w:rsidR="4C376EA9">
        <w:rPr>
          <w:noProof/>
        </w:rPr>
        <w:t xml:space="preserve"> </w:t>
      </w:r>
      <w:r w:rsidR="601E7B26">
        <w:rPr>
          <w:noProof/>
        </w:rPr>
        <w:t xml:space="preserve">close </w:t>
      </w:r>
      <w:r w:rsidR="5EB5DF50">
        <w:rPr>
          <w:noProof/>
        </w:rPr>
        <w:t xml:space="preserve">involvement of </w:t>
      </w:r>
      <w:r w:rsidR="2E39F0FE">
        <w:rPr>
          <w:noProof/>
        </w:rPr>
        <w:t xml:space="preserve">the </w:t>
      </w:r>
      <w:r w:rsidR="67AD1E3B">
        <w:rPr>
          <w:noProof/>
        </w:rPr>
        <w:t>ENTSO for Electricity, the ENNOH, and the ENTSO for Gas</w:t>
      </w:r>
      <w:r w:rsidR="7F9124AF">
        <w:rPr>
          <w:noProof/>
        </w:rPr>
        <w:t>,</w:t>
      </w:r>
      <w:r w:rsidR="67AD1E3B">
        <w:rPr>
          <w:noProof/>
        </w:rPr>
        <w:t xml:space="preserve"> the Member States and the Agency</w:t>
      </w:r>
      <w:r w:rsidR="6D135A76">
        <w:rPr>
          <w:noProof/>
        </w:rPr>
        <w:t xml:space="preserve"> to ensure that relevant data and information is provided</w:t>
      </w:r>
      <w:r w:rsidR="0005225A">
        <w:rPr>
          <w:noProof/>
        </w:rPr>
        <w:t>,</w:t>
      </w:r>
      <w:r w:rsidR="6D135A76">
        <w:rPr>
          <w:noProof/>
        </w:rPr>
        <w:t xml:space="preserve"> </w:t>
      </w:r>
      <w:r w:rsidR="3D3E23AD">
        <w:rPr>
          <w:noProof/>
        </w:rPr>
        <w:t xml:space="preserve">and </w:t>
      </w:r>
      <w:r w:rsidR="62B128FF">
        <w:rPr>
          <w:noProof/>
        </w:rPr>
        <w:t xml:space="preserve">that </w:t>
      </w:r>
      <w:r w:rsidR="3D3E23AD">
        <w:rPr>
          <w:noProof/>
        </w:rPr>
        <w:t>the scenario</w:t>
      </w:r>
      <w:r w:rsidR="052C4020">
        <w:rPr>
          <w:noProof/>
        </w:rPr>
        <w:t xml:space="preserve"> is</w:t>
      </w:r>
      <w:r w:rsidR="3D3E23AD">
        <w:rPr>
          <w:noProof/>
        </w:rPr>
        <w:t xml:space="preserve"> aligned with </w:t>
      </w:r>
      <w:r w:rsidR="5D405608">
        <w:rPr>
          <w:noProof/>
        </w:rPr>
        <w:t xml:space="preserve">national </w:t>
      </w:r>
      <w:r w:rsidR="72E06BF2">
        <w:rPr>
          <w:noProof/>
        </w:rPr>
        <w:t xml:space="preserve">developments. </w:t>
      </w:r>
      <w:r w:rsidR="3DEBA0CB">
        <w:rPr>
          <w:noProof/>
        </w:rPr>
        <w:t xml:space="preserve">The Stakeholder Reference Group </w:t>
      </w:r>
      <w:r w:rsidR="6C58136E">
        <w:rPr>
          <w:noProof/>
        </w:rPr>
        <w:t>should</w:t>
      </w:r>
      <w:r w:rsidR="3DEBA0CB">
        <w:rPr>
          <w:noProof/>
        </w:rPr>
        <w:t xml:space="preserve"> </w:t>
      </w:r>
      <w:r w:rsidR="62F33C16">
        <w:rPr>
          <w:noProof/>
        </w:rPr>
        <w:t>continue</w:t>
      </w:r>
      <w:r w:rsidR="12B61797">
        <w:rPr>
          <w:noProof/>
        </w:rPr>
        <w:t xml:space="preserve"> </w:t>
      </w:r>
      <w:r w:rsidR="33056643">
        <w:rPr>
          <w:noProof/>
        </w:rPr>
        <w:t xml:space="preserve">providing coordinated </w:t>
      </w:r>
      <w:r w:rsidR="5E747B2B">
        <w:rPr>
          <w:noProof/>
        </w:rPr>
        <w:t xml:space="preserve">stakeholder </w:t>
      </w:r>
      <w:r w:rsidR="33056643">
        <w:rPr>
          <w:noProof/>
        </w:rPr>
        <w:t xml:space="preserve">input </w:t>
      </w:r>
      <w:r w:rsidR="5E747B2B">
        <w:rPr>
          <w:noProof/>
        </w:rPr>
        <w:t xml:space="preserve">and </w:t>
      </w:r>
      <w:r w:rsidR="0D8C68EA">
        <w:rPr>
          <w:noProof/>
        </w:rPr>
        <w:t xml:space="preserve">advice </w:t>
      </w:r>
      <w:r w:rsidR="6F59094B">
        <w:rPr>
          <w:noProof/>
        </w:rPr>
        <w:t xml:space="preserve">on </w:t>
      </w:r>
      <w:r w:rsidR="07A9C2ED">
        <w:rPr>
          <w:noProof/>
        </w:rPr>
        <w:t>scenario development.</w:t>
      </w:r>
    </w:p>
    <w:p w14:paraId="596D6EFE" w14:textId="72E73D44" w:rsidR="004F70DF" w:rsidRDefault="00C44DD6" w:rsidP="00C44DD6">
      <w:pPr>
        <w:pStyle w:val="ManualConsidrant"/>
        <w:rPr>
          <w:noProof/>
        </w:rPr>
      </w:pPr>
      <w:r w:rsidRPr="00C44DD6">
        <w:rPr>
          <w:noProof/>
        </w:rPr>
        <w:t>(54)</w:t>
      </w:r>
      <w:r w:rsidRPr="00C44DD6">
        <w:rPr>
          <w:noProof/>
        </w:rPr>
        <w:tab/>
      </w:r>
      <w:r w:rsidR="5CFE090B">
        <w:rPr>
          <w:noProof/>
        </w:rPr>
        <w:t xml:space="preserve">The </w:t>
      </w:r>
      <w:r w:rsidR="00A976D1">
        <w:rPr>
          <w:noProof/>
        </w:rPr>
        <w:t xml:space="preserve">process of identifying </w:t>
      </w:r>
      <w:r w:rsidR="00563BEA">
        <w:rPr>
          <w:noProof/>
        </w:rPr>
        <w:t xml:space="preserve">infrastructure needs </w:t>
      </w:r>
      <w:r w:rsidR="1C3F343C">
        <w:rPr>
          <w:noProof/>
        </w:rPr>
        <w:t xml:space="preserve">should </w:t>
      </w:r>
      <w:r w:rsidR="5C207208">
        <w:rPr>
          <w:noProof/>
        </w:rPr>
        <w:t>play a stro</w:t>
      </w:r>
      <w:r w:rsidR="0A065A71">
        <w:rPr>
          <w:noProof/>
        </w:rPr>
        <w:t>nger</w:t>
      </w:r>
      <w:r w:rsidR="5C207208">
        <w:rPr>
          <w:noProof/>
        </w:rPr>
        <w:t xml:space="preserve"> role in gu</w:t>
      </w:r>
      <w:r w:rsidR="5E51718C">
        <w:rPr>
          <w:noProof/>
        </w:rPr>
        <w:t>i</w:t>
      </w:r>
      <w:r w:rsidR="5C207208">
        <w:rPr>
          <w:noProof/>
        </w:rPr>
        <w:t xml:space="preserve">ding </w:t>
      </w:r>
      <w:r w:rsidR="2FD02740">
        <w:rPr>
          <w:noProof/>
        </w:rPr>
        <w:t>planned infrastructure investments.</w:t>
      </w:r>
      <w:r w:rsidR="4639C53C">
        <w:rPr>
          <w:noProof/>
        </w:rPr>
        <w:t xml:space="preserve"> </w:t>
      </w:r>
      <w:r w:rsidR="50C6156C">
        <w:rPr>
          <w:noProof/>
        </w:rPr>
        <w:t>Compared to current practice, the</w:t>
      </w:r>
      <w:r w:rsidR="6B746A76">
        <w:rPr>
          <w:noProof/>
        </w:rPr>
        <w:t xml:space="preserve"> process </w:t>
      </w:r>
      <w:r w:rsidR="0FBBAB07">
        <w:rPr>
          <w:noProof/>
        </w:rPr>
        <w:t xml:space="preserve">should be </w:t>
      </w:r>
      <w:r w:rsidR="002C6554">
        <w:rPr>
          <w:noProof/>
        </w:rPr>
        <w:t xml:space="preserve">broader </w:t>
      </w:r>
      <w:r w:rsidR="6B746A76">
        <w:rPr>
          <w:noProof/>
        </w:rPr>
        <w:t xml:space="preserve">and </w:t>
      </w:r>
      <w:r w:rsidR="082F93B2">
        <w:rPr>
          <w:noProof/>
        </w:rPr>
        <w:t>consider</w:t>
      </w:r>
      <w:r w:rsidR="6F2CA34C">
        <w:rPr>
          <w:noProof/>
        </w:rPr>
        <w:t xml:space="preserve"> more thoroughly</w:t>
      </w:r>
      <w:r w:rsidR="6AF8DA0E">
        <w:rPr>
          <w:noProof/>
        </w:rPr>
        <w:t xml:space="preserve"> </w:t>
      </w:r>
      <w:r w:rsidR="4D1FABCA">
        <w:rPr>
          <w:noProof/>
        </w:rPr>
        <w:t>cross-sectoral links and</w:t>
      </w:r>
      <w:r w:rsidR="6B746A76">
        <w:rPr>
          <w:noProof/>
        </w:rPr>
        <w:t xml:space="preserve"> </w:t>
      </w:r>
      <w:r w:rsidR="5255C96A">
        <w:rPr>
          <w:noProof/>
        </w:rPr>
        <w:t>non-wire solutions</w:t>
      </w:r>
      <w:r w:rsidR="74C0D025">
        <w:rPr>
          <w:noProof/>
        </w:rPr>
        <w:t xml:space="preserve">, in order to </w:t>
      </w:r>
      <w:r w:rsidR="0BADD591">
        <w:rPr>
          <w:noProof/>
        </w:rPr>
        <w:t>clearly identif</w:t>
      </w:r>
      <w:r w:rsidR="1A576443">
        <w:rPr>
          <w:noProof/>
        </w:rPr>
        <w:t>y</w:t>
      </w:r>
      <w:r w:rsidR="74C0D025">
        <w:rPr>
          <w:noProof/>
        </w:rPr>
        <w:t xml:space="preserve"> </w:t>
      </w:r>
      <w:r w:rsidR="195346CC">
        <w:rPr>
          <w:noProof/>
        </w:rPr>
        <w:t xml:space="preserve">what solutions </w:t>
      </w:r>
      <w:r w:rsidR="6473E504">
        <w:rPr>
          <w:noProof/>
        </w:rPr>
        <w:t>best serve the energy system in achieving the energy and climate goals.</w:t>
      </w:r>
      <w:r w:rsidR="2FD02740">
        <w:rPr>
          <w:noProof/>
        </w:rPr>
        <w:t xml:space="preserve"> </w:t>
      </w:r>
      <w:r w:rsidR="0084567A">
        <w:rPr>
          <w:noProof/>
        </w:rPr>
        <w:t>T</w:t>
      </w:r>
      <w:r w:rsidR="1C3F343C">
        <w:rPr>
          <w:noProof/>
        </w:rPr>
        <w:t xml:space="preserve">he Agency </w:t>
      </w:r>
      <w:r w:rsidR="0084567A">
        <w:rPr>
          <w:noProof/>
        </w:rPr>
        <w:t xml:space="preserve">should be more involved </w:t>
      </w:r>
      <w:r w:rsidR="1C3F343C">
        <w:rPr>
          <w:noProof/>
        </w:rPr>
        <w:t xml:space="preserve">in setting the framework for the process and its verification </w:t>
      </w:r>
      <w:r w:rsidR="0084567A">
        <w:rPr>
          <w:noProof/>
        </w:rPr>
        <w:t xml:space="preserve">to </w:t>
      </w:r>
      <w:r w:rsidR="1C3F343C">
        <w:rPr>
          <w:noProof/>
        </w:rPr>
        <w:t xml:space="preserve">increase acceptance of the subsequent solutions necessary to address the gaps. The Agency should develop methodologies for the </w:t>
      </w:r>
      <w:r w:rsidR="00A22FAD">
        <w:rPr>
          <w:noProof/>
        </w:rPr>
        <w:t xml:space="preserve">process </w:t>
      </w:r>
      <w:r w:rsidR="00A976D1">
        <w:rPr>
          <w:noProof/>
        </w:rPr>
        <w:t>of identifying</w:t>
      </w:r>
      <w:r w:rsidR="00A22FAD">
        <w:rPr>
          <w:noProof/>
        </w:rPr>
        <w:t xml:space="preserve"> </w:t>
      </w:r>
      <w:r w:rsidR="1C3F343C">
        <w:rPr>
          <w:noProof/>
        </w:rPr>
        <w:t>infrastructure needs to be conducted</w:t>
      </w:r>
      <w:r w:rsidR="00DD22F2">
        <w:rPr>
          <w:noProof/>
        </w:rPr>
        <w:t xml:space="preserve"> </w:t>
      </w:r>
      <w:r w:rsidR="1C3F343C">
        <w:rPr>
          <w:noProof/>
        </w:rPr>
        <w:t xml:space="preserve">by the ENTSO for Electricity and the ENNOH in order to ensure </w:t>
      </w:r>
      <w:r w:rsidR="00A22FAD">
        <w:rPr>
          <w:noProof/>
        </w:rPr>
        <w:t xml:space="preserve">that </w:t>
      </w:r>
      <w:r w:rsidR="1C3F343C">
        <w:rPr>
          <w:noProof/>
        </w:rPr>
        <w:t xml:space="preserve">the outcomes are sufficiently robust and in </w:t>
      </w:r>
      <w:r w:rsidR="003E589D">
        <w:rPr>
          <w:noProof/>
        </w:rPr>
        <w:t>accordance</w:t>
      </w:r>
      <w:r w:rsidR="1C3F343C">
        <w:rPr>
          <w:noProof/>
        </w:rPr>
        <w:t xml:space="preserve"> with the principles set </w:t>
      </w:r>
      <w:r w:rsidR="00A22FAD">
        <w:rPr>
          <w:noProof/>
        </w:rPr>
        <w:t xml:space="preserve">out </w:t>
      </w:r>
      <w:r w:rsidR="1C3F343C">
        <w:rPr>
          <w:noProof/>
        </w:rPr>
        <w:t xml:space="preserve">in </w:t>
      </w:r>
      <w:r w:rsidR="00A22FAD">
        <w:rPr>
          <w:noProof/>
        </w:rPr>
        <w:t xml:space="preserve">this </w:t>
      </w:r>
      <w:r w:rsidR="1C3F343C">
        <w:rPr>
          <w:noProof/>
        </w:rPr>
        <w:t>Regulation</w:t>
      </w:r>
      <w:r w:rsidR="53B3A021">
        <w:rPr>
          <w:noProof/>
        </w:rPr>
        <w:t>.</w:t>
      </w:r>
      <w:r w:rsidR="2CBB62EB">
        <w:rPr>
          <w:noProof/>
        </w:rPr>
        <w:t xml:space="preserve"> </w:t>
      </w:r>
      <w:r w:rsidR="1A31F045">
        <w:rPr>
          <w:noProof/>
        </w:rPr>
        <w:t xml:space="preserve">The ultimate endorsement of the </w:t>
      </w:r>
      <w:r w:rsidR="613C5BAD">
        <w:rPr>
          <w:noProof/>
        </w:rPr>
        <w:t xml:space="preserve">needs identification report by the </w:t>
      </w:r>
      <w:r w:rsidR="731A4FE5" w:rsidRPr="4E141F37">
        <w:rPr>
          <w:rStyle w:val="normaltextrun"/>
          <w:noProof/>
        </w:rPr>
        <w:t xml:space="preserve">decision-making body of the TEN-E Group should </w:t>
      </w:r>
      <w:r w:rsidR="09FDA6DB" w:rsidRPr="4E141F37">
        <w:rPr>
          <w:rStyle w:val="normaltextrun"/>
          <w:noProof/>
        </w:rPr>
        <w:t xml:space="preserve">be a strong signal to project promoters where </w:t>
      </w:r>
      <w:r w:rsidR="002C6554" w:rsidRPr="4E141F37">
        <w:rPr>
          <w:rStyle w:val="normaltextrun"/>
          <w:noProof/>
        </w:rPr>
        <w:t xml:space="preserve">the </w:t>
      </w:r>
      <w:r w:rsidR="09FDA6DB" w:rsidRPr="4E141F37">
        <w:rPr>
          <w:rStyle w:val="normaltextrun"/>
          <w:noProof/>
        </w:rPr>
        <w:t xml:space="preserve">possible projects are </w:t>
      </w:r>
      <w:r w:rsidR="002C6554" w:rsidRPr="4E141F37">
        <w:rPr>
          <w:rStyle w:val="normaltextrun"/>
          <w:noProof/>
        </w:rPr>
        <w:t>needed</w:t>
      </w:r>
      <w:r w:rsidR="367A75BB" w:rsidRPr="4E141F37">
        <w:rPr>
          <w:rStyle w:val="normaltextrun"/>
          <w:noProof/>
        </w:rPr>
        <w:t>.</w:t>
      </w:r>
      <w:r w:rsidR="48210874">
        <w:rPr>
          <w:noProof/>
        </w:rPr>
        <w:t xml:space="preserve"> </w:t>
      </w:r>
    </w:p>
    <w:p w14:paraId="5647F89D" w14:textId="2F0877C3" w:rsidR="00BB485F" w:rsidRPr="00D04602" w:rsidRDefault="00C44DD6" w:rsidP="00C44DD6">
      <w:pPr>
        <w:pStyle w:val="ManualConsidrant"/>
        <w:rPr>
          <w:rStyle w:val="CommentReference"/>
          <w:noProof/>
          <w:sz w:val="24"/>
          <w:szCs w:val="24"/>
        </w:rPr>
      </w:pPr>
      <w:r w:rsidRPr="00C44DD6">
        <w:rPr>
          <w:rStyle w:val="CommentReference"/>
          <w:noProof/>
        </w:rPr>
        <w:t>(55)</w:t>
      </w:r>
      <w:r w:rsidRPr="00C44DD6">
        <w:rPr>
          <w:rStyle w:val="CommentReference"/>
          <w:noProof/>
        </w:rPr>
        <w:tab/>
      </w:r>
      <w:r w:rsidR="6CDAD0C3">
        <w:rPr>
          <w:noProof/>
        </w:rPr>
        <w:t xml:space="preserve">Making the process </w:t>
      </w:r>
      <w:r w:rsidR="006859BB">
        <w:rPr>
          <w:noProof/>
        </w:rPr>
        <w:t xml:space="preserve">of </w:t>
      </w:r>
      <w:r w:rsidR="0018626D">
        <w:rPr>
          <w:noProof/>
        </w:rPr>
        <w:t xml:space="preserve">identifying </w:t>
      </w:r>
      <w:r w:rsidR="00243D8B">
        <w:rPr>
          <w:noProof/>
        </w:rPr>
        <w:t>infrastructure needs</w:t>
      </w:r>
      <w:r w:rsidR="6CDAD0C3">
        <w:rPr>
          <w:noProof/>
        </w:rPr>
        <w:t xml:space="preserve"> more comprehensive and granular should enable better matchmaking of </w:t>
      </w:r>
      <w:r w:rsidR="04B876BC">
        <w:rPr>
          <w:noProof/>
        </w:rPr>
        <w:t xml:space="preserve">planned </w:t>
      </w:r>
      <w:r w:rsidR="6CDAD0C3">
        <w:rPr>
          <w:noProof/>
        </w:rPr>
        <w:t>project</w:t>
      </w:r>
      <w:r w:rsidR="4D1CE1E5">
        <w:rPr>
          <w:noProof/>
        </w:rPr>
        <w:t xml:space="preserve">s </w:t>
      </w:r>
      <w:r w:rsidR="6CDAD0C3">
        <w:rPr>
          <w:noProof/>
        </w:rPr>
        <w:t xml:space="preserve">with the needs for transmission capacity expansion. It should also enable a follow-up process leading to identifying new solutions which could address unmatched needs. </w:t>
      </w:r>
      <w:r w:rsidR="003E589D">
        <w:rPr>
          <w:noProof/>
        </w:rPr>
        <w:t>TSOs</w:t>
      </w:r>
      <w:r w:rsidR="12C8E424">
        <w:rPr>
          <w:noProof/>
        </w:rPr>
        <w:t xml:space="preserve"> should be the </w:t>
      </w:r>
      <w:r w:rsidR="00617AF1">
        <w:rPr>
          <w:noProof/>
        </w:rPr>
        <w:t>primary entity to suggest</w:t>
      </w:r>
      <w:r w:rsidR="12C8E424">
        <w:rPr>
          <w:noProof/>
        </w:rPr>
        <w:t xml:space="preserve"> possible </w:t>
      </w:r>
      <w:r w:rsidR="44DE009A">
        <w:rPr>
          <w:noProof/>
        </w:rPr>
        <w:t xml:space="preserve">projects to address the </w:t>
      </w:r>
      <w:r w:rsidR="207D1191">
        <w:rPr>
          <w:noProof/>
        </w:rPr>
        <w:t>gaps</w:t>
      </w:r>
      <w:r w:rsidR="3E52DDAA">
        <w:rPr>
          <w:noProof/>
        </w:rPr>
        <w:t xml:space="preserve">, </w:t>
      </w:r>
      <w:r w:rsidR="477F1F94">
        <w:rPr>
          <w:noProof/>
        </w:rPr>
        <w:t xml:space="preserve">but alternative solutions coming from </w:t>
      </w:r>
      <w:r w:rsidR="049C2E08">
        <w:rPr>
          <w:noProof/>
        </w:rPr>
        <w:t xml:space="preserve">other </w:t>
      </w:r>
      <w:r w:rsidR="207D1191">
        <w:rPr>
          <w:noProof/>
        </w:rPr>
        <w:t xml:space="preserve">stakeholders should </w:t>
      </w:r>
      <w:r w:rsidR="477F1F94">
        <w:rPr>
          <w:noProof/>
        </w:rPr>
        <w:t>also</w:t>
      </w:r>
      <w:r w:rsidR="00D97D18">
        <w:rPr>
          <w:noProof/>
        </w:rPr>
        <w:t xml:space="preserve"> be</w:t>
      </w:r>
      <w:r w:rsidR="477F1F94">
        <w:rPr>
          <w:noProof/>
        </w:rPr>
        <w:t xml:space="preserve"> considered. </w:t>
      </w:r>
      <w:r w:rsidR="003747C7">
        <w:rPr>
          <w:noProof/>
        </w:rPr>
        <w:t>Therefore,</w:t>
      </w:r>
      <w:r w:rsidR="477F1F94">
        <w:rPr>
          <w:noProof/>
        </w:rPr>
        <w:t xml:space="preserve"> </w:t>
      </w:r>
      <w:r w:rsidR="00B90C8E">
        <w:rPr>
          <w:noProof/>
        </w:rPr>
        <w:t>a</w:t>
      </w:r>
      <w:r w:rsidR="477F1F94">
        <w:rPr>
          <w:noProof/>
        </w:rPr>
        <w:t xml:space="preserve"> </w:t>
      </w:r>
      <w:r w:rsidR="4558C4C0">
        <w:rPr>
          <w:noProof/>
        </w:rPr>
        <w:t xml:space="preserve">needs </w:t>
      </w:r>
      <w:r w:rsidR="7BDA6223">
        <w:rPr>
          <w:noProof/>
        </w:rPr>
        <w:t xml:space="preserve">matching </w:t>
      </w:r>
      <w:r w:rsidR="4558C4C0">
        <w:rPr>
          <w:noProof/>
        </w:rPr>
        <w:t xml:space="preserve">process </w:t>
      </w:r>
      <w:r w:rsidR="6E24FA14">
        <w:rPr>
          <w:noProof/>
        </w:rPr>
        <w:t xml:space="preserve">should be </w:t>
      </w:r>
      <w:r w:rsidR="7DEC3C6A">
        <w:rPr>
          <w:noProof/>
        </w:rPr>
        <w:t xml:space="preserve">an outcome of </w:t>
      </w:r>
      <w:r w:rsidR="6E24FA14">
        <w:rPr>
          <w:noProof/>
        </w:rPr>
        <w:t>regional cooperation and involve re</w:t>
      </w:r>
      <w:r w:rsidR="7C63CF11">
        <w:rPr>
          <w:noProof/>
        </w:rPr>
        <w:t>l</w:t>
      </w:r>
      <w:r w:rsidR="6E24FA14">
        <w:rPr>
          <w:noProof/>
        </w:rPr>
        <w:t>e</w:t>
      </w:r>
      <w:r w:rsidR="7C63CF11">
        <w:rPr>
          <w:noProof/>
        </w:rPr>
        <w:t>va</w:t>
      </w:r>
      <w:r w:rsidR="6E24FA14">
        <w:rPr>
          <w:noProof/>
        </w:rPr>
        <w:t xml:space="preserve">nt stakeholders in </w:t>
      </w:r>
      <w:r w:rsidR="728B6DFE">
        <w:rPr>
          <w:noProof/>
        </w:rPr>
        <w:t>the discussion</w:t>
      </w:r>
      <w:r w:rsidR="3DD6DA2A">
        <w:rPr>
          <w:noProof/>
        </w:rPr>
        <w:t>s</w:t>
      </w:r>
      <w:r w:rsidR="728B6DFE">
        <w:rPr>
          <w:noProof/>
        </w:rPr>
        <w:t xml:space="preserve">. </w:t>
      </w:r>
      <w:r w:rsidR="6CDAD0C3">
        <w:rPr>
          <w:noProof/>
        </w:rPr>
        <w:t>The central role of the Commission in the process should enhance regional cooperation and involvement of Member States, national regulatory authorities, project promoters and other relevant stakeholders in the effort to come up with the most adequate projects, be it non-wire or infrastructure solutions to match any possible unaddressed needs.</w:t>
      </w:r>
      <w:r w:rsidR="20412599">
        <w:rPr>
          <w:noProof/>
        </w:rPr>
        <w:t xml:space="preserve"> As a last resort, the Commission should have the right </w:t>
      </w:r>
      <w:r w:rsidR="068F989A">
        <w:rPr>
          <w:noProof/>
        </w:rPr>
        <w:t>to launch a call for proposals</w:t>
      </w:r>
      <w:r w:rsidR="1B6DA288">
        <w:rPr>
          <w:noProof/>
        </w:rPr>
        <w:t xml:space="preserve"> to </w:t>
      </w:r>
      <w:r w:rsidR="04990549">
        <w:rPr>
          <w:noProof/>
        </w:rPr>
        <w:t xml:space="preserve">overcome </w:t>
      </w:r>
      <w:r w:rsidR="6A644B71">
        <w:rPr>
          <w:noProof/>
        </w:rPr>
        <w:t xml:space="preserve">insufficient progress </w:t>
      </w:r>
      <w:r w:rsidR="3406A8DE">
        <w:rPr>
          <w:noProof/>
        </w:rPr>
        <w:t>in addressing persisting gaps.</w:t>
      </w:r>
      <w:r w:rsidR="058DEBA3" w:rsidRPr="00616F97">
        <w:rPr>
          <w:noProof/>
        </w:rPr>
        <w:t xml:space="preserve"> </w:t>
      </w:r>
      <w:r w:rsidR="00827D05" w:rsidRPr="00827D05">
        <w:rPr>
          <w:noProof/>
          <w:szCs w:val="24"/>
        </w:rPr>
        <w:t>It should be ensured that eligible projects are included as soon as possible in the subsequent national development plans, Union-wide ten-year network development plan and the Union list.</w:t>
      </w:r>
      <w:r w:rsidR="058DEBA3" w:rsidRPr="4E141F37">
        <w:rPr>
          <w:rStyle w:val="CommentReference"/>
          <w:noProof/>
          <w:sz w:val="24"/>
          <w:szCs w:val="24"/>
        </w:rPr>
        <w:t xml:space="preserve"> </w:t>
      </w:r>
    </w:p>
    <w:p w14:paraId="22197FEB" w14:textId="0B89582D" w:rsidR="00F215DE" w:rsidRDefault="00C44DD6" w:rsidP="00C44DD6">
      <w:pPr>
        <w:pStyle w:val="ManualConsidrant"/>
        <w:rPr>
          <w:noProof/>
        </w:rPr>
      </w:pPr>
      <w:r w:rsidRPr="00C44DD6">
        <w:rPr>
          <w:noProof/>
        </w:rPr>
        <w:t>(56)</w:t>
      </w:r>
      <w:r w:rsidRPr="00C44DD6">
        <w:rPr>
          <w:noProof/>
        </w:rPr>
        <w:tab/>
      </w:r>
      <w:r w:rsidR="00B42AA4">
        <w:rPr>
          <w:noProof/>
        </w:rPr>
        <w:t xml:space="preserve">An energy system-wide cost-benefit analysis is necessary to ensure that infrastructure planning reflects the evolving needs of an integrated and decarbonised system, by consistently assessing all relevant costs and benefits in order to identify the most efficient solutions for achieving Union energy and climate objectives. </w:t>
      </w:r>
      <w:r w:rsidR="257932C7">
        <w:rPr>
          <w:noProof/>
        </w:rPr>
        <w:t>Non-wire solutions</w:t>
      </w:r>
      <w:r w:rsidR="66C6E522">
        <w:rPr>
          <w:noProof/>
        </w:rPr>
        <w:t xml:space="preserve">, such as </w:t>
      </w:r>
      <w:r w:rsidR="305CADBB">
        <w:rPr>
          <w:noProof/>
        </w:rPr>
        <w:t>dynamic line and transformer rating, advanced power flow control systems</w:t>
      </w:r>
      <w:r w:rsidR="4C0BC232">
        <w:rPr>
          <w:noProof/>
        </w:rPr>
        <w:t xml:space="preserve"> or </w:t>
      </w:r>
      <w:r w:rsidR="305CADBB">
        <w:rPr>
          <w:noProof/>
        </w:rPr>
        <w:t>digital twin platforms</w:t>
      </w:r>
      <w:r w:rsidR="257932C7">
        <w:rPr>
          <w:noProof/>
        </w:rPr>
        <w:t xml:space="preserve"> sh</w:t>
      </w:r>
      <w:r w:rsidR="50959DFF">
        <w:rPr>
          <w:noProof/>
        </w:rPr>
        <w:t>ould</w:t>
      </w:r>
      <w:r w:rsidR="257932C7">
        <w:rPr>
          <w:noProof/>
        </w:rPr>
        <w:t xml:space="preserve"> play </w:t>
      </w:r>
      <w:r w:rsidR="0018626D">
        <w:rPr>
          <w:noProof/>
        </w:rPr>
        <w:t xml:space="preserve">a </w:t>
      </w:r>
      <w:r w:rsidR="257932C7">
        <w:rPr>
          <w:noProof/>
        </w:rPr>
        <w:t>greater role</w:t>
      </w:r>
      <w:r w:rsidR="4C0BC232">
        <w:rPr>
          <w:noProof/>
        </w:rPr>
        <w:t xml:space="preserve"> in addressing</w:t>
      </w:r>
      <w:r w:rsidR="53E29D7E">
        <w:rPr>
          <w:noProof/>
        </w:rPr>
        <w:t xml:space="preserve"> network needs</w:t>
      </w:r>
      <w:r w:rsidR="0DCB17ED">
        <w:rPr>
          <w:noProof/>
        </w:rPr>
        <w:t xml:space="preserve"> both in operation</w:t>
      </w:r>
      <w:r w:rsidR="746ED358">
        <w:rPr>
          <w:noProof/>
        </w:rPr>
        <w:t>al and expansion terms</w:t>
      </w:r>
      <w:r w:rsidR="00B42AA4">
        <w:rPr>
          <w:noProof/>
        </w:rPr>
        <w:t xml:space="preserve"> and should therefore </w:t>
      </w:r>
      <w:r w:rsidR="0074532C">
        <w:rPr>
          <w:noProof/>
        </w:rPr>
        <w:t xml:space="preserve">also </w:t>
      </w:r>
      <w:r w:rsidR="006E59A4">
        <w:rPr>
          <w:noProof/>
        </w:rPr>
        <w:t xml:space="preserve">be </w:t>
      </w:r>
      <w:r w:rsidR="0074532C">
        <w:rPr>
          <w:noProof/>
        </w:rPr>
        <w:t>covered by</w:t>
      </w:r>
      <w:r w:rsidR="00B42AA4">
        <w:rPr>
          <w:noProof/>
        </w:rPr>
        <w:t xml:space="preserve"> the energy system wide cost-benefit analysis</w:t>
      </w:r>
      <w:r w:rsidR="746ED358">
        <w:rPr>
          <w:noProof/>
        </w:rPr>
        <w:t>.</w:t>
      </w:r>
    </w:p>
    <w:p w14:paraId="474D2EE4" w14:textId="3D3DEBBC" w:rsidR="00D87C00" w:rsidRDefault="00C44DD6" w:rsidP="00C44DD6">
      <w:pPr>
        <w:pStyle w:val="ManualConsidrant"/>
        <w:rPr>
          <w:noProof/>
        </w:rPr>
      </w:pPr>
      <w:r w:rsidRPr="00C44DD6">
        <w:rPr>
          <w:noProof/>
        </w:rPr>
        <w:t>(57)</w:t>
      </w:r>
      <w:r w:rsidRPr="00C44DD6">
        <w:rPr>
          <w:noProof/>
        </w:rPr>
        <w:tab/>
      </w:r>
      <w:r w:rsidR="00D87C00">
        <w:rPr>
          <w:noProof/>
        </w:rPr>
        <w:t xml:space="preserve">The Union-wide ten-year network development plan should provide a comprehensive overview of planned infrastructure projects having cross-border impacts in the Union. Non-wire and flexibility solutions should </w:t>
      </w:r>
      <w:r w:rsidR="00927C5A">
        <w:rPr>
          <w:noProof/>
        </w:rPr>
        <w:t>form</w:t>
      </w:r>
      <w:r w:rsidR="009837F2">
        <w:rPr>
          <w:noProof/>
        </w:rPr>
        <w:t xml:space="preserve"> </w:t>
      </w:r>
      <w:r w:rsidR="00D87C00">
        <w:rPr>
          <w:noProof/>
        </w:rPr>
        <w:t>an intrinsic part of the plan so that it provides a full picture of future investments necessary for optimal operation of the electricity and hydrogen networks. A specific consideration should also be given to projects improving security and resilience of the network.</w:t>
      </w:r>
    </w:p>
    <w:p w14:paraId="770CB678" w14:textId="4431956A" w:rsidR="00191138" w:rsidRPr="002A75D5" w:rsidRDefault="00C44DD6" w:rsidP="00C44DD6">
      <w:pPr>
        <w:pStyle w:val="ManualConsidrant"/>
        <w:rPr>
          <w:rStyle w:val="CommentReference"/>
          <w:noProof/>
          <w:sz w:val="24"/>
          <w:szCs w:val="24"/>
        </w:rPr>
      </w:pPr>
      <w:r w:rsidRPr="00C44DD6">
        <w:rPr>
          <w:rStyle w:val="CommentReference"/>
          <w:noProof/>
        </w:rPr>
        <w:t>(58)</w:t>
      </w:r>
      <w:r w:rsidRPr="00C44DD6">
        <w:rPr>
          <w:rStyle w:val="CommentReference"/>
          <w:noProof/>
        </w:rPr>
        <w:tab/>
      </w:r>
      <w:r w:rsidR="7C145C48">
        <w:rPr>
          <w:noProof/>
        </w:rPr>
        <w:t xml:space="preserve">In carrying out their tasks preceding the adoption of the Union-wide ten-year network development plans, the ENTSO for Electricity and </w:t>
      </w:r>
      <w:r w:rsidR="17A9D75D">
        <w:rPr>
          <w:noProof/>
        </w:rPr>
        <w:t>the ENNOH</w:t>
      </w:r>
      <w:r w:rsidR="58CFB108">
        <w:rPr>
          <w:noProof/>
        </w:rPr>
        <w:t>, the Agency and the Commission</w:t>
      </w:r>
      <w:r w:rsidR="17A9D75D">
        <w:rPr>
          <w:noProof/>
        </w:rPr>
        <w:t xml:space="preserve"> </w:t>
      </w:r>
      <w:r w:rsidR="7C145C48">
        <w:rPr>
          <w:noProof/>
        </w:rPr>
        <w:t xml:space="preserve">should conduct an extensive consultation process involving all relevant stakeholders. </w:t>
      </w:r>
      <w:r w:rsidR="005A5794">
        <w:rPr>
          <w:noProof/>
        </w:rPr>
        <w:t>Those</w:t>
      </w:r>
      <w:r w:rsidR="189DA3B7">
        <w:rPr>
          <w:noProof/>
        </w:rPr>
        <w:t xml:space="preserve"> stakeholders should </w:t>
      </w:r>
      <w:r w:rsidR="3BB19131">
        <w:rPr>
          <w:noProof/>
        </w:rPr>
        <w:t xml:space="preserve">include </w:t>
      </w:r>
      <w:r w:rsidR="2D948993">
        <w:rPr>
          <w:noProof/>
        </w:rPr>
        <w:t>the</w:t>
      </w:r>
      <w:r w:rsidR="006D37E2">
        <w:rPr>
          <w:noProof/>
        </w:rPr>
        <w:t xml:space="preserve"> </w:t>
      </w:r>
      <w:r w:rsidR="006D37E2" w:rsidRPr="00981A11">
        <w:rPr>
          <w:noProof/>
          <w:shd w:val="clear" w:color="auto" w:fill="F5F5F5"/>
        </w:rPr>
        <w:t>European entity for the cooperation of electricity distribution system operators in the European Union</w:t>
      </w:r>
      <w:r w:rsidR="00AE01E8">
        <w:rPr>
          <w:noProof/>
        </w:rPr>
        <w:t xml:space="preserve"> </w:t>
      </w:r>
      <w:r w:rsidR="2D948993">
        <w:rPr>
          <w:noProof/>
        </w:rPr>
        <w:t>, associations involved in electricity, gas and hydrogen markets, heating and cooling, carbon capture and storage and carbon capture and utilisation stakeholders, independent aggregators, demand-response operators, organisations involved in energy efficiency solutions</w:t>
      </w:r>
      <w:r w:rsidR="6AA60F73">
        <w:rPr>
          <w:noProof/>
        </w:rPr>
        <w:t xml:space="preserve">, industrial sectors </w:t>
      </w:r>
      <w:r w:rsidR="45F07499">
        <w:rPr>
          <w:noProof/>
        </w:rPr>
        <w:t>including</w:t>
      </w:r>
      <w:r w:rsidR="6AA60F73">
        <w:rPr>
          <w:noProof/>
        </w:rPr>
        <w:t xml:space="preserve"> </w:t>
      </w:r>
      <w:r w:rsidR="437451DE">
        <w:rPr>
          <w:noProof/>
        </w:rPr>
        <w:t>transport, digitalisation,</w:t>
      </w:r>
      <w:r w:rsidR="2D948993">
        <w:rPr>
          <w:noProof/>
        </w:rPr>
        <w:t xml:space="preserve"> </w:t>
      </w:r>
      <w:r w:rsidR="7F8ED521">
        <w:rPr>
          <w:noProof/>
        </w:rPr>
        <w:t xml:space="preserve">and data, </w:t>
      </w:r>
      <w:r w:rsidR="2D948993">
        <w:rPr>
          <w:noProof/>
        </w:rPr>
        <w:t>a</w:t>
      </w:r>
      <w:r w:rsidR="79DC82BF">
        <w:rPr>
          <w:noProof/>
        </w:rPr>
        <w:t>s well as</w:t>
      </w:r>
      <w:r w:rsidR="2D948993">
        <w:rPr>
          <w:noProof/>
        </w:rPr>
        <w:t xml:space="preserve"> energy consumer associations, </w:t>
      </w:r>
      <w:r w:rsidR="11202D7D">
        <w:rPr>
          <w:noProof/>
        </w:rPr>
        <w:t xml:space="preserve">the European Scientific Advisory Board on Climate Change and </w:t>
      </w:r>
      <w:r w:rsidR="2D948993">
        <w:rPr>
          <w:noProof/>
        </w:rPr>
        <w:t>civil society representatives</w:t>
      </w:r>
      <w:r w:rsidR="06D116C6">
        <w:rPr>
          <w:noProof/>
        </w:rPr>
        <w:t xml:space="preserve">, as relevant. </w:t>
      </w:r>
      <w:r w:rsidR="54C8E6CE">
        <w:rPr>
          <w:noProof/>
        </w:rPr>
        <w:t xml:space="preserve">The Stakeholder Reference Group has proven to be an effective forum of stakeholder cooperation and its further contribution to the Union wide ten-year network development plan should be supported. </w:t>
      </w:r>
      <w:r w:rsidR="7C145C48">
        <w:rPr>
          <w:noProof/>
        </w:rPr>
        <w:t>The consultation should be open and transparent and should be organised i</w:t>
      </w:r>
      <w:r w:rsidR="719F8464">
        <w:rPr>
          <w:noProof/>
        </w:rPr>
        <w:t>n</w:t>
      </w:r>
      <w:r w:rsidR="7C145C48">
        <w:rPr>
          <w:noProof/>
        </w:rPr>
        <w:t xml:space="preserve"> a timely manner to allow for stakeholders’ feedback in the preparation of key phases of the Union-wide ten-year network development plans, such as infrastructure gaps identification and the cost-benefit analysis methodology for project assessment. The ENTSO for Electricity and the </w:t>
      </w:r>
      <w:r w:rsidR="719F8464">
        <w:rPr>
          <w:noProof/>
        </w:rPr>
        <w:t xml:space="preserve">ENNOH </w:t>
      </w:r>
      <w:r w:rsidR="7C145C48">
        <w:rPr>
          <w:noProof/>
        </w:rPr>
        <w:t>should give due consideration to the input received from stakeholders during consultations and should explain how they took that input into account</w:t>
      </w:r>
      <w:r w:rsidR="00161EDC">
        <w:rPr>
          <w:noProof/>
        </w:rPr>
        <w:t xml:space="preserve"> when submitting final proposals</w:t>
      </w:r>
      <w:r w:rsidR="7C145C48">
        <w:rPr>
          <w:noProof/>
        </w:rPr>
        <w:t>.</w:t>
      </w:r>
      <w:r w:rsidR="14A2F670" w:rsidRPr="378AE33B">
        <w:rPr>
          <w:rStyle w:val="CommentReference"/>
          <w:noProof/>
          <w:sz w:val="24"/>
          <w:szCs w:val="24"/>
        </w:rPr>
        <w:t xml:space="preserve"> </w:t>
      </w:r>
    </w:p>
    <w:p w14:paraId="3DC10B09" w14:textId="7398B3AB" w:rsidR="00191138" w:rsidRDefault="00C44DD6" w:rsidP="00C44DD6">
      <w:pPr>
        <w:pStyle w:val="ManualConsidrant"/>
        <w:rPr>
          <w:noProof/>
        </w:rPr>
      </w:pPr>
      <w:r w:rsidRPr="00C44DD6">
        <w:rPr>
          <w:noProof/>
        </w:rPr>
        <w:t>(59)</w:t>
      </w:r>
      <w:r w:rsidRPr="00C44DD6">
        <w:rPr>
          <w:noProof/>
        </w:rPr>
        <w:tab/>
      </w:r>
      <w:r w:rsidR="6190865E">
        <w:rPr>
          <w:noProof/>
        </w:rPr>
        <w:t>Energy i</w:t>
      </w:r>
      <w:r w:rsidR="0415FC92">
        <w:rPr>
          <w:noProof/>
        </w:rPr>
        <w:t xml:space="preserve">nfrastructure </w:t>
      </w:r>
      <w:r w:rsidR="19ACFC6E">
        <w:rPr>
          <w:noProof/>
        </w:rPr>
        <w:t xml:space="preserve">planning </w:t>
      </w:r>
      <w:r w:rsidR="6190865E">
        <w:rPr>
          <w:noProof/>
        </w:rPr>
        <w:t xml:space="preserve">should properly </w:t>
      </w:r>
      <w:r w:rsidR="46B6A27C">
        <w:rPr>
          <w:noProof/>
        </w:rPr>
        <w:t xml:space="preserve">reflect </w:t>
      </w:r>
      <w:r w:rsidR="68B0B8E9">
        <w:rPr>
          <w:noProof/>
        </w:rPr>
        <w:t xml:space="preserve">sector coupling and </w:t>
      </w:r>
      <w:r w:rsidR="303A66D4">
        <w:rPr>
          <w:noProof/>
        </w:rPr>
        <w:t xml:space="preserve">cross-linkages </w:t>
      </w:r>
      <w:r w:rsidR="001206EB">
        <w:rPr>
          <w:noProof/>
        </w:rPr>
        <w:t>between</w:t>
      </w:r>
      <w:r w:rsidR="303A66D4">
        <w:rPr>
          <w:noProof/>
        </w:rPr>
        <w:t xml:space="preserve"> energy </w:t>
      </w:r>
      <w:r w:rsidR="001206EB">
        <w:rPr>
          <w:noProof/>
        </w:rPr>
        <w:t>carriers</w:t>
      </w:r>
      <w:r w:rsidR="46B6A27C">
        <w:rPr>
          <w:noProof/>
        </w:rPr>
        <w:t>. T</w:t>
      </w:r>
      <w:r w:rsidR="57BC1A5E">
        <w:rPr>
          <w:noProof/>
        </w:rPr>
        <w:t>he scenarios</w:t>
      </w:r>
      <w:r w:rsidR="46B6A27C">
        <w:rPr>
          <w:noProof/>
        </w:rPr>
        <w:t>’ development</w:t>
      </w:r>
      <w:r w:rsidR="57BC1A5E">
        <w:rPr>
          <w:noProof/>
        </w:rPr>
        <w:t xml:space="preserve">, the </w:t>
      </w:r>
      <w:r w:rsidR="00401D6E">
        <w:rPr>
          <w:noProof/>
        </w:rPr>
        <w:t>process of identifying</w:t>
      </w:r>
      <w:r w:rsidR="00281F22">
        <w:rPr>
          <w:noProof/>
        </w:rPr>
        <w:t xml:space="preserve"> </w:t>
      </w:r>
      <w:r w:rsidR="78C8B4C7">
        <w:rPr>
          <w:noProof/>
        </w:rPr>
        <w:t xml:space="preserve">infrastructure </w:t>
      </w:r>
      <w:r w:rsidR="57BC1A5E">
        <w:rPr>
          <w:noProof/>
        </w:rPr>
        <w:t xml:space="preserve">needs and the methodologies for </w:t>
      </w:r>
      <w:r w:rsidR="36501401">
        <w:rPr>
          <w:noProof/>
        </w:rPr>
        <w:t>cost-benefit analys</w:t>
      </w:r>
      <w:r w:rsidR="45A00120">
        <w:rPr>
          <w:noProof/>
        </w:rPr>
        <w:t>is</w:t>
      </w:r>
      <w:r w:rsidR="18BBDE74">
        <w:rPr>
          <w:noProof/>
        </w:rPr>
        <w:t xml:space="preserve"> </w:t>
      </w:r>
      <w:r w:rsidR="008AC0BE">
        <w:rPr>
          <w:noProof/>
        </w:rPr>
        <w:t xml:space="preserve">should </w:t>
      </w:r>
      <w:r w:rsidR="4A55BF76">
        <w:rPr>
          <w:noProof/>
        </w:rPr>
        <w:t xml:space="preserve">be based on </w:t>
      </w:r>
      <w:r w:rsidR="00F11CFD">
        <w:rPr>
          <w:noProof/>
        </w:rPr>
        <w:t xml:space="preserve">an </w:t>
      </w:r>
      <w:r w:rsidR="008AC0BE">
        <w:rPr>
          <w:noProof/>
        </w:rPr>
        <w:t xml:space="preserve">integrated, long-term and optimised ‘one energy system’ </w:t>
      </w:r>
      <w:r w:rsidR="7C2C0FCF">
        <w:rPr>
          <w:noProof/>
        </w:rPr>
        <w:t xml:space="preserve">approach </w:t>
      </w:r>
      <w:r w:rsidR="04E14651">
        <w:rPr>
          <w:noProof/>
        </w:rPr>
        <w:t xml:space="preserve">and </w:t>
      </w:r>
      <w:r w:rsidR="6A6FAE17">
        <w:rPr>
          <w:noProof/>
        </w:rPr>
        <w:t>modelling</w:t>
      </w:r>
      <w:r w:rsidR="00292982">
        <w:rPr>
          <w:noProof/>
        </w:rPr>
        <w:t xml:space="preserve"> which</w:t>
      </w:r>
      <w:r w:rsidR="6A6FAE17">
        <w:rPr>
          <w:noProof/>
        </w:rPr>
        <w:t xml:space="preserve"> </w:t>
      </w:r>
      <w:r w:rsidR="40A8EAD1">
        <w:rPr>
          <w:noProof/>
        </w:rPr>
        <w:t>us</w:t>
      </w:r>
      <w:r w:rsidR="00292982">
        <w:rPr>
          <w:noProof/>
        </w:rPr>
        <w:t>es</w:t>
      </w:r>
      <w:r w:rsidR="5F250943">
        <w:rPr>
          <w:noProof/>
        </w:rPr>
        <w:t xml:space="preserve"> common assumptions and </w:t>
      </w:r>
      <w:r w:rsidR="359A9C98">
        <w:rPr>
          <w:noProof/>
        </w:rPr>
        <w:t xml:space="preserve">consistent </w:t>
      </w:r>
      <w:r w:rsidR="5C515069">
        <w:rPr>
          <w:noProof/>
        </w:rPr>
        <w:t>methodologies.</w:t>
      </w:r>
      <w:r w:rsidR="3BC7CA0A">
        <w:rPr>
          <w:noProof/>
        </w:rPr>
        <w:t xml:space="preserve"> </w:t>
      </w:r>
      <w:r w:rsidR="5F7D3E75">
        <w:rPr>
          <w:noProof/>
        </w:rPr>
        <w:t>G</w:t>
      </w:r>
      <w:r w:rsidR="008AC0BE">
        <w:rPr>
          <w:noProof/>
        </w:rPr>
        <w:t xml:space="preserve">reater coordination of infrastructure planning across sectors </w:t>
      </w:r>
      <w:r w:rsidR="5F7D3E75">
        <w:rPr>
          <w:noProof/>
        </w:rPr>
        <w:t>should</w:t>
      </w:r>
      <w:r w:rsidR="008AC0BE">
        <w:rPr>
          <w:noProof/>
        </w:rPr>
        <w:t xml:space="preserve"> </w:t>
      </w:r>
      <w:r w:rsidR="2DAD7200">
        <w:rPr>
          <w:noProof/>
        </w:rPr>
        <w:t>help prioritise and deploy new infrastructure solutions in a more optimal manner</w:t>
      </w:r>
      <w:r w:rsidR="008AC0BE">
        <w:rPr>
          <w:noProof/>
        </w:rPr>
        <w:t>.</w:t>
      </w:r>
    </w:p>
    <w:p w14:paraId="31D13269" w14:textId="20CD007E" w:rsidR="00191138" w:rsidRDefault="00C44DD6" w:rsidP="00C44DD6">
      <w:pPr>
        <w:pStyle w:val="ManualConsidrant"/>
        <w:rPr>
          <w:rFonts w:eastAsia="Times New Roman"/>
          <w:noProof/>
          <w:color w:val="000000" w:themeColor="text1"/>
        </w:rPr>
      </w:pPr>
      <w:r w:rsidRPr="00C44DD6">
        <w:rPr>
          <w:noProof/>
        </w:rPr>
        <w:t>(60)</w:t>
      </w:r>
      <w:r w:rsidRPr="00C44DD6">
        <w:rPr>
          <w:noProof/>
        </w:rPr>
        <w:tab/>
      </w:r>
      <w:r w:rsidR="3E1483F5">
        <w:rPr>
          <w:noProof/>
        </w:rPr>
        <w:t>The importance of ensuring that</w:t>
      </w:r>
      <w:r w:rsidR="7C145C48">
        <w:rPr>
          <w:noProof/>
        </w:rPr>
        <w:t xml:space="preserve"> only infrastructure projects for which no reasonable alternative solutions exist may receive the status of project of common interest</w:t>
      </w:r>
      <w:r w:rsidR="0FE65069">
        <w:rPr>
          <w:noProof/>
        </w:rPr>
        <w:t xml:space="preserve"> or project of mutual interest</w:t>
      </w:r>
      <w:r w:rsidR="6D307AC4">
        <w:rPr>
          <w:noProof/>
        </w:rPr>
        <w:t xml:space="preserve"> also entails that </w:t>
      </w:r>
      <w:r w:rsidR="7C145C48">
        <w:rPr>
          <w:noProof/>
        </w:rPr>
        <w:t xml:space="preserve">the </w:t>
      </w:r>
      <w:r w:rsidR="0019456B">
        <w:rPr>
          <w:noProof/>
        </w:rPr>
        <w:t>‘</w:t>
      </w:r>
      <w:r w:rsidR="7C145C48">
        <w:rPr>
          <w:noProof/>
        </w:rPr>
        <w:t>energy efficiency first</w:t>
      </w:r>
      <w:r w:rsidR="0019456B">
        <w:rPr>
          <w:noProof/>
        </w:rPr>
        <w:t>’</w:t>
      </w:r>
      <w:r w:rsidR="7C145C48">
        <w:rPr>
          <w:noProof/>
        </w:rPr>
        <w:t xml:space="preserve"> principle should be taken into account in the </w:t>
      </w:r>
      <w:r w:rsidR="00D87C00">
        <w:rPr>
          <w:noProof/>
        </w:rPr>
        <w:t xml:space="preserve">energy </w:t>
      </w:r>
      <w:r w:rsidR="7C145C48">
        <w:rPr>
          <w:noProof/>
        </w:rPr>
        <w:t xml:space="preserve">infrastructure </w:t>
      </w:r>
      <w:r w:rsidR="00D87C00">
        <w:rPr>
          <w:noProof/>
        </w:rPr>
        <w:t xml:space="preserve">planning </w:t>
      </w:r>
      <w:r w:rsidR="7C145C48">
        <w:rPr>
          <w:noProof/>
        </w:rPr>
        <w:t xml:space="preserve">and </w:t>
      </w:r>
      <w:r w:rsidR="00D87C00">
        <w:rPr>
          <w:noProof/>
        </w:rPr>
        <w:t xml:space="preserve">in </w:t>
      </w:r>
      <w:r w:rsidR="7C145C48">
        <w:rPr>
          <w:noProof/>
        </w:rPr>
        <w:t xml:space="preserve">the work of the regional groups in establishing the regional lists of proposed projects. In </w:t>
      </w:r>
      <w:r w:rsidR="006D37E2">
        <w:rPr>
          <w:noProof/>
        </w:rPr>
        <w:t>accordance</w:t>
      </w:r>
      <w:r w:rsidR="7C145C48">
        <w:rPr>
          <w:noProof/>
        </w:rPr>
        <w:t xml:space="preserve"> with the energy efficiency first principle, all relevant alternatives to new infrastructure for ensuring future infrastructure needs, should be considered.</w:t>
      </w:r>
      <w:r w:rsidR="171D68A3">
        <w:rPr>
          <w:noProof/>
        </w:rPr>
        <w:t xml:space="preserve"> </w:t>
      </w:r>
      <w:r w:rsidR="15F43EC4">
        <w:rPr>
          <w:noProof/>
        </w:rPr>
        <w:t>S</w:t>
      </w:r>
      <w:r w:rsidR="171D68A3">
        <w:rPr>
          <w:noProof/>
        </w:rPr>
        <w:t xml:space="preserve">pecial </w:t>
      </w:r>
      <w:r w:rsidR="651B528C">
        <w:rPr>
          <w:noProof/>
        </w:rPr>
        <w:t xml:space="preserve">consideration should be given to non-wire </w:t>
      </w:r>
      <w:r w:rsidR="661FA615">
        <w:rPr>
          <w:noProof/>
        </w:rPr>
        <w:t xml:space="preserve">or digital </w:t>
      </w:r>
      <w:r w:rsidR="651B528C">
        <w:rPr>
          <w:noProof/>
        </w:rPr>
        <w:t>solution</w:t>
      </w:r>
      <w:r w:rsidR="661FA615">
        <w:rPr>
          <w:noProof/>
        </w:rPr>
        <w:t>s,</w:t>
      </w:r>
      <w:r w:rsidR="62960C4A">
        <w:rPr>
          <w:noProof/>
        </w:rPr>
        <w:t xml:space="preserve"> use of demand response </w:t>
      </w:r>
      <w:r w:rsidR="3E566F1B">
        <w:rPr>
          <w:noProof/>
        </w:rPr>
        <w:t>or non-fossil flexibility,</w:t>
      </w:r>
      <w:r w:rsidR="651B528C">
        <w:rPr>
          <w:noProof/>
        </w:rPr>
        <w:t xml:space="preserve"> which could </w:t>
      </w:r>
      <w:r w:rsidR="3EDC94F8">
        <w:rPr>
          <w:noProof/>
        </w:rPr>
        <w:t>improve overall efficiency of the networks.</w:t>
      </w:r>
      <w:r w:rsidR="0091791E">
        <w:rPr>
          <w:noProof/>
        </w:rPr>
        <w:t xml:space="preserve"> </w:t>
      </w:r>
      <w:r w:rsidR="003F1D2C">
        <w:rPr>
          <w:noProof/>
        </w:rPr>
        <w:t>To this aim, the</w:t>
      </w:r>
      <w:r w:rsidR="00150932">
        <w:rPr>
          <w:noProof/>
        </w:rPr>
        <w:t>se solutions</w:t>
      </w:r>
      <w:r w:rsidR="003F1D2C">
        <w:rPr>
          <w:noProof/>
        </w:rPr>
        <w:t xml:space="preserve"> should be considered with priority by system operators when assessing projects for system expansion. </w:t>
      </w:r>
      <w:r w:rsidR="59677EA2" w:rsidRPr="4E141F37">
        <w:rPr>
          <w:rFonts w:eastAsia="Times New Roman"/>
          <w:noProof/>
          <w:color w:val="000000" w:themeColor="text1"/>
        </w:rPr>
        <w:t>A cost-efficient utilisation of networks should also be incentivised, notably through the use of locational and time-of-use price signals in network charges and support schemes.</w:t>
      </w:r>
    </w:p>
    <w:p w14:paraId="4187AD54" w14:textId="6987FB9F" w:rsidR="00AA09C0" w:rsidRDefault="00C44DD6" w:rsidP="00C44DD6">
      <w:pPr>
        <w:pStyle w:val="ManualConsidrant"/>
        <w:rPr>
          <w:noProof/>
        </w:rPr>
      </w:pPr>
      <w:r w:rsidRPr="00C44DD6">
        <w:rPr>
          <w:noProof/>
        </w:rPr>
        <w:t>(61)</w:t>
      </w:r>
      <w:r w:rsidRPr="00C44DD6">
        <w:rPr>
          <w:noProof/>
        </w:rPr>
        <w:tab/>
      </w:r>
      <w:r w:rsidR="00D87C00">
        <w:rPr>
          <w:noProof/>
        </w:rPr>
        <w:t xml:space="preserve">To </w:t>
      </w:r>
      <w:r w:rsidR="0E7354D5">
        <w:rPr>
          <w:noProof/>
        </w:rPr>
        <w:t xml:space="preserve">achieve the Union’s 2050 climate neutrality objective, the Union needs to significantly scale up renewable electricity generation. </w:t>
      </w:r>
      <w:r w:rsidR="606A8196">
        <w:rPr>
          <w:noProof/>
        </w:rPr>
        <w:t>I</w:t>
      </w:r>
      <w:r w:rsidR="0E7354D5">
        <w:rPr>
          <w:noProof/>
        </w:rPr>
        <w:t xml:space="preserve">nvestment in offshore renewable energy should be </w:t>
      </w:r>
      <w:r w:rsidR="00013309">
        <w:rPr>
          <w:noProof/>
        </w:rPr>
        <w:t>increased</w:t>
      </w:r>
      <w:r w:rsidR="0E7354D5">
        <w:rPr>
          <w:noProof/>
        </w:rPr>
        <w:t xml:space="preserve"> with the aim of reaching at least 350 GW of offshore renewable generation installed in </w:t>
      </w:r>
      <w:r w:rsidR="6B4A3932">
        <w:rPr>
          <w:noProof/>
        </w:rPr>
        <w:t xml:space="preserve">accordance </w:t>
      </w:r>
      <w:r w:rsidR="0E7354D5">
        <w:rPr>
          <w:noProof/>
        </w:rPr>
        <w:t>with the cumulative non-binding regional Member States offshore renewable goals updated in December 2024 and supported in the Commission Communication of 24 October 2023 entitled ‘Delivering on the EU offshore renewable energy ambitions’</w:t>
      </w:r>
      <w:r w:rsidR="00B4140B">
        <w:rPr>
          <w:rStyle w:val="FootnoteReference"/>
          <w:noProof/>
        </w:rPr>
        <w:footnoteReference w:id="60"/>
      </w:r>
      <w:r w:rsidR="00B4140B">
        <w:rPr>
          <w:noProof/>
        </w:rPr>
        <w:t>.</w:t>
      </w:r>
      <w:r w:rsidR="0E7354D5">
        <w:rPr>
          <w:noProof/>
        </w:rPr>
        <w:t xml:space="preserve"> The first Offshore network development plans (ONDPs) published by </w:t>
      </w:r>
      <w:r w:rsidR="5931F378">
        <w:rPr>
          <w:noProof/>
        </w:rPr>
        <w:t xml:space="preserve">the </w:t>
      </w:r>
      <w:r w:rsidR="0E7354D5">
        <w:rPr>
          <w:noProof/>
        </w:rPr>
        <w:t xml:space="preserve">ENTSO for Electricity in January 2024 made an important step forward by anchoring Member States offshore regional ambitions in offshore network planning. </w:t>
      </w:r>
      <w:r w:rsidR="006D42CF">
        <w:rPr>
          <w:noProof/>
        </w:rPr>
        <w:t>That</w:t>
      </w:r>
      <w:r w:rsidR="0E7354D5">
        <w:rPr>
          <w:noProof/>
        </w:rPr>
        <w:t xml:space="preserve"> should support the identification of cross-border offshore renewable projects</w:t>
      </w:r>
      <w:r w:rsidR="37CAFD6F">
        <w:rPr>
          <w:noProof/>
        </w:rPr>
        <w:t>, including hybrids and cross-border radials,</w:t>
      </w:r>
      <w:r w:rsidR="0E7354D5">
        <w:rPr>
          <w:noProof/>
        </w:rPr>
        <w:t xml:space="preserve"> to ensure an optimized and cost-efficient development of offshore networks at sea-basin level. Th</w:t>
      </w:r>
      <w:r w:rsidR="7D216FF4">
        <w:rPr>
          <w:noProof/>
        </w:rPr>
        <w:t>e</w:t>
      </w:r>
      <w:r w:rsidR="0E7354D5">
        <w:rPr>
          <w:noProof/>
        </w:rPr>
        <w:t xml:space="preserve"> strategic long-term logic</w:t>
      </w:r>
      <w:r w:rsidR="20358B82">
        <w:rPr>
          <w:noProof/>
        </w:rPr>
        <w:t xml:space="preserve"> included in the ONDPs</w:t>
      </w:r>
      <w:r w:rsidR="0E7354D5">
        <w:rPr>
          <w:noProof/>
        </w:rPr>
        <w:t xml:space="preserve"> should be extended to onshore electricity grids, as well as hydrogen networks. </w:t>
      </w:r>
    </w:p>
    <w:p w14:paraId="0D11386D" w14:textId="351E6150" w:rsidR="00AA09C0" w:rsidRDefault="00C44DD6" w:rsidP="00C44DD6">
      <w:pPr>
        <w:pStyle w:val="ManualConsidrant"/>
        <w:rPr>
          <w:rStyle w:val="CommentReference"/>
          <w:noProof/>
          <w:sz w:val="24"/>
          <w:szCs w:val="24"/>
        </w:rPr>
      </w:pPr>
      <w:r w:rsidRPr="00C44DD6">
        <w:rPr>
          <w:rStyle w:val="CommentReference"/>
          <w:noProof/>
        </w:rPr>
        <w:t>(62)</w:t>
      </w:r>
      <w:r w:rsidRPr="00C44DD6">
        <w:rPr>
          <w:rStyle w:val="CommentReference"/>
          <w:noProof/>
        </w:rPr>
        <w:tab/>
      </w:r>
      <w:r w:rsidR="0E7354D5">
        <w:rPr>
          <w:noProof/>
        </w:rPr>
        <w:t xml:space="preserve">The assessment of the benefits and costs of the priority offshore grid corridors for renewable energy should support Member States to carry out a preliminary cost-sharing analysis at priority offshore grid corridor level, in order to underpin the subsequent joint political commitments for cross-border offshore </w:t>
      </w:r>
      <w:r w:rsidR="68FF1C31">
        <w:rPr>
          <w:noProof/>
        </w:rPr>
        <w:t>grid</w:t>
      </w:r>
      <w:r w:rsidR="0E7354D5">
        <w:rPr>
          <w:noProof/>
        </w:rPr>
        <w:t xml:space="preserve"> projects. The Commission guidance on collaborative investment frameworks for offshore projects of 27 June 2024 should inform the assessment of the benefits and costs of the priority offshore grid corridors for renewable energy and may be updated by the Commission, with the involvement of the Member States, relevant TSOs, the Agency and the national regulatory authorities, </w:t>
      </w:r>
      <w:r w:rsidR="00B92AEB">
        <w:rPr>
          <w:noProof/>
        </w:rPr>
        <w:t xml:space="preserve">when </w:t>
      </w:r>
      <w:r w:rsidR="0E7354D5">
        <w:rPr>
          <w:noProof/>
        </w:rPr>
        <w:t>considered relevant.</w:t>
      </w:r>
      <w:r w:rsidR="14A2F670" w:rsidRPr="4E141F37">
        <w:rPr>
          <w:rStyle w:val="CommentReference"/>
          <w:noProof/>
          <w:sz w:val="24"/>
          <w:szCs w:val="24"/>
        </w:rPr>
        <w:t xml:space="preserve"> </w:t>
      </w:r>
    </w:p>
    <w:p w14:paraId="68AE56F5" w14:textId="58D9C318" w:rsidR="00191138" w:rsidRPr="00060C95" w:rsidRDefault="00C44DD6" w:rsidP="00C44DD6">
      <w:pPr>
        <w:pStyle w:val="ManualConsidrant"/>
        <w:rPr>
          <w:rStyle w:val="CommentReference"/>
          <w:noProof/>
          <w:sz w:val="24"/>
          <w:szCs w:val="24"/>
        </w:rPr>
      </w:pPr>
      <w:r w:rsidRPr="00C44DD6">
        <w:rPr>
          <w:rStyle w:val="CommentReference"/>
          <w:noProof/>
        </w:rPr>
        <w:t>(63)</w:t>
      </w:r>
      <w:r w:rsidRPr="00C44DD6">
        <w:rPr>
          <w:rStyle w:val="CommentReference"/>
          <w:noProof/>
        </w:rPr>
        <w:tab/>
      </w:r>
      <w:r w:rsidR="7C145C48">
        <w:rPr>
          <w:noProof/>
        </w:rPr>
        <w:t xml:space="preserve">The costs of the development, construction, operation and maintenance of projects of common interest should in general be borne by the users of the infrastructure. The cost allocation should ensure that end-users are not disproportionately burdened, especially </w:t>
      </w:r>
      <w:r w:rsidR="00A148B3">
        <w:rPr>
          <w:noProof/>
        </w:rPr>
        <w:t>where</w:t>
      </w:r>
      <w:r w:rsidR="7C145C48">
        <w:rPr>
          <w:noProof/>
        </w:rPr>
        <w:t xml:space="preserve"> that could lead to energy poverty. Projects of common interest</w:t>
      </w:r>
      <w:r w:rsidR="4CD35727">
        <w:rPr>
          <w:noProof/>
        </w:rPr>
        <w:t xml:space="preserve"> </w:t>
      </w:r>
      <w:r w:rsidR="7C145C48">
        <w:rPr>
          <w:noProof/>
        </w:rPr>
        <w:t>should be eligible for cross-border cost allocation where an assessment of market demand, or of the expected effects on tariffs, indicates that costs cannot be expected to be recovered by the tariffs paid by the infrastructure users.</w:t>
      </w:r>
      <w:r w:rsidR="14A2F670" w:rsidRPr="4E141F37">
        <w:rPr>
          <w:rStyle w:val="CommentReference"/>
          <w:noProof/>
          <w:sz w:val="24"/>
          <w:szCs w:val="24"/>
        </w:rPr>
        <w:t xml:space="preserve"> </w:t>
      </w:r>
    </w:p>
    <w:p w14:paraId="034AD90A" w14:textId="236445E2" w:rsidR="00225922" w:rsidRPr="00060C95" w:rsidRDefault="00C44DD6" w:rsidP="00C44DD6">
      <w:pPr>
        <w:pStyle w:val="ManualConsidrant"/>
        <w:rPr>
          <w:rStyle w:val="CommentReference"/>
          <w:noProof/>
          <w:sz w:val="24"/>
          <w:szCs w:val="24"/>
        </w:rPr>
      </w:pPr>
      <w:r w:rsidRPr="00C44DD6">
        <w:rPr>
          <w:rStyle w:val="CommentReference"/>
          <w:noProof/>
        </w:rPr>
        <w:t>(64)</w:t>
      </w:r>
      <w:r w:rsidRPr="00C44DD6">
        <w:rPr>
          <w:rStyle w:val="CommentReference"/>
          <w:noProof/>
        </w:rPr>
        <w:tab/>
      </w:r>
      <w:r w:rsidR="32A53293">
        <w:rPr>
          <w:noProof/>
        </w:rPr>
        <w:t>In an increasingly interconnected internal energy market, clear and transparent rules for cross-border cost-allocation are necessary in order to accelerate investment in cross-border infrastructure and in projects with a cross-border impact.</w:t>
      </w:r>
      <w:r w:rsidR="6FDE850C">
        <w:rPr>
          <w:noProof/>
        </w:rPr>
        <w:t xml:space="preserve"> </w:t>
      </w:r>
      <w:r w:rsidR="32A53293">
        <w:rPr>
          <w:noProof/>
        </w:rPr>
        <w:t xml:space="preserve">As cross-border energy infrastructure becomes more integrated, more projects deliver benefits beyond the territories where they are built. </w:t>
      </w:r>
      <w:r w:rsidR="00B756DB">
        <w:rPr>
          <w:noProof/>
        </w:rPr>
        <w:t>That</w:t>
      </w:r>
      <w:r w:rsidR="32A53293">
        <w:rPr>
          <w:noProof/>
        </w:rPr>
        <w:t xml:space="preserve"> makes fair and transparent cost-sharing essential to avoid disproportionate burdens on local consumers.</w:t>
      </w:r>
      <w:r w:rsidR="6FDE850C" w:rsidRPr="4E141F37">
        <w:rPr>
          <w:rStyle w:val="CommentReference"/>
          <w:noProof/>
          <w:sz w:val="24"/>
          <w:szCs w:val="24"/>
        </w:rPr>
        <w:t xml:space="preserve"> </w:t>
      </w:r>
      <w:r w:rsidR="226DF2F1">
        <w:rPr>
          <w:noProof/>
        </w:rPr>
        <w:t>The discussion o</w:t>
      </w:r>
      <w:r w:rsidR="4A68CD56">
        <w:rPr>
          <w:noProof/>
        </w:rPr>
        <w:t>n</w:t>
      </w:r>
      <w:r w:rsidR="226DF2F1">
        <w:rPr>
          <w:noProof/>
        </w:rPr>
        <w:t xml:space="preserve"> the appropriate allocation of costs should be based on the analysis of the costs and benefits of an infrastructure project carried out on the basis of a harmonised methodology for energy-system-wide analysis, using </w:t>
      </w:r>
      <w:r w:rsidR="3A18C426">
        <w:rPr>
          <w:noProof/>
        </w:rPr>
        <w:t>the central</w:t>
      </w:r>
      <w:r w:rsidR="226DF2F1">
        <w:rPr>
          <w:noProof/>
        </w:rPr>
        <w:t xml:space="preserve"> scenario</w:t>
      </w:r>
      <w:r w:rsidR="1860B91B">
        <w:rPr>
          <w:noProof/>
        </w:rPr>
        <w:t xml:space="preserve"> and any sensitivity analysis</w:t>
      </w:r>
      <w:r w:rsidR="226DF2F1">
        <w:rPr>
          <w:noProof/>
        </w:rPr>
        <w:t xml:space="preserve"> established </w:t>
      </w:r>
      <w:r w:rsidR="3A18C426">
        <w:rPr>
          <w:noProof/>
        </w:rPr>
        <w:t>for the purpose</w:t>
      </w:r>
      <w:r w:rsidR="226DF2F1">
        <w:rPr>
          <w:noProof/>
        </w:rPr>
        <w:t xml:space="preserve"> of the Union-wide ten-year network development plans prepared pursuant to </w:t>
      </w:r>
      <w:r w:rsidR="779A3E05">
        <w:rPr>
          <w:noProof/>
        </w:rPr>
        <w:t xml:space="preserve">Regulations </w:t>
      </w:r>
      <w:r w:rsidR="226DF2F1">
        <w:rPr>
          <w:noProof/>
        </w:rPr>
        <w:t>(EU) 2019/943</w:t>
      </w:r>
      <w:r w:rsidR="779A3E05">
        <w:rPr>
          <w:noProof/>
        </w:rPr>
        <w:t xml:space="preserve"> and (EU) 2024/1789</w:t>
      </w:r>
      <w:r w:rsidR="226DF2F1">
        <w:rPr>
          <w:noProof/>
        </w:rPr>
        <w:t xml:space="preserve">, allowing </w:t>
      </w:r>
      <w:r w:rsidR="005E5DF0">
        <w:rPr>
          <w:noProof/>
        </w:rPr>
        <w:t xml:space="preserve">for </w:t>
      </w:r>
      <w:r w:rsidR="226DF2F1">
        <w:rPr>
          <w:noProof/>
        </w:rPr>
        <w:t>a robust analysis of the contribution of the project of common interest</w:t>
      </w:r>
      <w:r w:rsidR="665CD76B">
        <w:rPr>
          <w:noProof/>
        </w:rPr>
        <w:t xml:space="preserve"> or mutual interest</w:t>
      </w:r>
      <w:r w:rsidR="226DF2F1">
        <w:rPr>
          <w:noProof/>
        </w:rPr>
        <w:t xml:space="preserve"> to the Union energy polic</w:t>
      </w:r>
      <w:r w:rsidR="00602739">
        <w:rPr>
          <w:noProof/>
        </w:rPr>
        <w:t>ies</w:t>
      </w:r>
      <w:r w:rsidR="226DF2F1">
        <w:rPr>
          <w:noProof/>
        </w:rPr>
        <w:t xml:space="preserve"> of decarbonisation, market integration, competition, sustainability and security of supply. </w:t>
      </w:r>
      <w:r w:rsidR="02CA5956">
        <w:rPr>
          <w:noProof/>
        </w:rPr>
        <w:t>Member States and national regulatory authorities in which at least 10</w:t>
      </w:r>
      <w:r w:rsidR="00602739">
        <w:rPr>
          <w:noProof/>
        </w:rPr>
        <w:t xml:space="preserve"> </w:t>
      </w:r>
      <w:r w:rsidR="02CA5956">
        <w:rPr>
          <w:noProof/>
        </w:rPr>
        <w:t>% of the benefits of a project are located should participate in discussions on cost allocation to ensure that the project can be implemented and its benefits delivered. Furthermore, cross-border cost allocation agreements should consider ex-post arrangements to ensure fair and proportionate participation of non-host countries, provided that such adjustments are clearly defined and structured in a way that safeguards investment certainty.</w:t>
      </w:r>
      <w:r w:rsidR="77277721">
        <w:rPr>
          <w:noProof/>
        </w:rPr>
        <w:t xml:space="preserve"> </w:t>
      </w:r>
      <w:r w:rsidR="14A2F670" w:rsidRPr="4E141F37">
        <w:rPr>
          <w:rStyle w:val="CommentReference"/>
          <w:noProof/>
        </w:rPr>
        <w:t xml:space="preserve"> </w:t>
      </w:r>
    </w:p>
    <w:p w14:paraId="6974F48D" w14:textId="3CAF1277" w:rsidR="0074277B" w:rsidRPr="005E5DF0" w:rsidRDefault="00C44DD6" w:rsidP="00C44DD6">
      <w:pPr>
        <w:pStyle w:val="ManualConsidrant"/>
        <w:rPr>
          <w:rStyle w:val="CommentReference"/>
          <w:noProof/>
          <w:sz w:val="24"/>
          <w:szCs w:val="24"/>
        </w:rPr>
      </w:pPr>
      <w:r w:rsidRPr="00C44DD6">
        <w:rPr>
          <w:rStyle w:val="CommentReference"/>
          <w:noProof/>
        </w:rPr>
        <w:t>(65)</w:t>
      </w:r>
      <w:r w:rsidRPr="00C44DD6">
        <w:rPr>
          <w:rStyle w:val="CommentReference"/>
          <w:noProof/>
        </w:rPr>
        <w:tab/>
      </w:r>
      <w:r w:rsidR="7C145C48">
        <w:rPr>
          <w:noProof/>
        </w:rPr>
        <w:t>It is essential to ensure a stable financing framework for the development of projects of common interest while minimising the need for financial support, and at the same time to encourage interested investors, with appropriate incentives and financial mechanisms. In deciding on cross-border cost</w:t>
      </w:r>
      <w:r w:rsidR="3E5C84B1">
        <w:rPr>
          <w:noProof/>
        </w:rPr>
        <w:t>-</w:t>
      </w:r>
      <w:r w:rsidR="7C145C48">
        <w:rPr>
          <w:noProof/>
        </w:rPr>
        <w:t>allocation, national regulatory authorities should allocate efficiently incurred investment costs,</w:t>
      </w:r>
      <w:r w:rsidR="2027A5F9">
        <w:rPr>
          <w:noProof/>
        </w:rPr>
        <w:t xml:space="preserve"> </w:t>
      </w:r>
      <w:r w:rsidR="7C145C48">
        <w:rPr>
          <w:noProof/>
        </w:rPr>
        <w:t>as relevant in view of their national approaches and methodologies for similar infrastructure, across borders in their entirety and include them in the national tariffs</w:t>
      </w:r>
      <w:r w:rsidR="00A850B3">
        <w:rPr>
          <w:noProof/>
        </w:rPr>
        <w:t xml:space="preserve">. </w:t>
      </w:r>
      <w:r w:rsidR="7C145C48">
        <w:rPr>
          <w:noProof/>
        </w:rPr>
        <w:t xml:space="preserve"> </w:t>
      </w:r>
      <w:r w:rsidR="000A44CB">
        <w:rPr>
          <w:noProof/>
        </w:rPr>
        <w:t>A</w:t>
      </w:r>
      <w:r w:rsidR="7C145C48">
        <w:rPr>
          <w:noProof/>
        </w:rPr>
        <w:t xml:space="preserve">fterwards, </w:t>
      </w:r>
      <w:r w:rsidR="49726617">
        <w:rPr>
          <w:noProof/>
        </w:rPr>
        <w:t xml:space="preserve">where </w:t>
      </w:r>
      <w:r w:rsidR="7C145C48">
        <w:rPr>
          <w:noProof/>
        </w:rPr>
        <w:t xml:space="preserve">relevant, </w:t>
      </w:r>
      <w:r w:rsidR="000A44CB">
        <w:rPr>
          <w:noProof/>
        </w:rPr>
        <w:t>national regulatory authorities should</w:t>
      </w:r>
      <w:r w:rsidR="7C145C48">
        <w:rPr>
          <w:noProof/>
        </w:rPr>
        <w:t xml:space="preserve"> determine whether their impact on national tariffs could represent a disproportionate burden for consumers in their respective Member States. The national regulatory authorities should avoid the risks of double support for projects by taking into account actual or estimated charges and revenues. Those charges and revenues should be taken into account only in so far as they relate to the </w:t>
      </w:r>
      <w:r w:rsidR="00EE5C33">
        <w:rPr>
          <w:noProof/>
        </w:rPr>
        <w:t>projects and</w:t>
      </w:r>
      <w:r w:rsidR="7C145C48">
        <w:rPr>
          <w:noProof/>
        </w:rPr>
        <w:t xml:space="preserve"> are designed to cover the costs concerned.</w:t>
      </w:r>
      <w:r w:rsidR="14A2F670" w:rsidRPr="4E141F37">
        <w:rPr>
          <w:rStyle w:val="CommentReference"/>
          <w:noProof/>
          <w:sz w:val="24"/>
          <w:szCs w:val="24"/>
        </w:rPr>
        <w:t xml:space="preserve"> </w:t>
      </w:r>
    </w:p>
    <w:p w14:paraId="46D6AD9A" w14:textId="55A1D682" w:rsidR="00225922" w:rsidRPr="005E5DF0" w:rsidRDefault="00C44DD6" w:rsidP="00C44DD6">
      <w:pPr>
        <w:pStyle w:val="ManualConsidrant"/>
        <w:rPr>
          <w:rStyle w:val="CommentReference"/>
          <w:noProof/>
          <w:sz w:val="24"/>
          <w:szCs w:val="24"/>
        </w:rPr>
      </w:pPr>
      <w:r w:rsidRPr="00C44DD6">
        <w:rPr>
          <w:rStyle w:val="CommentReference"/>
          <w:noProof/>
        </w:rPr>
        <w:t>(66)</w:t>
      </w:r>
      <w:r w:rsidRPr="00C44DD6">
        <w:rPr>
          <w:rStyle w:val="CommentReference"/>
          <w:noProof/>
        </w:rPr>
        <w:tab/>
      </w:r>
      <w:r w:rsidR="007A09FA">
        <w:rPr>
          <w:noProof/>
        </w:rPr>
        <w:t>To facilitate discussions on cost-sharing between the relevant Member States and third countries a</w:t>
      </w:r>
      <w:r w:rsidR="423CE977">
        <w:rPr>
          <w:noProof/>
        </w:rPr>
        <w:t xml:space="preserve"> possibility of </w:t>
      </w:r>
      <w:r w:rsidR="4ACC1B8D">
        <w:rPr>
          <w:noProof/>
        </w:rPr>
        <w:t xml:space="preserve">bundling </w:t>
      </w:r>
      <w:r w:rsidR="4AC54DB4">
        <w:rPr>
          <w:noProof/>
        </w:rPr>
        <w:t xml:space="preserve">projects of common interest and projects of mutual interest </w:t>
      </w:r>
      <w:r w:rsidR="00894880">
        <w:rPr>
          <w:noProof/>
        </w:rPr>
        <w:t>should be provided</w:t>
      </w:r>
      <w:r w:rsidR="6F421D92">
        <w:rPr>
          <w:noProof/>
        </w:rPr>
        <w:t>.</w:t>
      </w:r>
      <w:r w:rsidR="5EE2034E">
        <w:rPr>
          <w:noProof/>
        </w:rPr>
        <w:t xml:space="preserve"> By allowing groups of Member States to treat a project bundle as mutually beneficial, win-win solutions</w:t>
      </w:r>
      <w:r w:rsidR="6AD42FBC">
        <w:rPr>
          <w:noProof/>
        </w:rPr>
        <w:t xml:space="preserve"> can be fostered</w:t>
      </w:r>
      <w:r w:rsidR="5EE2034E">
        <w:rPr>
          <w:noProof/>
        </w:rPr>
        <w:t>, risks and transaction costs in negotiations</w:t>
      </w:r>
      <w:r w:rsidR="21D2B126">
        <w:rPr>
          <w:noProof/>
        </w:rPr>
        <w:t xml:space="preserve"> reduced</w:t>
      </w:r>
      <w:r w:rsidR="5EE2034E">
        <w:rPr>
          <w:noProof/>
        </w:rPr>
        <w:t xml:space="preserve">, </w:t>
      </w:r>
      <w:r w:rsidR="2888FFD4">
        <w:rPr>
          <w:noProof/>
        </w:rPr>
        <w:t xml:space="preserve">and the </w:t>
      </w:r>
      <w:r w:rsidR="5EE2034E">
        <w:rPr>
          <w:noProof/>
        </w:rPr>
        <w:t>likelihood of implementation</w:t>
      </w:r>
      <w:r w:rsidR="4694BEDD">
        <w:rPr>
          <w:noProof/>
        </w:rPr>
        <w:t xml:space="preserve"> can be increased</w:t>
      </w:r>
      <w:r w:rsidR="5EE2034E">
        <w:rPr>
          <w:noProof/>
        </w:rPr>
        <w:t xml:space="preserve">. Additional support at </w:t>
      </w:r>
      <w:r w:rsidR="002B7F5F">
        <w:rPr>
          <w:noProof/>
        </w:rPr>
        <w:t>Union</w:t>
      </w:r>
      <w:r w:rsidR="5EE2034E">
        <w:rPr>
          <w:noProof/>
        </w:rPr>
        <w:t xml:space="preserve"> level, for example through the C</w:t>
      </w:r>
      <w:r w:rsidR="42EE5641">
        <w:rPr>
          <w:noProof/>
        </w:rPr>
        <w:t>onnecting Europe Facility</w:t>
      </w:r>
      <w:r w:rsidR="5EE2034E">
        <w:rPr>
          <w:noProof/>
        </w:rPr>
        <w:t>, or at regional level using congestion income, could further facilitate such agreements and promote the timely delivery of priority infrastructure.</w:t>
      </w:r>
      <w:r w:rsidR="14A2F670" w:rsidRPr="4E141F37">
        <w:rPr>
          <w:rStyle w:val="CommentReference"/>
          <w:noProof/>
          <w:sz w:val="24"/>
          <w:szCs w:val="24"/>
        </w:rPr>
        <w:t xml:space="preserve"> </w:t>
      </w:r>
    </w:p>
    <w:p w14:paraId="34CEB866" w14:textId="118C7CF1" w:rsidR="00191138" w:rsidRPr="00825EB1" w:rsidRDefault="00C44DD6" w:rsidP="00C44DD6">
      <w:pPr>
        <w:pStyle w:val="ManualConsidrant"/>
        <w:rPr>
          <w:noProof/>
        </w:rPr>
      </w:pPr>
      <w:r w:rsidRPr="00C44DD6">
        <w:rPr>
          <w:noProof/>
        </w:rPr>
        <w:t>(67)</w:t>
      </w:r>
      <w:r w:rsidRPr="00C44DD6">
        <w:rPr>
          <w:noProof/>
        </w:rPr>
        <w:tab/>
      </w:r>
      <w:r w:rsidR="3F08E35B">
        <w:rPr>
          <w:noProof/>
        </w:rPr>
        <w:t xml:space="preserve">Regulation (EU) 2019/943 lays down, in Article 19(2), three priority objectives for the use of revenues resulting from the allocation of cross-zonal capacity, namely: (a) guaranteeing the actual availability of the allocated capacity, including firmness compensation; (b) maintaining or increasing cross-zonal capacities through the optimisation of existing interconnectors or by covering costs resulting from network investments relevant to reducing interconnector congestion; and (c) compensating offshore renewable electricity generation plant operators in the circumstances set out therein. </w:t>
      </w:r>
      <w:r w:rsidR="7E69F059">
        <w:rPr>
          <w:noProof/>
        </w:rPr>
        <w:t>TSO</w:t>
      </w:r>
      <w:r w:rsidR="3F08E35B">
        <w:rPr>
          <w:noProof/>
        </w:rPr>
        <w:t xml:space="preserve">s should ensure that all three priority objectives are fulfilled, including the objective in point (b). In order to facilitate the financing of </w:t>
      </w:r>
      <w:r w:rsidR="56B71948">
        <w:rPr>
          <w:noProof/>
        </w:rPr>
        <w:t>p</w:t>
      </w:r>
      <w:r w:rsidR="089490D3">
        <w:rPr>
          <w:noProof/>
        </w:rPr>
        <w:t xml:space="preserve">rojects of </w:t>
      </w:r>
      <w:r w:rsidR="07A30B8D">
        <w:rPr>
          <w:noProof/>
        </w:rPr>
        <w:t>c</w:t>
      </w:r>
      <w:r w:rsidR="089490D3">
        <w:rPr>
          <w:noProof/>
        </w:rPr>
        <w:t xml:space="preserve">ommon </w:t>
      </w:r>
      <w:r w:rsidR="3217290F">
        <w:rPr>
          <w:noProof/>
        </w:rPr>
        <w:t>i</w:t>
      </w:r>
      <w:r w:rsidR="089490D3">
        <w:rPr>
          <w:noProof/>
        </w:rPr>
        <w:t xml:space="preserve">nterest and </w:t>
      </w:r>
      <w:r w:rsidR="3E03CA51">
        <w:rPr>
          <w:noProof/>
        </w:rPr>
        <w:t>p</w:t>
      </w:r>
      <w:r w:rsidR="089490D3">
        <w:rPr>
          <w:noProof/>
        </w:rPr>
        <w:t xml:space="preserve">rojects of </w:t>
      </w:r>
      <w:r w:rsidR="11C98801">
        <w:rPr>
          <w:noProof/>
        </w:rPr>
        <w:t>m</w:t>
      </w:r>
      <w:r w:rsidR="089490D3">
        <w:rPr>
          <w:noProof/>
        </w:rPr>
        <w:t xml:space="preserve">utual </w:t>
      </w:r>
      <w:r w:rsidR="1F31DFE1">
        <w:rPr>
          <w:noProof/>
        </w:rPr>
        <w:t>i</w:t>
      </w:r>
      <w:r w:rsidR="089490D3">
        <w:rPr>
          <w:noProof/>
        </w:rPr>
        <w:t>nterest</w:t>
      </w:r>
      <w:r w:rsidR="3F08E35B">
        <w:rPr>
          <w:noProof/>
        </w:rPr>
        <w:t xml:space="preserve"> that reduce interconnector congestion and to bring predictability and transparency to discussions on cross-border cost allocation decisions pursuant to Article 16 of this Regulation, it is appropriate to require </w:t>
      </w:r>
      <w:r w:rsidR="45D5D721">
        <w:rPr>
          <w:noProof/>
        </w:rPr>
        <w:t>TSOs</w:t>
      </w:r>
      <w:r w:rsidR="3F08E35B">
        <w:rPr>
          <w:noProof/>
        </w:rPr>
        <w:t xml:space="preserve"> to set aside a limited share of congestion income for such investments. </w:t>
      </w:r>
      <w:r w:rsidR="0021242C">
        <w:rPr>
          <w:noProof/>
        </w:rPr>
        <w:t>T</w:t>
      </w:r>
      <w:r w:rsidR="00E975E7">
        <w:rPr>
          <w:noProof/>
        </w:rPr>
        <w:t>hat</w:t>
      </w:r>
      <w:r w:rsidR="3F08E35B">
        <w:rPr>
          <w:noProof/>
        </w:rPr>
        <w:t xml:space="preserve"> requirement is without prejudice to the responsibility of </w:t>
      </w:r>
      <w:r w:rsidR="4A729B07">
        <w:rPr>
          <w:noProof/>
        </w:rPr>
        <w:t>TSO</w:t>
      </w:r>
      <w:r w:rsidR="3F08E35B">
        <w:rPr>
          <w:noProof/>
        </w:rPr>
        <w:t>s</w:t>
      </w:r>
      <w:r w:rsidR="00A02193">
        <w:rPr>
          <w:noProof/>
        </w:rPr>
        <w:t xml:space="preserve"> to decide on funding priorities</w:t>
      </w:r>
      <w:r w:rsidR="3F08E35B">
        <w:rPr>
          <w:noProof/>
        </w:rPr>
        <w:t>, under the supervision of regulatory authorities and in accordance with the methodology approved pursuant to Article 19(4) of Regulation</w:t>
      </w:r>
      <w:r w:rsidR="089490D3">
        <w:rPr>
          <w:noProof/>
        </w:rPr>
        <w:t xml:space="preserve"> </w:t>
      </w:r>
      <w:r w:rsidR="051DC351">
        <w:rPr>
          <w:noProof/>
        </w:rPr>
        <w:t>(EU)</w:t>
      </w:r>
      <w:r w:rsidR="089490D3">
        <w:rPr>
          <w:noProof/>
        </w:rPr>
        <w:t xml:space="preserve"> 2019/943</w:t>
      </w:r>
      <w:r w:rsidR="3F08E35B">
        <w:rPr>
          <w:noProof/>
        </w:rPr>
        <w:t>.</w:t>
      </w:r>
      <w:r w:rsidR="0CC9A124">
        <w:rPr>
          <w:noProof/>
        </w:rPr>
        <w:t xml:space="preserve"> </w:t>
      </w:r>
      <w:r w:rsidR="00BA1B58">
        <w:rPr>
          <w:noProof/>
        </w:rPr>
        <w:t>That</w:t>
      </w:r>
      <w:r w:rsidR="3C36559D">
        <w:rPr>
          <w:noProof/>
        </w:rPr>
        <w:t xml:space="preserve"> requirement </w:t>
      </w:r>
      <w:r w:rsidR="00774859">
        <w:rPr>
          <w:noProof/>
        </w:rPr>
        <w:t>should</w:t>
      </w:r>
      <w:r w:rsidR="3C36559D">
        <w:rPr>
          <w:noProof/>
        </w:rPr>
        <w:t xml:space="preserve"> not apply where it can be demonstrated that there is no need for additional cross-border capacity to be built at the borders of the Member State concerned.</w:t>
      </w:r>
      <w:r w:rsidR="20D88CA9">
        <w:rPr>
          <w:noProof/>
        </w:rPr>
        <w:t xml:space="preserve"> </w:t>
      </w:r>
    </w:p>
    <w:p w14:paraId="7984F785" w14:textId="11876077" w:rsidR="009E5E00" w:rsidRPr="00450EC1" w:rsidRDefault="00C44DD6" w:rsidP="00C44DD6">
      <w:pPr>
        <w:pStyle w:val="ManualConsidrant"/>
        <w:rPr>
          <w:rStyle w:val="CommentReference"/>
          <w:noProof/>
          <w:sz w:val="24"/>
          <w:szCs w:val="24"/>
        </w:rPr>
      </w:pPr>
      <w:r w:rsidRPr="00C44DD6">
        <w:rPr>
          <w:rStyle w:val="CommentReference"/>
          <w:noProof/>
        </w:rPr>
        <w:t>(68)</w:t>
      </w:r>
      <w:r w:rsidRPr="00C44DD6">
        <w:rPr>
          <w:rStyle w:val="CommentReference"/>
          <w:noProof/>
        </w:rPr>
        <w:tab/>
      </w:r>
      <w:r w:rsidR="2A6BF335">
        <w:rPr>
          <w:noProof/>
        </w:rPr>
        <w:t>Where there is no TSO in a Member State, the references to TSOs throughout this Regulation should apply mutatis mutandis to distribution system operators (DSO).</w:t>
      </w:r>
      <w:r w:rsidR="14A2F670" w:rsidRPr="4E141F37">
        <w:rPr>
          <w:rStyle w:val="CommentReference"/>
          <w:noProof/>
          <w:sz w:val="24"/>
          <w:szCs w:val="24"/>
        </w:rPr>
        <w:t xml:space="preserve"> </w:t>
      </w:r>
    </w:p>
    <w:p w14:paraId="7D189AAE" w14:textId="7426DA08" w:rsidR="00191138" w:rsidRPr="00450EC1" w:rsidRDefault="00C44DD6" w:rsidP="00C44DD6">
      <w:pPr>
        <w:pStyle w:val="ManualConsidrant"/>
        <w:rPr>
          <w:rStyle w:val="CommentReference"/>
          <w:noProof/>
          <w:sz w:val="24"/>
          <w:szCs w:val="24"/>
        </w:rPr>
      </w:pPr>
      <w:r w:rsidRPr="00C44DD6">
        <w:rPr>
          <w:rStyle w:val="CommentReference"/>
          <w:noProof/>
        </w:rPr>
        <w:t>(69)</w:t>
      </w:r>
      <w:r w:rsidRPr="00C44DD6">
        <w:rPr>
          <w:rStyle w:val="CommentReference"/>
          <w:noProof/>
        </w:rPr>
        <w:tab/>
      </w:r>
      <w:r w:rsidR="7C145C48">
        <w:rPr>
          <w:noProof/>
        </w:rPr>
        <w:t>The internal energy market legislation requires that tariffs for access to networks provide appropriate incentives for investment. However, several types of projects of common interest are likely to have externalities that might not be fully captured in, and recovered through, the regular tariff system. In applying the internal energy market legislation, national regulatory authorities should ensure a stable and predictable regulatory and financial framework with incentives for projects of common interest, including long-term incentives, that are commensurate with the level of specific risk of the project. That framework should apply in particular to cross-border projects, innovative transmission technologies for electricity allowing for the large scale integration of renewable energy, of distributed energy resources or of demand response in interconnected networks, and energy technology and digitalisation projects, which are either likely to incur higher risks than similar projects located within one Member State or which promise higher benefits for the Union. Moreover, projects with high operational expenditure should also have access to appropriate incentives for investment. In particular, offshore grids for renewable energy, which serve the dual functionality of electricity interconnectors and connecting renewable offshore generation projects, are likely to incur higher risks than comparable onshore infrastructure projects, due to their intrinsic connection to generation assets which brings regulatory risks, financing risks such as the need for anticipatory investments, market risks and risks pertaining to the use of new innovative technologies.</w:t>
      </w:r>
      <w:r w:rsidR="14A2F670" w:rsidRPr="4E141F37">
        <w:rPr>
          <w:rStyle w:val="CommentReference"/>
          <w:noProof/>
          <w:sz w:val="24"/>
          <w:szCs w:val="24"/>
        </w:rPr>
        <w:t xml:space="preserve"> </w:t>
      </w:r>
    </w:p>
    <w:p w14:paraId="33F2FEAC" w14:textId="0EB295BB" w:rsidR="00191138" w:rsidRPr="002A75D5" w:rsidRDefault="00C44DD6" w:rsidP="00C44DD6">
      <w:pPr>
        <w:pStyle w:val="ManualConsidrant"/>
        <w:rPr>
          <w:noProof/>
        </w:rPr>
      </w:pPr>
      <w:r w:rsidRPr="00C44DD6">
        <w:rPr>
          <w:noProof/>
        </w:rPr>
        <w:t>(70)</w:t>
      </w:r>
      <w:r w:rsidRPr="00C44DD6">
        <w:rPr>
          <w:noProof/>
        </w:rPr>
        <w:tab/>
      </w:r>
      <w:r w:rsidR="7C145C48">
        <w:rPr>
          <w:noProof/>
        </w:rPr>
        <w:t xml:space="preserve">Regulation (EU) </w:t>
      </w:r>
      <w:r w:rsidR="46113993">
        <w:rPr>
          <w:noProof/>
        </w:rPr>
        <w:t>2022/869</w:t>
      </w:r>
      <w:r w:rsidR="7C145C48">
        <w:rPr>
          <w:noProof/>
        </w:rPr>
        <w:t xml:space="preserve"> has demonstrated the added value of leveraging private funding through significant Union financial assistance to allow the implementation of projects of </w:t>
      </w:r>
      <w:r w:rsidR="009C61BD">
        <w:rPr>
          <w:noProof/>
        </w:rPr>
        <w:t>Union</w:t>
      </w:r>
      <w:r w:rsidR="7C145C48">
        <w:rPr>
          <w:noProof/>
        </w:rPr>
        <w:t xml:space="preserve"> significance. In the light of the economic and financial situation and budgetary constraints, targeted support</w:t>
      </w:r>
      <w:r w:rsidR="7498EC0B">
        <w:rPr>
          <w:noProof/>
        </w:rPr>
        <w:t xml:space="preserve"> </w:t>
      </w:r>
      <w:r w:rsidR="7C145C48">
        <w:rPr>
          <w:noProof/>
        </w:rPr>
        <w:t>should continue under the multiannual financial framework,</w:t>
      </w:r>
      <w:r w:rsidR="00794F30">
        <w:rPr>
          <w:noProof/>
        </w:rPr>
        <w:t xml:space="preserve"> also with a view to de-risking projects and crowding in private investment, </w:t>
      </w:r>
      <w:r w:rsidR="7C145C48">
        <w:rPr>
          <w:noProof/>
        </w:rPr>
        <w:t xml:space="preserve"> in order to maximise the </w:t>
      </w:r>
      <w:r w:rsidR="00627459">
        <w:rPr>
          <w:noProof/>
        </w:rPr>
        <w:t xml:space="preserve">impact of public funding and its </w:t>
      </w:r>
      <w:r w:rsidR="7C145C48">
        <w:rPr>
          <w:noProof/>
        </w:rPr>
        <w:t xml:space="preserve">benefits to Union citizens and to attract new investors into the energy infrastructure priority corridors and areas set out in </w:t>
      </w:r>
      <w:r w:rsidR="00937D42">
        <w:rPr>
          <w:noProof/>
        </w:rPr>
        <w:t>A</w:t>
      </w:r>
      <w:r w:rsidR="7C145C48">
        <w:rPr>
          <w:noProof/>
        </w:rPr>
        <w:t xml:space="preserve">nnex </w:t>
      </w:r>
      <w:r w:rsidR="008E0924">
        <w:rPr>
          <w:noProof/>
        </w:rPr>
        <w:t>I</w:t>
      </w:r>
      <w:r w:rsidR="7C145C48">
        <w:rPr>
          <w:noProof/>
        </w:rPr>
        <w:t xml:space="preserve"> to this Regulation, while keeping the budgetary contribution of the Union to a minimum.</w:t>
      </w:r>
    </w:p>
    <w:p w14:paraId="0C20D0E6" w14:textId="455CA855" w:rsidR="008525D2" w:rsidRDefault="00C44DD6" w:rsidP="00C44DD6">
      <w:pPr>
        <w:pStyle w:val="ManualConsidrant"/>
        <w:rPr>
          <w:noProof/>
        </w:rPr>
      </w:pPr>
      <w:r w:rsidRPr="00C44DD6">
        <w:rPr>
          <w:noProof/>
        </w:rPr>
        <w:t>(71)</w:t>
      </w:r>
      <w:r w:rsidRPr="00C44DD6">
        <w:rPr>
          <w:noProof/>
        </w:rPr>
        <w:tab/>
      </w:r>
      <w:r w:rsidR="7C145C48" w:rsidRPr="001605CB">
        <w:rPr>
          <w:noProof/>
        </w:rPr>
        <w:t>Projects of common interest should be eligible for Union financial assistance for studies and, under certain conditions, for works pursuant to Regulation (EU) 2021/1153 of the European Parliament and of the Council</w:t>
      </w:r>
      <w:r w:rsidR="006402A7">
        <w:rPr>
          <w:rStyle w:val="FootnoteReference"/>
          <w:noProof/>
        </w:rPr>
        <w:footnoteReference w:id="61"/>
      </w:r>
      <w:r w:rsidR="39C7D894" w:rsidRPr="002A75D5">
        <w:rPr>
          <w:noProof/>
        </w:rPr>
        <w:t xml:space="preserve"> </w:t>
      </w:r>
      <w:r w:rsidR="7C145C48" w:rsidRPr="001605CB">
        <w:rPr>
          <w:noProof/>
        </w:rPr>
        <w:t xml:space="preserve">in the form of grants or innovative financial instruments to ensure that tailor-made support can be provided to those projects of common interest which are not viable under the existing regulatory framework and market conditions. It is important to avoid any distortion of competition, in particular between projects contributing to the achievement of the same Union priority corridor. Such financial assistance should ensure the necessary synergies with </w:t>
      </w:r>
      <w:r w:rsidR="52C942CA" w:rsidRPr="001605CB">
        <w:rPr>
          <w:noProof/>
        </w:rPr>
        <w:t xml:space="preserve">other </w:t>
      </w:r>
      <w:r w:rsidR="006954D8">
        <w:rPr>
          <w:noProof/>
        </w:rPr>
        <w:t xml:space="preserve">Union </w:t>
      </w:r>
      <w:r w:rsidR="52C942CA" w:rsidRPr="001605CB">
        <w:rPr>
          <w:noProof/>
        </w:rPr>
        <w:t xml:space="preserve">funds available </w:t>
      </w:r>
      <w:r w:rsidR="2296690F" w:rsidRPr="001605CB">
        <w:rPr>
          <w:noProof/>
        </w:rPr>
        <w:t>for</w:t>
      </w:r>
      <w:r w:rsidR="7C145C48" w:rsidRPr="001605CB">
        <w:rPr>
          <w:noProof/>
        </w:rPr>
        <w:t xml:space="preserve"> financ</w:t>
      </w:r>
      <w:r w:rsidR="0FF619F7" w:rsidRPr="001605CB">
        <w:rPr>
          <w:noProof/>
        </w:rPr>
        <w:t>ing</w:t>
      </w:r>
      <w:r w:rsidR="7C145C48" w:rsidRPr="001605CB">
        <w:rPr>
          <w:noProof/>
        </w:rPr>
        <w:t xml:space="preserve"> smart energy distribution networks, and with the Union renewable energy financing mechanism established by Commission Implementing Regulation (EU) 2020/1294</w:t>
      </w:r>
      <w:r w:rsidR="00740661">
        <w:rPr>
          <w:rStyle w:val="FootnoteReference"/>
          <w:noProof/>
        </w:rPr>
        <w:footnoteReference w:id="62"/>
      </w:r>
      <w:r w:rsidR="7C145C48" w:rsidRPr="002A75D5">
        <w:rPr>
          <w:noProof/>
        </w:rPr>
        <w:t>.</w:t>
      </w:r>
    </w:p>
    <w:p w14:paraId="61FAB4CF" w14:textId="37940A51" w:rsidR="00191138" w:rsidRPr="002A75D5" w:rsidRDefault="00C44DD6" w:rsidP="00C44DD6">
      <w:pPr>
        <w:pStyle w:val="ManualConsidrant"/>
        <w:rPr>
          <w:noProof/>
        </w:rPr>
      </w:pPr>
      <w:r w:rsidRPr="00C44DD6">
        <w:rPr>
          <w:noProof/>
        </w:rPr>
        <w:t>(72)</w:t>
      </w:r>
      <w:r w:rsidRPr="00C44DD6">
        <w:rPr>
          <w:noProof/>
        </w:rPr>
        <w:tab/>
      </w:r>
      <w:r w:rsidR="00191138">
        <w:rPr>
          <w:noProof/>
        </w:rPr>
        <w:t xml:space="preserve">A three-step logic should apply to investments in projects of common interest. First, the market should have the priority to invest. Second, </w:t>
      </w:r>
      <w:r w:rsidR="00494C5C">
        <w:rPr>
          <w:noProof/>
        </w:rPr>
        <w:t>where</w:t>
      </w:r>
      <w:r w:rsidR="00191138">
        <w:rPr>
          <w:noProof/>
        </w:rPr>
        <w:t xml:space="preserve"> investments are not made by the market, regulatory solutions should be explored, the relevant regulatory framework should be adjusted </w:t>
      </w:r>
      <w:r w:rsidR="00494C5C">
        <w:rPr>
          <w:noProof/>
        </w:rPr>
        <w:t>where</w:t>
      </w:r>
      <w:r w:rsidR="00191138">
        <w:rPr>
          <w:noProof/>
        </w:rPr>
        <w:t xml:space="preserve"> necessary, and the correct application of the relevant regulatory framework should be ensured. Third, where the first two steps are not sufficient to deliver the necessary investments in projects of common interest, it should be possible to grant Union financial assistance where the project of common interest fulfils the applicable eligibility criteria. </w:t>
      </w:r>
      <w:r w:rsidR="001605CB" w:rsidRPr="4E141F37">
        <w:rPr>
          <w:rStyle w:val="CommentReference"/>
          <w:noProof/>
        </w:rPr>
        <w:t xml:space="preserve"> </w:t>
      </w:r>
      <w:r w:rsidR="00AC7864" w:rsidRPr="4E141F37">
        <w:rPr>
          <w:rStyle w:val="CommentReference"/>
          <w:noProof/>
          <w:color w:val="000000" w:themeColor="text1"/>
        </w:rPr>
        <w:t xml:space="preserve"> </w:t>
      </w:r>
    </w:p>
    <w:p w14:paraId="69F75E4F" w14:textId="43232D77" w:rsidR="00987AC9" w:rsidRDefault="00C44DD6" w:rsidP="00C44DD6">
      <w:pPr>
        <w:pStyle w:val="ManualConsidrant"/>
        <w:rPr>
          <w:noProof/>
        </w:rPr>
      </w:pPr>
      <w:r w:rsidRPr="00C44DD6">
        <w:rPr>
          <w:noProof/>
        </w:rPr>
        <w:t>(73)</w:t>
      </w:r>
      <w:r w:rsidRPr="00C44DD6">
        <w:rPr>
          <w:noProof/>
        </w:rPr>
        <w:tab/>
      </w:r>
      <w:r w:rsidR="00987AC9" w:rsidRPr="008778A7">
        <w:rPr>
          <w:noProof/>
        </w:rPr>
        <w:t>Projects of common interest and projects of mutual interest should not be eligible for Union financial assistance where the project promoters, operators or investors are in one of the situations of exclusion referred to in Article 138 of Regulation (EU, Euratom) 2024/2509 of the European Parliament and of the Council</w:t>
      </w:r>
      <w:r w:rsidR="00987AC9">
        <w:rPr>
          <w:rStyle w:val="FootnoteReference"/>
          <w:noProof/>
        </w:rPr>
        <w:footnoteReference w:id="63"/>
      </w:r>
      <w:r w:rsidR="00987AC9" w:rsidRPr="00AC7864">
        <w:rPr>
          <w:noProof/>
        </w:rPr>
        <w:t xml:space="preserve">, </w:t>
      </w:r>
      <w:r w:rsidR="00987AC9" w:rsidRPr="008778A7">
        <w:rPr>
          <w:noProof/>
        </w:rPr>
        <w:t>such as in cases of a conviction for fraud, corruption or conduct related to a criminal organisation. It should be possible to remove a project of common interest from the Union list if its inclusion in that list was based on incorrect information which was a determining factor for that inclusion, or if the project does not comply with Union law. For a project of common interest located in the Member States benefiting from a derogation under this Regulation, those Member States should ensure, when supporting any applications for financing pursuant to Regulation (EU) 2022/869 for such projects, that the projects do not benefit directly or indirectly persons or entities that are in one of the situation of exclusion as referred to in Article 138 of Regulation (EU, Euratom) 2024/2509</w:t>
      </w:r>
      <w:r w:rsidR="00987AC9">
        <w:rPr>
          <w:noProof/>
        </w:rPr>
        <w:t>.</w:t>
      </w:r>
    </w:p>
    <w:p w14:paraId="51E9F93B" w14:textId="77CB08F2" w:rsidR="00191138" w:rsidRDefault="00C44DD6" w:rsidP="00C44DD6">
      <w:pPr>
        <w:pStyle w:val="ManualConsidrant"/>
        <w:rPr>
          <w:noProof/>
        </w:rPr>
      </w:pPr>
      <w:r w:rsidRPr="00C44DD6">
        <w:rPr>
          <w:noProof/>
        </w:rPr>
        <w:t>(74)</w:t>
      </w:r>
      <w:r w:rsidRPr="00C44DD6">
        <w:rPr>
          <w:noProof/>
        </w:rPr>
        <w:tab/>
      </w:r>
      <w:r w:rsidR="7C145C48">
        <w:rPr>
          <w:noProof/>
        </w:rPr>
        <w:t xml:space="preserve">Grants for works related to projects of mutual interest should be available under the same conditions as for </w:t>
      </w:r>
      <w:r w:rsidR="00240FEE">
        <w:rPr>
          <w:noProof/>
        </w:rPr>
        <w:t>projects of common interest</w:t>
      </w:r>
      <w:r w:rsidR="7C145C48">
        <w:rPr>
          <w:noProof/>
        </w:rPr>
        <w:t xml:space="preserve"> where they contribute to the Union’s overall energy and climate policy objectives and where the decarbonisation objectives of the third country are consistent with the Paris Agreement.</w:t>
      </w:r>
    </w:p>
    <w:p w14:paraId="180B21EE" w14:textId="5E18C85A" w:rsidR="256DFABA" w:rsidRPr="002A75D5" w:rsidRDefault="00C44DD6" w:rsidP="00C44DD6">
      <w:pPr>
        <w:pStyle w:val="ManualConsidrant"/>
        <w:rPr>
          <w:noProof/>
        </w:rPr>
      </w:pPr>
      <w:r w:rsidRPr="00C44DD6">
        <w:rPr>
          <w:noProof/>
        </w:rPr>
        <w:t>(75)</w:t>
      </w:r>
      <w:r w:rsidRPr="00C44DD6">
        <w:rPr>
          <w:noProof/>
        </w:rPr>
        <w:tab/>
      </w:r>
      <w:r w:rsidR="4A1ED6C2">
        <w:rPr>
          <w:noProof/>
        </w:rPr>
        <w:t>The Union should facilitate energy projects in disadvantaged, less connected, peripheral, outermost or isolated regions to enable access to the trans-European energy networks in order to accelerate the decarbonisation process and reduce dependency on fossil fuels</w:t>
      </w:r>
      <w:r w:rsidR="7E6D4201">
        <w:rPr>
          <w:noProof/>
        </w:rPr>
        <w:t>.</w:t>
      </w:r>
    </w:p>
    <w:p w14:paraId="7E216499" w14:textId="2216C1E2" w:rsidR="00191138" w:rsidRDefault="00C44DD6" w:rsidP="00C44DD6">
      <w:pPr>
        <w:pStyle w:val="ManualConsidrant"/>
        <w:rPr>
          <w:noProof/>
        </w:rPr>
      </w:pPr>
      <w:r w:rsidRPr="00C44DD6">
        <w:rPr>
          <w:noProof/>
        </w:rPr>
        <w:t>(76)</w:t>
      </w:r>
      <w:r w:rsidRPr="00C44DD6">
        <w:rPr>
          <w:noProof/>
        </w:rPr>
        <w:tab/>
      </w:r>
      <w:r w:rsidR="7C145C48">
        <w:rPr>
          <w:noProof/>
        </w:rPr>
        <w:t xml:space="preserve">In </w:t>
      </w:r>
      <w:r w:rsidR="005C7A54" w:rsidRPr="4E141F37">
        <w:rPr>
          <w:rFonts w:eastAsia="Times New Roman"/>
          <w:noProof/>
        </w:rPr>
        <w:t>accordance</w:t>
      </w:r>
      <w:r w:rsidR="7C145C48">
        <w:rPr>
          <w:noProof/>
        </w:rPr>
        <w:t xml:space="preserve"> with the European Council conclusions of 4 February 2011 that no Member State should remain isolated from the European gas and electricity networks after 2015 or see its energy security jeopardised by lack of the appropriate connections, this Regulation aims to ensure access to the trans-European energy networks by ending the energy isolation of Cyprus and Malta, that are still not interconnected to the trans-European gas network. That objective should be attained by allowing projects under development or planning that have been granted the status of project of common interest under Regulation (EU) </w:t>
      </w:r>
      <w:r w:rsidR="24034AEB">
        <w:rPr>
          <w:noProof/>
        </w:rPr>
        <w:t>2022/869</w:t>
      </w:r>
      <w:r w:rsidR="7C145C48">
        <w:rPr>
          <w:noProof/>
        </w:rPr>
        <w:t xml:space="preserve"> to maintain their status until Cyprus and Malta are interconnected to the trans-European gas network</w:t>
      </w:r>
      <w:r w:rsidR="5400F697">
        <w:rPr>
          <w:noProof/>
        </w:rPr>
        <w:t xml:space="preserve"> or until 31 Decembe</w:t>
      </w:r>
      <w:r w:rsidR="7EDD6147">
        <w:rPr>
          <w:noProof/>
        </w:rPr>
        <w:t xml:space="preserve">r </w:t>
      </w:r>
      <w:r w:rsidR="5400F697">
        <w:rPr>
          <w:noProof/>
        </w:rPr>
        <w:t>2029, whichever is earliest</w:t>
      </w:r>
      <w:r w:rsidR="7C145C48">
        <w:rPr>
          <w:noProof/>
        </w:rPr>
        <w:t xml:space="preserve">. Apart from contributing to the development of the renewable energy market, the flexibility and resilience of the energy system, and the security of supply, those projects </w:t>
      </w:r>
      <w:r w:rsidR="00494C5C">
        <w:rPr>
          <w:noProof/>
        </w:rPr>
        <w:t>would</w:t>
      </w:r>
      <w:r w:rsidR="7C145C48">
        <w:rPr>
          <w:noProof/>
        </w:rPr>
        <w:t xml:space="preserve"> ensure access to future energy markets, including hydrogen, and contribute to achieving the Union’s overall energy and climate policy objectives.</w:t>
      </w:r>
    </w:p>
    <w:p w14:paraId="621D4A2D" w14:textId="31CD0A74" w:rsidR="00987AC9" w:rsidRPr="00B045B9" w:rsidRDefault="00C44DD6" w:rsidP="00C44DD6">
      <w:pPr>
        <w:pStyle w:val="ManualConsidrant"/>
        <w:rPr>
          <w:noProof/>
        </w:rPr>
      </w:pPr>
      <w:r w:rsidRPr="00C44DD6">
        <w:rPr>
          <w:noProof/>
        </w:rPr>
        <w:t>(77)</w:t>
      </w:r>
      <w:r w:rsidRPr="00C44DD6">
        <w:rPr>
          <w:noProof/>
        </w:rPr>
        <w:tab/>
      </w:r>
      <w:r w:rsidR="00987AC9">
        <w:rPr>
          <w:noProof/>
        </w:rPr>
        <w:t xml:space="preserve">To ensure consistency of proposed changes under this Regulation with the Union framework on electricity, gases and hydrogen markets, corresponding amendments are proposed to Articles 3 and 11 of Regulation </w:t>
      </w:r>
      <w:r w:rsidR="002B6970">
        <w:rPr>
          <w:noProof/>
        </w:rPr>
        <w:t>(</w:t>
      </w:r>
      <w:r w:rsidR="00987AC9">
        <w:rPr>
          <w:noProof/>
        </w:rPr>
        <w:t>EU) 2019/942</w:t>
      </w:r>
      <w:r w:rsidR="00C4526F">
        <w:rPr>
          <w:noProof/>
        </w:rPr>
        <w:t xml:space="preserve"> of the European Parliament and of the Council</w:t>
      </w:r>
      <w:r w:rsidR="00AA1759">
        <w:rPr>
          <w:rStyle w:val="FootnoteReference"/>
          <w:noProof/>
        </w:rPr>
        <w:footnoteReference w:id="64"/>
      </w:r>
      <w:r w:rsidR="00987AC9">
        <w:rPr>
          <w:noProof/>
        </w:rPr>
        <w:t xml:space="preserve">, Article 48 of Regulation (EU) 2019/943 and Articles 60 and 61 of Regulation (EU) 2024/1789. </w:t>
      </w:r>
      <w:r w:rsidR="006833AE" w:rsidRPr="00060C95">
        <w:rPr>
          <w:noProof/>
        </w:rPr>
        <w:t>Th</w:t>
      </w:r>
      <w:r w:rsidR="006833AE">
        <w:rPr>
          <w:noProof/>
        </w:rPr>
        <w:t>ose amendments</w:t>
      </w:r>
      <w:r w:rsidR="006833AE" w:rsidRPr="00060C95">
        <w:rPr>
          <w:noProof/>
        </w:rPr>
        <w:t xml:space="preserve"> </w:t>
      </w:r>
      <w:r w:rsidR="00987AC9" w:rsidRPr="00060C95">
        <w:rPr>
          <w:noProof/>
        </w:rPr>
        <w:t xml:space="preserve">relate to </w:t>
      </w:r>
      <w:r w:rsidR="006833AE">
        <w:rPr>
          <w:noProof/>
        </w:rPr>
        <w:t>the</w:t>
      </w:r>
      <w:r w:rsidR="00987AC9" w:rsidRPr="00060C95">
        <w:rPr>
          <w:noProof/>
        </w:rPr>
        <w:t xml:space="preserve"> use of </w:t>
      </w:r>
      <w:r w:rsidR="00301AEB">
        <w:rPr>
          <w:noProof/>
        </w:rPr>
        <w:t xml:space="preserve">the </w:t>
      </w:r>
      <w:r w:rsidR="00987AC9" w:rsidRPr="00060C95">
        <w:rPr>
          <w:noProof/>
        </w:rPr>
        <w:t>central scenario in the Union-wide ten-year network development plan, consideration of non-wire solutions and other alternatives to system expansion and clarifying the time scope of the plans. Those Regulations should therefore be amended accordingly</w:t>
      </w:r>
      <w:r w:rsidR="00987AC9" w:rsidRPr="00B045B9">
        <w:rPr>
          <w:noProof/>
        </w:rPr>
        <w:t>.</w:t>
      </w:r>
      <w:r w:rsidR="00060C95">
        <w:rPr>
          <w:rStyle w:val="CommentReference"/>
          <w:noProof/>
        </w:rPr>
        <w:t xml:space="preserve"> </w:t>
      </w:r>
    </w:p>
    <w:p w14:paraId="18B37F49" w14:textId="474EB6F1" w:rsidR="00191138" w:rsidRPr="00987AC9" w:rsidRDefault="00C44DD6" w:rsidP="00C44DD6">
      <w:pPr>
        <w:pStyle w:val="ManualConsidrant"/>
        <w:rPr>
          <w:rStyle w:val="CommentReference"/>
          <w:noProof/>
          <w:sz w:val="24"/>
          <w:szCs w:val="24"/>
        </w:rPr>
      </w:pPr>
      <w:r w:rsidRPr="00C44DD6">
        <w:rPr>
          <w:rStyle w:val="CommentReference"/>
          <w:noProof/>
        </w:rPr>
        <w:t>(78)</w:t>
      </w:r>
      <w:r w:rsidRPr="00C44DD6">
        <w:rPr>
          <w:rStyle w:val="CommentReference"/>
          <w:noProof/>
        </w:rPr>
        <w:tab/>
      </w:r>
      <w:r w:rsidR="7C145C48">
        <w:rPr>
          <w:noProof/>
        </w:rPr>
        <w:t xml:space="preserve">In order to ensure the timely development of essential energy infrastructure projects for the Union, the </w:t>
      </w:r>
      <w:r w:rsidR="2DE9FDD0">
        <w:rPr>
          <w:noProof/>
        </w:rPr>
        <w:t xml:space="preserve">third </w:t>
      </w:r>
      <w:r w:rsidR="7C145C48">
        <w:rPr>
          <w:noProof/>
        </w:rPr>
        <w:t xml:space="preserve">Union list of projects of common interest </w:t>
      </w:r>
      <w:r w:rsidR="14417A9C">
        <w:rPr>
          <w:noProof/>
        </w:rPr>
        <w:t xml:space="preserve">and projects of mutual interest </w:t>
      </w:r>
      <w:r w:rsidR="7C145C48">
        <w:rPr>
          <w:noProof/>
        </w:rPr>
        <w:t xml:space="preserve">should remain in force until the first Union list of projects of common interest and projects of mutual interest established pursuant to this Regulation enters into force. Moreover, to enable the development, monitoring and financing of the projects of common interest on the </w:t>
      </w:r>
      <w:r w:rsidR="10145746">
        <w:rPr>
          <w:noProof/>
        </w:rPr>
        <w:t>third</w:t>
      </w:r>
      <w:r w:rsidR="7C145C48">
        <w:rPr>
          <w:noProof/>
        </w:rPr>
        <w:t xml:space="preserve"> Union list</w:t>
      </w:r>
      <w:r w:rsidR="00FC265F">
        <w:rPr>
          <w:noProof/>
        </w:rPr>
        <w:t xml:space="preserve"> pursuant to the Regulation (EU) 2022/869</w:t>
      </w:r>
      <w:r w:rsidR="7C145C48">
        <w:rPr>
          <w:noProof/>
        </w:rPr>
        <w:t xml:space="preserve">, certain provisions of Regulation (EU) </w:t>
      </w:r>
      <w:r w:rsidR="727DF72F">
        <w:rPr>
          <w:noProof/>
        </w:rPr>
        <w:t>2022/869</w:t>
      </w:r>
      <w:r w:rsidR="7C145C48">
        <w:rPr>
          <w:noProof/>
        </w:rPr>
        <w:t xml:space="preserve"> should remain in force and produce effects until the entry into force of the first Union list of projects of common interest and projects of mutual interest established pursuant to this Regulation.</w:t>
      </w:r>
      <w:r w:rsidR="29C64075" w:rsidRPr="4E141F37">
        <w:rPr>
          <w:rStyle w:val="CommentReference"/>
          <w:noProof/>
          <w:sz w:val="24"/>
          <w:szCs w:val="24"/>
        </w:rPr>
        <w:t xml:space="preserve"> </w:t>
      </w:r>
    </w:p>
    <w:p w14:paraId="3926CC51" w14:textId="63B23957" w:rsidR="00191138" w:rsidRPr="002A75D5" w:rsidRDefault="00C44DD6" w:rsidP="00C44DD6">
      <w:pPr>
        <w:pStyle w:val="ManualConsidrant"/>
        <w:rPr>
          <w:noProof/>
        </w:rPr>
      </w:pPr>
      <w:r w:rsidRPr="00C44DD6">
        <w:rPr>
          <w:noProof/>
        </w:rPr>
        <w:t>(79)</w:t>
      </w:r>
      <w:r w:rsidRPr="00C44DD6">
        <w:rPr>
          <w:noProof/>
        </w:rPr>
        <w:tab/>
      </w:r>
      <w:r w:rsidR="7C145C48">
        <w:rPr>
          <w:noProof/>
        </w:rPr>
        <w:t xml:space="preserve">In order to ensure that the Union list is limited to projects which contribute the most to the implementation of the strategic energy infrastructure priority corridors and areas set out in </w:t>
      </w:r>
      <w:r w:rsidR="00593AC5">
        <w:rPr>
          <w:noProof/>
        </w:rPr>
        <w:t>A</w:t>
      </w:r>
      <w:r w:rsidR="7C145C48">
        <w:rPr>
          <w:noProof/>
        </w:rPr>
        <w:t>nnex</w:t>
      </w:r>
      <w:r w:rsidR="00593AC5">
        <w:rPr>
          <w:noProof/>
        </w:rPr>
        <w:t xml:space="preserve"> </w:t>
      </w:r>
      <w:r w:rsidR="0005509E">
        <w:rPr>
          <w:noProof/>
        </w:rPr>
        <w:t>I</w:t>
      </w:r>
      <w:r w:rsidR="00593AC5">
        <w:rPr>
          <w:noProof/>
        </w:rPr>
        <w:t xml:space="preserve"> </w:t>
      </w:r>
      <w:r w:rsidR="7C145C48">
        <w:rPr>
          <w:noProof/>
        </w:rPr>
        <w:t xml:space="preserve">to this Regulation, the power to adopt acts in accordance with Article 290 </w:t>
      </w:r>
      <w:r w:rsidR="7F285A85">
        <w:rPr>
          <w:noProof/>
        </w:rPr>
        <w:t xml:space="preserve">of the Treaty </w:t>
      </w:r>
      <w:r w:rsidR="7C145C48">
        <w:rPr>
          <w:noProof/>
        </w:rPr>
        <w:t xml:space="preserve">should be delegated to the Commission </w:t>
      </w:r>
      <w:r w:rsidR="00261AC4">
        <w:rPr>
          <w:noProof/>
        </w:rPr>
        <w:t xml:space="preserve">in order </w:t>
      </w:r>
      <w:r w:rsidR="7C145C48">
        <w:rPr>
          <w:noProof/>
        </w:rPr>
        <w:t xml:space="preserve">to amend the annexes to this Regulation so as to establish and review the Union list, while respecting the right of the Member States to approve projects on the Union list related to their territories. </w:t>
      </w:r>
    </w:p>
    <w:p w14:paraId="20790D21" w14:textId="19BF8732" w:rsidR="00191138" w:rsidRPr="002A75D5" w:rsidRDefault="00C44DD6" w:rsidP="00C44DD6">
      <w:pPr>
        <w:pStyle w:val="ManualConsidrant"/>
        <w:rPr>
          <w:rStyle w:val="CommentReference"/>
          <w:noProof/>
          <w:sz w:val="24"/>
          <w:szCs w:val="24"/>
        </w:rPr>
      </w:pPr>
      <w:r w:rsidRPr="00C44DD6">
        <w:rPr>
          <w:rStyle w:val="CommentReference"/>
          <w:noProof/>
        </w:rPr>
        <w:t>(80)</w:t>
      </w:r>
      <w:r w:rsidRPr="00C44DD6">
        <w:rPr>
          <w:rStyle w:val="CommentReference"/>
          <w:noProof/>
        </w:rPr>
        <w:tab/>
      </w:r>
      <w:r w:rsidR="6E5C4717">
        <w:rPr>
          <w:noProof/>
        </w:rPr>
        <w:t>T</w:t>
      </w:r>
      <w:r w:rsidR="4F419419">
        <w:rPr>
          <w:noProof/>
        </w:rPr>
        <w:t>h</w:t>
      </w:r>
      <w:r w:rsidR="6E5C4717">
        <w:rPr>
          <w:noProof/>
        </w:rPr>
        <w:t xml:space="preserve">e power to adopt acts in accordance with Article 290 </w:t>
      </w:r>
      <w:r w:rsidR="005C6C54">
        <w:rPr>
          <w:noProof/>
        </w:rPr>
        <w:t>of the Treaty</w:t>
      </w:r>
      <w:r w:rsidR="6E5C4717">
        <w:rPr>
          <w:noProof/>
        </w:rPr>
        <w:t xml:space="preserve"> should be delegated to the Commission to develop the central scenario</w:t>
      </w:r>
      <w:r w:rsidR="00405F9C">
        <w:rPr>
          <w:noProof/>
        </w:rPr>
        <w:t xml:space="preserve">, which </w:t>
      </w:r>
      <w:r w:rsidR="00E5596D">
        <w:rPr>
          <w:noProof/>
        </w:rPr>
        <w:t xml:space="preserve">is a basis for </w:t>
      </w:r>
      <w:r w:rsidR="00373A01">
        <w:rPr>
          <w:noProof/>
        </w:rPr>
        <w:t xml:space="preserve">the </w:t>
      </w:r>
      <w:r w:rsidR="00B42755">
        <w:rPr>
          <w:noProof/>
        </w:rPr>
        <w:t>Union</w:t>
      </w:r>
      <w:r w:rsidR="6E5C4717">
        <w:rPr>
          <w:noProof/>
        </w:rPr>
        <w:t xml:space="preserve">-level </w:t>
      </w:r>
      <w:r w:rsidR="00E5596D">
        <w:rPr>
          <w:noProof/>
        </w:rPr>
        <w:t xml:space="preserve">network </w:t>
      </w:r>
      <w:r w:rsidR="6E5C4717">
        <w:rPr>
          <w:noProof/>
        </w:rPr>
        <w:t>planning.</w:t>
      </w:r>
      <w:r w:rsidR="29C64075" w:rsidRPr="4E141F37">
        <w:rPr>
          <w:rStyle w:val="CommentReference"/>
          <w:noProof/>
          <w:sz w:val="24"/>
          <w:szCs w:val="24"/>
        </w:rPr>
        <w:t xml:space="preserve"> </w:t>
      </w:r>
    </w:p>
    <w:p w14:paraId="5EF96C53" w14:textId="7866C5CF" w:rsidR="003B7116" w:rsidRPr="002A75D5" w:rsidRDefault="00C44DD6" w:rsidP="00C44DD6">
      <w:pPr>
        <w:pStyle w:val="ManualConsidrant"/>
        <w:rPr>
          <w:noProof/>
        </w:rPr>
      </w:pPr>
      <w:r w:rsidRPr="00C44DD6">
        <w:rPr>
          <w:noProof/>
        </w:rPr>
        <w:t>(81)</w:t>
      </w:r>
      <w:r w:rsidRPr="00C44DD6">
        <w:rPr>
          <w:noProof/>
        </w:rPr>
        <w:tab/>
      </w:r>
      <w:r w:rsidR="2334638F">
        <w:rPr>
          <w:noProof/>
        </w:rPr>
        <w:t xml:space="preserve">The power to adopt acts in accordance with Article 290 </w:t>
      </w:r>
      <w:r w:rsidR="005C6C54">
        <w:rPr>
          <w:noProof/>
        </w:rPr>
        <w:t>of the Treaty</w:t>
      </w:r>
      <w:r w:rsidR="2334638F">
        <w:rPr>
          <w:noProof/>
        </w:rPr>
        <w:t xml:space="preserve"> should be delegated to the Commission to specify</w:t>
      </w:r>
      <w:r w:rsidR="38E28417">
        <w:rPr>
          <w:noProof/>
        </w:rPr>
        <w:t xml:space="preserve"> the conditions under which TSOs may use congestion income and the conditions under which the objective of Article 19(2)</w:t>
      </w:r>
      <w:r w:rsidR="7F285A85">
        <w:rPr>
          <w:noProof/>
        </w:rPr>
        <w:t xml:space="preserve">, point </w:t>
      </w:r>
      <w:r w:rsidR="38E28417">
        <w:rPr>
          <w:noProof/>
        </w:rPr>
        <w:t>(b)</w:t>
      </w:r>
      <w:r w:rsidR="00D52D5D">
        <w:rPr>
          <w:noProof/>
        </w:rPr>
        <w:t>,</w:t>
      </w:r>
      <w:r w:rsidR="38E28417">
        <w:rPr>
          <w:noProof/>
        </w:rPr>
        <w:t xml:space="preserve"> of Regulation (EU) 2019/943 is considered adequately fulfilled</w:t>
      </w:r>
      <w:r w:rsidR="2334638F">
        <w:rPr>
          <w:noProof/>
        </w:rPr>
        <w:t>.</w:t>
      </w:r>
    </w:p>
    <w:p w14:paraId="21BD94FB" w14:textId="2F37528D" w:rsidR="00A2742C" w:rsidRPr="005475D7" w:rsidRDefault="00C44DD6" w:rsidP="00C44DD6">
      <w:pPr>
        <w:pStyle w:val="ManualConsidrant"/>
        <w:rPr>
          <w:noProof/>
        </w:rPr>
      </w:pPr>
      <w:r w:rsidRPr="00C44DD6">
        <w:rPr>
          <w:noProof/>
        </w:rPr>
        <w:t>(82)</w:t>
      </w:r>
      <w:r w:rsidRPr="00C44DD6">
        <w:rPr>
          <w:noProof/>
        </w:rPr>
        <w:tab/>
      </w:r>
      <w:r w:rsidR="22D44A50">
        <w:rPr>
          <w:noProof/>
        </w:rPr>
        <w:t>It is of particular importance that</w:t>
      </w:r>
      <w:r w:rsidR="04E42C34">
        <w:rPr>
          <w:noProof/>
        </w:rPr>
        <w:t xml:space="preserve"> </w:t>
      </w:r>
      <w:r w:rsidR="7928D854">
        <w:rPr>
          <w:noProof/>
        </w:rPr>
        <w:t>the</w:t>
      </w:r>
      <w:r w:rsidR="22D44A50">
        <w:rPr>
          <w:noProof/>
        </w:rPr>
        <w:t xml:space="preserve"> Commission carry out appropriate consultations during its preparatory work, including at expert level, and that those consultations be conducted in accordance with the principles laid down in the Interinstitutional Agreement </w:t>
      </w:r>
      <w:r w:rsidR="005C6C54">
        <w:rPr>
          <w:noProof/>
        </w:rPr>
        <w:t>of 13 April 2016</w:t>
      </w:r>
      <w:r w:rsidR="00B053D0">
        <w:rPr>
          <w:noProof/>
        </w:rPr>
        <w:t xml:space="preserve"> </w:t>
      </w:r>
      <w:r w:rsidR="22D44A50">
        <w:rPr>
          <w:noProof/>
        </w:rPr>
        <w:t>on Better Law-Making</w:t>
      </w:r>
      <w:r w:rsidR="00B053D0">
        <w:rPr>
          <w:rStyle w:val="FootnoteReference"/>
          <w:noProof/>
        </w:rPr>
        <w:footnoteReference w:id="65"/>
      </w:r>
      <w:r w:rsidR="22D44A50">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r w:rsidR="20376313">
        <w:rPr>
          <w:noProof/>
        </w:rPr>
        <w:t>.</w:t>
      </w:r>
    </w:p>
    <w:p w14:paraId="01091916" w14:textId="694FA344" w:rsidR="00191138" w:rsidRDefault="00C44DD6" w:rsidP="00C44DD6">
      <w:pPr>
        <w:pStyle w:val="ManualConsidrant"/>
        <w:rPr>
          <w:noProof/>
        </w:rPr>
      </w:pPr>
      <w:r w:rsidRPr="00C44DD6">
        <w:rPr>
          <w:noProof/>
        </w:rPr>
        <w:t>(83)</w:t>
      </w:r>
      <w:r w:rsidRPr="00C44DD6">
        <w:rPr>
          <w:noProof/>
        </w:rPr>
        <w:tab/>
      </w:r>
      <w:r w:rsidR="00191138">
        <w:rPr>
          <w:noProof/>
        </w:rPr>
        <w:t xml:space="preserve">The discussions in the </w:t>
      </w:r>
      <w:r w:rsidR="00B053D0">
        <w:rPr>
          <w:noProof/>
        </w:rPr>
        <w:t>G</w:t>
      </w:r>
      <w:r w:rsidR="00191138">
        <w:rPr>
          <w:noProof/>
        </w:rPr>
        <w:t>roups are instrumental for the Commission to adopt the delegated acts establishing the Union list. Therefore, it is appropriate</w:t>
      </w:r>
      <w:r w:rsidR="000F0A72">
        <w:rPr>
          <w:noProof/>
        </w:rPr>
        <w:t xml:space="preserve"> that</w:t>
      </w:r>
      <w:r w:rsidR="00191138">
        <w:rPr>
          <w:noProof/>
        </w:rPr>
        <w:t xml:space="preserve">, to the extent possible, the European Parliament and the Council </w:t>
      </w:r>
      <w:r w:rsidR="000F0A72">
        <w:rPr>
          <w:noProof/>
        </w:rPr>
        <w:t xml:space="preserve">are </w:t>
      </w:r>
      <w:r w:rsidR="00191138">
        <w:rPr>
          <w:noProof/>
        </w:rPr>
        <w:t>informed about</w:t>
      </w:r>
      <w:r w:rsidR="000F0A72">
        <w:rPr>
          <w:noProof/>
        </w:rPr>
        <w:t xml:space="preserve"> the results</w:t>
      </w:r>
      <w:r w:rsidR="00191138">
        <w:rPr>
          <w:noProof/>
        </w:rPr>
        <w:t xml:space="preserve">, and may send experts to the meetings of </w:t>
      </w:r>
      <w:r w:rsidR="00B053D0">
        <w:rPr>
          <w:noProof/>
        </w:rPr>
        <w:t>G</w:t>
      </w:r>
      <w:r w:rsidR="00191138">
        <w:rPr>
          <w:noProof/>
        </w:rPr>
        <w:t>roups in accordance with the Interinstitutional Agreement of 13 April 2016 on Better Law</w:t>
      </w:r>
      <w:r w:rsidR="00415354">
        <w:rPr>
          <w:noProof/>
        </w:rPr>
        <w:t xml:space="preserve"> </w:t>
      </w:r>
      <w:r w:rsidR="00191138">
        <w:rPr>
          <w:noProof/>
        </w:rPr>
        <w:t>Making. Taking into account the need to ensure the achievement of the objectives of this Regulation and, in view of the number of projects on Union lists so far, the total number of projects on the Union list should remain manageable and therefore should not significantly exceed 220.</w:t>
      </w:r>
      <w:r w:rsidR="008778A7">
        <w:rPr>
          <w:noProof/>
        </w:rPr>
        <w:t xml:space="preserve"> </w:t>
      </w:r>
    </w:p>
    <w:p w14:paraId="5514016F" w14:textId="14A717FB" w:rsidR="00CF6B0C" w:rsidRDefault="00C44DD6" w:rsidP="00C44DD6">
      <w:pPr>
        <w:pStyle w:val="ManualConsidrant"/>
        <w:rPr>
          <w:noProof/>
        </w:rPr>
      </w:pPr>
      <w:r w:rsidRPr="00C44DD6">
        <w:rPr>
          <w:noProof/>
        </w:rPr>
        <w:t>(84)</w:t>
      </w:r>
      <w:r w:rsidRPr="00C44DD6">
        <w:rPr>
          <w:noProof/>
        </w:rPr>
        <w:tab/>
      </w:r>
      <w:r w:rsidR="00CF6B0C">
        <w:rPr>
          <w:noProof/>
        </w:rPr>
        <w:t xml:space="preserve">Therefore, </w:t>
      </w:r>
      <w:r w:rsidR="009F27DF">
        <w:rPr>
          <w:noProof/>
        </w:rPr>
        <w:t>R</w:t>
      </w:r>
      <w:r w:rsidR="00CF6B0C">
        <w:rPr>
          <w:noProof/>
        </w:rPr>
        <w:t xml:space="preserve">egulations (EU) 2019/942, (EU) 2019/943 and (EU) 2024/1789 </w:t>
      </w:r>
      <w:r w:rsidR="009F27DF">
        <w:rPr>
          <w:noProof/>
        </w:rPr>
        <w:t>should be amended accordingly</w:t>
      </w:r>
      <w:r w:rsidR="00995BA8">
        <w:rPr>
          <w:noProof/>
        </w:rPr>
        <w:t>, and Regulation (EU) 2022/</w:t>
      </w:r>
      <w:r w:rsidR="00250863">
        <w:rPr>
          <w:noProof/>
        </w:rPr>
        <w:t>869 should be repealed</w:t>
      </w:r>
      <w:r w:rsidR="009F27DF">
        <w:rPr>
          <w:noProof/>
        </w:rPr>
        <w:t>.</w:t>
      </w:r>
    </w:p>
    <w:p w14:paraId="7B87F21D" w14:textId="715CEAC2" w:rsidR="003E7EA6" w:rsidRDefault="00C44DD6" w:rsidP="00C44DD6">
      <w:pPr>
        <w:pStyle w:val="ManualConsidrant"/>
        <w:rPr>
          <w:noProof/>
        </w:rPr>
      </w:pPr>
      <w:r w:rsidRPr="00C44DD6">
        <w:rPr>
          <w:noProof/>
        </w:rPr>
        <w:t>(85)</w:t>
      </w:r>
      <w:r w:rsidRPr="00C44DD6">
        <w:rPr>
          <w:noProof/>
        </w:rPr>
        <w:tab/>
      </w:r>
      <w:r w:rsidR="7C145C48">
        <w:rPr>
          <w:noProof/>
        </w:rPr>
        <w:t>Since the objectives of this Regulation, namely the development and interoperability of trans-European energy networks and connection to such networks that contribute to ensuring climate change mitigation, in particular achieving the Union’s targets for energy and climate and its climate neutrality objective by</w:t>
      </w:r>
      <w:r w:rsidR="1F71659C">
        <w:rPr>
          <w:noProof/>
        </w:rPr>
        <w:t xml:space="preserve"> </w:t>
      </w:r>
      <w:r w:rsidR="7C145C48">
        <w:rPr>
          <w:noProof/>
        </w:rPr>
        <w:t>2050 at the latest, and to ensuring interconnections, energy security, market and system integration, competition that benefits all Member States, and affordable energy prices, cannot be sufficiently achieved by the Member States but can rather, by reason of the scale and effects of the proposed action,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r w:rsidR="00DA61DB">
        <w:rPr>
          <w:noProof/>
        </w:rPr>
        <w:t>,</w:t>
      </w:r>
    </w:p>
    <w:p w14:paraId="29603254" w14:textId="77777777" w:rsidR="00A75373" w:rsidRPr="008778A7" w:rsidRDefault="00A75373" w:rsidP="0095738B">
      <w:pPr>
        <w:rPr>
          <w:noProof/>
        </w:rPr>
      </w:pPr>
    </w:p>
    <w:p w14:paraId="6A779AA7" w14:textId="77777777" w:rsidR="003E7EA6" w:rsidRPr="00F96E01" w:rsidRDefault="003E7EA6">
      <w:pPr>
        <w:pStyle w:val="Formuledadoption"/>
        <w:rPr>
          <w:noProof/>
        </w:rPr>
      </w:pPr>
      <w:r w:rsidRPr="00F96E01">
        <w:rPr>
          <w:noProof/>
        </w:rPr>
        <w:t>HAVE ADOPTED THIS REGULATION:</w:t>
      </w:r>
    </w:p>
    <w:p w14:paraId="0974E637" w14:textId="77777777" w:rsidR="00903007" w:rsidRPr="00185722" w:rsidRDefault="00903007" w:rsidP="00072255">
      <w:pPr>
        <w:pStyle w:val="ChapterTitle"/>
        <w:rPr>
          <w:noProof/>
        </w:rPr>
      </w:pPr>
      <w:bookmarkStart w:id="4" w:name="bookmark10"/>
      <w:r w:rsidRPr="00072255">
        <w:rPr>
          <w:noProof/>
        </w:rPr>
        <w:t>CHAPTER</w:t>
      </w:r>
      <w:r w:rsidRPr="00185722">
        <w:rPr>
          <w:noProof/>
        </w:rPr>
        <w:t xml:space="preserve"> I</w:t>
      </w:r>
      <w:bookmarkEnd w:id="4"/>
    </w:p>
    <w:p w14:paraId="64B094E2" w14:textId="77777777" w:rsidR="00903007" w:rsidRPr="00903007" w:rsidRDefault="00903007" w:rsidP="00903007">
      <w:pPr>
        <w:pStyle w:val="ChapterTitle"/>
        <w:rPr>
          <w:noProof/>
        </w:rPr>
      </w:pPr>
      <w:r w:rsidRPr="00903007">
        <w:rPr>
          <w:noProof/>
        </w:rPr>
        <w:t>General provisions</w:t>
      </w:r>
    </w:p>
    <w:p w14:paraId="654C9830" w14:textId="77777777" w:rsidR="003E7EA6" w:rsidRDefault="003E7EA6">
      <w:pPr>
        <w:pStyle w:val="Titrearticle"/>
        <w:rPr>
          <w:noProof/>
        </w:rPr>
      </w:pPr>
      <w:r w:rsidRPr="00F96E01">
        <w:rPr>
          <w:noProof/>
        </w:rPr>
        <w:t>Article 1</w:t>
      </w:r>
    </w:p>
    <w:p w14:paraId="46774D77" w14:textId="77777777" w:rsidR="00903007" w:rsidRPr="00903007" w:rsidRDefault="00903007" w:rsidP="00903007">
      <w:pPr>
        <w:pStyle w:val="Titrearticle"/>
        <w:rPr>
          <w:b/>
          <w:bCs/>
          <w:noProof/>
        </w:rPr>
      </w:pPr>
      <w:r w:rsidRPr="00903007">
        <w:rPr>
          <w:b/>
          <w:bCs/>
          <w:noProof/>
        </w:rPr>
        <w:t>Subject matter and scope</w:t>
      </w:r>
    </w:p>
    <w:p w14:paraId="69E3BAE0" w14:textId="20B8ECB0" w:rsidR="00903007" w:rsidRPr="00DA20C4" w:rsidRDefault="00C44DD6" w:rsidP="00C44DD6">
      <w:pPr>
        <w:pStyle w:val="ManualNumPar1"/>
        <w:rPr>
          <w:noProof/>
        </w:rPr>
      </w:pPr>
      <w:r w:rsidRPr="00C44DD6">
        <w:rPr>
          <w:noProof/>
        </w:rPr>
        <w:t>1.</w:t>
      </w:r>
      <w:r w:rsidRPr="00C44DD6">
        <w:rPr>
          <w:noProof/>
        </w:rPr>
        <w:tab/>
      </w:r>
      <w:r w:rsidR="00903007" w:rsidRPr="00DA20C4">
        <w:rPr>
          <w:noProof/>
        </w:rPr>
        <w:t>This Regulation lays down guidelines for the timely development and interoperability of the priority corridors and areas of trans-European energy infrastructure (energy infrastructure priority corridors and areas) set out in Annex I</w:t>
      </w:r>
      <w:r w:rsidR="00CC22E1">
        <w:rPr>
          <w:noProof/>
        </w:rPr>
        <w:t>,</w:t>
      </w:r>
      <w:r w:rsidR="00903007" w:rsidRPr="00DA20C4">
        <w:rPr>
          <w:noProof/>
        </w:rPr>
        <w:t xml:space="preserve"> that contribute to ensuring climate change mitigation, in particular achieving the Union’s targets for energy and climate and its climate neutrality objective by 2050 at the latest, and to ensuring interconnections, energy security, market and system integration and competition that benefits all Member States, as well as affordability of energy prices.</w:t>
      </w:r>
    </w:p>
    <w:p w14:paraId="60850BC0" w14:textId="2D729B34" w:rsidR="00135EA2" w:rsidRPr="00185722" w:rsidRDefault="00C44DD6" w:rsidP="00C44DD6">
      <w:pPr>
        <w:pStyle w:val="ManualNumPar1"/>
        <w:rPr>
          <w:noProof/>
        </w:rPr>
      </w:pPr>
      <w:r w:rsidRPr="00C44DD6">
        <w:rPr>
          <w:noProof/>
        </w:rPr>
        <w:t>2.</w:t>
      </w:r>
      <w:r w:rsidRPr="00C44DD6">
        <w:rPr>
          <w:noProof/>
        </w:rPr>
        <w:tab/>
      </w:r>
      <w:r w:rsidR="00135EA2" w:rsidRPr="00185722">
        <w:rPr>
          <w:noProof/>
        </w:rPr>
        <w:t>In particular, this Regulation:</w:t>
      </w:r>
    </w:p>
    <w:p w14:paraId="6B209F90" w14:textId="79578412" w:rsidR="00135EA2" w:rsidRPr="00EA1754" w:rsidRDefault="00C44DD6" w:rsidP="00C44DD6">
      <w:pPr>
        <w:pStyle w:val="Point1"/>
        <w:rPr>
          <w:noProof/>
        </w:rPr>
      </w:pPr>
      <w:r w:rsidRPr="00C44DD6">
        <w:rPr>
          <w:noProof/>
        </w:rPr>
        <w:t>(a)</w:t>
      </w:r>
      <w:r w:rsidRPr="00C44DD6">
        <w:rPr>
          <w:noProof/>
        </w:rPr>
        <w:tab/>
      </w:r>
      <w:r w:rsidR="00135EA2" w:rsidRPr="00EA1754">
        <w:rPr>
          <w:noProof/>
        </w:rPr>
        <w:t xml:space="preserve">provides for the identification of projects of common interest and of projects of mutual interest </w:t>
      </w:r>
      <w:r w:rsidR="00506854">
        <w:rPr>
          <w:noProof/>
        </w:rPr>
        <w:t>on the Union list</w:t>
      </w:r>
      <w:r w:rsidR="00135EA2" w:rsidRPr="00EA1754">
        <w:rPr>
          <w:noProof/>
        </w:rPr>
        <w:t>;</w:t>
      </w:r>
    </w:p>
    <w:p w14:paraId="5D9636D8" w14:textId="739D6C7A" w:rsidR="00135EA2" w:rsidRPr="00185722" w:rsidRDefault="00C44DD6" w:rsidP="00C44DD6">
      <w:pPr>
        <w:pStyle w:val="Point1"/>
        <w:rPr>
          <w:noProof/>
        </w:rPr>
      </w:pPr>
      <w:r w:rsidRPr="00C44DD6">
        <w:rPr>
          <w:noProof/>
        </w:rPr>
        <w:t>(b)</w:t>
      </w:r>
      <w:r w:rsidRPr="00C44DD6">
        <w:rPr>
          <w:noProof/>
        </w:rPr>
        <w:tab/>
      </w:r>
      <w:r w:rsidR="00135EA2" w:rsidRPr="00185722">
        <w:rPr>
          <w:noProof/>
        </w:rPr>
        <w:t>facilitates the timely implementation of projects on the Union list by streamlining, coordinating more closely and accelerating permit</w:t>
      </w:r>
      <w:r w:rsidR="00B95351">
        <w:rPr>
          <w:noProof/>
        </w:rPr>
        <w:t>-</w:t>
      </w:r>
      <w:r w:rsidR="00135EA2" w:rsidRPr="00185722">
        <w:rPr>
          <w:noProof/>
        </w:rPr>
        <w:t>granting processes, and by enhancing transparency and public participation;</w:t>
      </w:r>
    </w:p>
    <w:p w14:paraId="66C2ED15" w14:textId="44F7DB1B" w:rsidR="00135EA2" w:rsidRPr="00185722" w:rsidRDefault="00C44DD6" w:rsidP="00C44DD6">
      <w:pPr>
        <w:pStyle w:val="Point1"/>
        <w:rPr>
          <w:noProof/>
        </w:rPr>
      </w:pPr>
      <w:r w:rsidRPr="00C44DD6">
        <w:rPr>
          <w:noProof/>
        </w:rPr>
        <w:t>(c)</w:t>
      </w:r>
      <w:r w:rsidRPr="00C44DD6">
        <w:rPr>
          <w:noProof/>
        </w:rPr>
        <w:tab/>
      </w:r>
      <w:r w:rsidR="00135EA2" w:rsidRPr="00185722">
        <w:rPr>
          <w:noProof/>
        </w:rPr>
        <w:t>provides rules for the cross-border allocation of costs and risk-related incentives for projects on the Union list;</w:t>
      </w:r>
    </w:p>
    <w:p w14:paraId="5F0E3F0E" w14:textId="26C3EA14" w:rsidR="00135EA2" w:rsidRPr="00185722" w:rsidRDefault="00C44DD6" w:rsidP="00C44DD6">
      <w:pPr>
        <w:pStyle w:val="Point1"/>
        <w:rPr>
          <w:noProof/>
        </w:rPr>
      </w:pPr>
      <w:r w:rsidRPr="00C44DD6">
        <w:rPr>
          <w:noProof/>
        </w:rPr>
        <w:t>(d)</w:t>
      </w:r>
      <w:r w:rsidRPr="00C44DD6">
        <w:rPr>
          <w:noProof/>
        </w:rPr>
        <w:tab/>
      </w:r>
      <w:r w:rsidR="00135EA2" w:rsidRPr="00185722">
        <w:rPr>
          <w:noProof/>
        </w:rPr>
        <w:t>determines the conditions for eligibility of projects on the Union list for Union financial assistance.</w:t>
      </w:r>
    </w:p>
    <w:p w14:paraId="4095E2AA" w14:textId="77777777" w:rsidR="00135EA2" w:rsidRDefault="00135EA2" w:rsidP="00135EA2">
      <w:pPr>
        <w:pStyle w:val="Titrearticle"/>
        <w:rPr>
          <w:noProof/>
        </w:rPr>
      </w:pPr>
      <w:r>
        <w:rPr>
          <w:noProof/>
        </w:rPr>
        <w:t>Article 2</w:t>
      </w:r>
    </w:p>
    <w:p w14:paraId="512560C9" w14:textId="77777777" w:rsidR="003E7EA6" w:rsidRDefault="00135EA2" w:rsidP="00135EA2">
      <w:pPr>
        <w:pStyle w:val="Titrearticle"/>
        <w:rPr>
          <w:b/>
          <w:bCs/>
          <w:noProof/>
        </w:rPr>
      </w:pPr>
      <w:r w:rsidRPr="00135EA2">
        <w:rPr>
          <w:b/>
          <w:bCs/>
          <w:noProof/>
        </w:rPr>
        <w:t>Definitions</w:t>
      </w:r>
    </w:p>
    <w:p w14:paraId="21FECE5F" w14:textId="77777777" w:rsidR="00135EA2" w:rsidRPr="00185722" w:rsidRDefault="00135EA2" w:rsidP="00DA20C4">
      <w:pPr>
        <w:pStyle w:val="Text1"/>
        <w:rPr>
          <w:noProof/>
        </w:rPr>
      </w:pPr>
      <w:bookmarkStart w:id="5" w:name="bookmark19"/>
      <w:r w:rsidRPr="00185722">
        <w:rPr>
          <w:noProof/>
        </w:rPr>
        <w:t>For the purposes of this Regulation, in addition to the definitions in Regulations (EU) 2018/1999, (EU) 2019/942 and (EU) 2019/943</w:t>
      </w:r>
      <w:r w:rsidR="00CE359D">
        <w:rPr>
          <w:noProof/>
        </w:rPr>
        <w:t xml:space="preserve"> </w:t>
      </w:r>
      <w:r w:rsidR="003F1546">
        <w:rPr>
          <w:noProof/>
        </w:rPr>
        <w:t>and</w:t>
      </w:r>
      <w:r w:rsidRPr="00185722">
        <w:rPr>
          <w:noProof/>
        </w:rPr>
        <w:t xml:space="preserve"> </w:t>
      </w:r>
      <w:r w:rsidR="00CE359D">
        <w:rPr>
          <w:noProof/>
        </w:rPr>
        <w:t>(</w:t>
      </w:r>
      <w:r w:rsidR="005A3564" w:rsidRPr="00185722">
        <w:rPr>
          <w:noProof/>
        </w:rPr>
        <w:t xml:space="preserve">EU) 2024/1789, </w:t>
      </w:r>
      <w:r w:rsidRPr="00185722">
        <w:rPr>
          <w:noProof/>
        </w:rPr>
        <w:t>and in Directive (EU) 2018/2001</w:t>
      </w:r>
      <w:r w:rsidR="00134F93">
        <w:rPr>
          <w:noProof/>
        </w:rPr>
        <w:t xml:space="preserve"> of the European Parliament and of the Council</w:t>
      </w:r>
      <w:r w:rsidR="00DD49F1">
        <w:rPr>
          <w:rStyle w:val="FootnoteReference"/>
          <w:noProof/>
        </w:rPr>
        <w:footnoteReference w:id="66"/>
      </w:r>
      <w:r w:rsidRPr="00185722">
        <w:rPr>
          <w:rFonts w:eastAsia="Times New Roman"/>
          <w:noProof/>
          <w:color w:val="000000" w:themeColor="text1"/>
          <w:lang w:eastAsia="en-IE"/>
        </w:rPr>
        <w:t> </w:t>
      </w:r>
      <w:r w:rsidRPr="00185722">
        <w:rPr>
          <w:noProof/>
        </w:rPr>
        <w:t xml:space="preserve">and </w:t>
      </w:r>
      <w:r w:rsidR="00093455">
        <w:rPr>
          <w:noProof/>
        </w:rPr>
        <w:t xml:space="preserve">Directives </w:t>
      </w:r>
      <w:r w:rsidRPr="00185722">
        <w:rPr>
          <w:noProof/>
        </w:rPr>
        <w:t>(EU) 2019/944</w:t>
      </w:r>
      <w:r w:rsidR="00D163C1">
        <w:rPr>
          <w:noProof/>
        </w:rPr>
        <w:t xml:space="preserve"> and</w:t>
      </w:r>
      <w:r w:rsidR="009054C9">
        <w:rPr>
          <w:noProof/>
        </w:rPr>
        <w:t xml:space="preserve"> </w:t>
      </w:r>
      <w:r w:rsidR="00EB6D46">
        <w:rPr>
          <w:noProof/>
        </w:rPr>
        <w:t>(</w:t>
      </w:r>
      <w:r w:rsidR="003F1546" w:rsidRPr="00185722">
        <w:rPr>
          <w:noProof/>
        </w:rPr>
        <w:t>EU) 2024/1788</w:t>
      </w:r>
      <w:r w:rsidR="00EB6D46">
        <w:rPr>
          <w:noProof/>
        </w:rPr>
        <w:t xml:space="preserve"> </w:t>
      </w:r>
      <w:r w:rsidRPr="00185722">
        <w:rPr>
          <w:noProof/>
        </w:rPr>
        <w:t>the following definitions apply:</w:t>
      </w:r>
      <w:bookmarkEnd w:id="5"/>
    </w:p>
    <w:p w14:paraId="473FD3B3" w14:textId="7E5BE743" w:rsidR="00135EA2" w:rsidRPr="0018648F" w:rsidRDefault="00C44DD6" w:rsidP="00C44DD6">
      <w:pPr>
        <w:pStyle w:val="Point1"/>
        <w:rPr>
          <w:noProof/>
        </w:rPr>
      </w:pPr>
      <w:r w:rsidRPr="00C44DD6">
        <w:rPr>
          <w:noProof/>
        </w:rPr>
        <w:t>(1)</w:t>
      </w:r>
      <w:r w:rsidRPr="00C44DD6">
        <w:rPr>
          <w:noProof/>
        </w:rPr>
        <w:tab/>
      </w:r>
      <w:r w:rsidR="00135EA2" w:rsidRPr="0018648F">
        <w:rPr>
          <w:noProof/>
        </w:rPr>
        <w:t xml:space="preserve">‘energy infrastructure’ means any physical equipment or facility falling under the energy infrastructure categories </w:t>
      </w:r>
      <w:r w:rsidR="00920ABA">
        <w:rPr>
          <w:noProof/>
        </w:rPr>
        <w:t>set out in Annex II</w:t>
      </w:r>
      <w:r w:rsidR="00135EA2" w:rsidRPr="0018648F">
        <w:rPr>
          <w:noProof/>
        </w:rPr>
        <w:t xml:space="preserve"> which is located within the Union, or linking the Union and third countries;</w:t>
      </w:r>
    </w:p>
    <w:p w14:paraId="76A954EA" w14:textId="61D6893E" w:rsidR="00135EA2" w:rsidRPr="00185722" w:rsidRDefault="00C44DD6" w:rsidP="00C44DD6">
      <w:pPr>
        <w:pStyle w:val="Point1"/>
        <w:rPr>
          <w:noProof/>
        </w:rPr>
      </w:pPr>
      <w:r w:rsidRPr="00C44DD6">
        <w:rPr>
          <w:noProof/>
        </w:rPr>
        <w:t>(2)</w:t>
      </w:r>
      <w:r w:rsidRPr="00C44DD6">
        <w:rPr>
          <w:noProof/>
        </w:rPr>
        <w:tab/>
      </w:r>
      <w:r w:rsidR="00135EA2" w:rsidRPr="00185722">
        <w:rPr>
          <w:noProof/>
        </w:rPr>
        <w:t>‘energy infrastructure bottleneck’ means limitation of physical flows in an energy system due to insufficient transmission capacity, which includes, inter alia, the absence of infrastructure;</w:t>
      </w:r>
    </w:p>
    <w:p w14:paraId="592B7B82" w14:textId="0A3D0431" w:rsidR="00135EA2" w:rsidRPr="00185722" w:rsidRDefault="00C44DD6" w:rsidP="00C44DD6">
      <w:pPr>
        <w:pStyle w:val="Point1"/>
        <w:rPr>
          <w:noProof/>
          <w:lang w:eastAsia="en-IE"/>
        </w:rPr>
      </w:pPr>
      <w:r w:rsidRPr="00C44DD6">
        <w:rPr>
          <w:noProof/>
        </w:rPr>
        <w:t>(3)</w:t>
      </w:r>
      <w:r w:rsidRPr="00C44DD6">
        <w:rPr>
          <w:noProof/>
        </w:rPr>
        <w:tab/>
      </w:r>
      <w:r w:rsidR="00135EA2" w:rsidRPr="00185722">
        <w:rPr>
          <w:noProof/>
          <w:lang w:eastAsia="en-IE"/>
        </w:rPr>
        <w:t xml:space="preserve">‘comprehensive decision’ means the binding document, available to project promoters in </w:t>
      </w:r>
      <w:r w:rsidR="00135EA2">
        <w:rPr>
          <w:noProof/>
          <w:lang w:eastAsia="en-IE"/>
        </w:rPr>
        <w:t>writing or electronic</w:t>
      </w:r>
      <w:r w:rsidR="00135EA2" w:rsidRPr="00185722">
        <w:rPr>
          <w:noProof/>
          <w:lang w:eastAsia="en-IE"/>
        </w:rPr>
        <w:t xml:space="preserve"> form, comprised of, or containing, the decision or set of decisions taken by a Member State authority or authorities </w:t>
      </w:r>
      <w:r w:rsidR="00DB35BB">
        <w:rPr>
          <w:noProof/>
          <w:lang w:eastAsia="en-IE"/>
        </w:rPr>
        <w:t>other than</w:t>
      </w:r>
      <w:r w:rsidR="00135EA2" w:rsidRPr="00185722">
        <w:rPr>
          <w:noProof/>
          <w:lang w:eastAsia="en-IE"/>
        </w:rPr>
        <w:t xml:space="preserve"> courts or tribunals, that determines whether or not a project promoter is authorised to build the energy infrastructure to realise a project of common interest or a project of mutual interest by having the possibility to start, or procure and start, the necessary construction works (ready-to-build phase) without prejudice to any decision taken in the context of an administrative appeal procedure;</w:t>
      </w:r>
    </w:p>
    <w:p w14:paraId="742E16A5" w14:textId="4E861E16" w:rsidR="00135EA2" w:rsidRPr="00185722" w:rsidRDefault="00C44DD6" w:rsidP="00C44DD6">
      <w:pPr>
        <w:pStyle w:val="Point1"/>
        <w:rPr>
          <w:noProof/>
        </w:rPr>
      </w:pPr>
      <w:r w:rsidRPr="00C44DD6">
        <w:rPr>
          <w:noProof/>
        </w:rPr>
        <w:t>(4)</w:t>
      </w:r>
      <w:r w:rsidRPr="00C44DD6">
        <w:rPr>
          <w:noProof/>
        </w:rPr>
        <w:tab/>
      </w:r>
      <w:r w:rsidR="00135EA2" w:rsidRPr="00185722">
        <w:rPr>
          <w:noProof/>
        </w:rPr>
        <w:t>‘project’ means one or several lines, pipelines, facilities, equipment or installations falling under the energy infrastructure categories set out in Annex II;</w:t>
      </w:r>
    </w:p>
    <w:p w14:paraId="2727B1C7" w14:textId="517D49D4" w:rsidR="00135EA2" w:rsidRPr="00185722" w:rsidRDefault="00C44DD6" w:rsidP="00C44DD6">
      <w:pPr>
        <w:pStyle w:val="Point1"/>
        <w:rPr>
          <w:noProof/>
        </w:rPr>
      </w:pPr>
      <w:r w:rsidRPr="00C44DD6">
        <w:rPr>
          <w:noProof/>
        </w:rPr>
        <w:t>(5)</w:t>
      </w:r>
      <w:r w:rsidRPr="00C44DD6">
        <w:rPr>
          <w:noProof/>
        </w:rPr>
        <w:tab/>
      </w:r>
      <w:r w:rsidR="00135EA2" w:rsidRPr="00185722">
        <w:rPr>
          <w:noProof/>
        </w:rPr>
        <w:t xml:space="preserve">‘project of common interest’ means a </w:t>
      </w:r>
      <w:r w:rsidR="00135EA2" w:rsidRPr="003C2D39">
        <w:rPr>
          <w:noProof/>
        </w:rPr>
        <w:t>project</w:t>
      </w:r>
      <w:r w:rsidR="2D5F0C84" w:rsidRPr="003C2D39">
        <w:rPr>
          <w:noProof/>
          <w:color w:val="000000" w:themeColor="text1"/>
          <w:lang w:eastAsia="en-IE"/>
        </w:rPr>
        <w:t xml:space="preserve"> which is </w:t>
      </w:r>
      <w:r w:rsidR="00135EA2" w:rsidRPr="003C2D39">
        <w:rPr>
          <w:noProof/>
        </w:rPr>
        <w:t>necessary</w:t>
      </w:r>
      <w:r w:rsidR="00135EA2" w:rsidRPr="00185722">
        <w:rPr>
          <w:noProof/>
        </w:rPr>
        <w:t xml:space="preserve"> to implement the energy infrastructure priority corridors and areas set out in Annex I and which is on the Union list;</w:t>
      </w:r>
    </w:p>
    <w:p w14:paraId="38DBE042" w14:textId="03E3B401" w:rsidR="00135EA2" w:rsidRPr="00185722" w:rsidRDefault="00C44DD6" w:rsidP="00C44DD6">
      <w:pPr>
        <w:pStyle w:val="Point1"/>
        <w:rPr>
          <w:noProof/>
          <w:lang w:val="hr-HR" w:eastAsia="en-IE" w:bidi="hr-HR"/>
        </w:rPr>
      </w:pPr>
      <w:r w:rsidRPr="00C44DD6">
        <w:rPr>
          <w:noProof/>
        </w:rPr>
        <w:t>(6)</w:t>
      </w:r>
      <w:r w:rsidRPr="00C44DD6">
        <w:rPr>
          <w:noProof/>
        </w:rPr>
        <w:tab/>
      </w:r>
      <w:r w:rsidR="00135EA2" w:rsidRPr="00185722">
        <w:rPr>
          <w:noProof/>
        </w:rPr>
        <w:t xml:space="preserve">‘project of mutual interest’ means a </w:t>
      </w:r>
      <w:r w:rsidR="00135EA2" w:rsidRPr="00185722">
        <w:rPr>
          <w:noProof/>
          <w:lang w:eastAsia="en-IE"/>
        </w:rPr>
        <w:t xml:space="preserve">project promoted by the Union in cooperation with a third country, which is supported by the governments of the directly affected countries, </w:t>
      </w:r>
      <w:r w:rsidR="00135EA2" w:rsidRPr="00185722">
        <w:rPr>
          <w:noProof/>
        </w:rPr>
        <w:t xml:space="preserve">contributes to the Union’s </w:t>
      </w:r>
      <w:r w:rsidR="00135EA2" w:rsidRPr="00185722">
        <w:rPr>
          <w:noProof/>
          <w:lang w:eastAsia="en-IE"/>
        </w:rPr>
        <w:t xml:space="preserve">2050 </w:t>
      </w:r>
      <w:r w:rsidR="00135EA2" w:rsidRPr="00185722">
        <w:rPr>
          <w:noProof/>
        </w:rPr>
        <w:t xml:space="preserve">climate neutrality objective, is on the Union list, and falls under one of the </w:t>
      </w:r>
      <w:r w:rsidR="00135EA2" w:rsidRPr="00185722">
        <w:rPr>
          <w:noProof/>
          <w:lang w:eastAsia="en-IE"/>
        </w:rPr>
        <w:t>infrastructure categories for electricity set out in point</w:t>
      </w:r>
      <w:r w:rsidR="00D843CB">
        <w:rPr>
          <w:noProof/>
          <w:lang w:eastAsia="en-IE"/>
        </w:rPr>
        <w:t>s</w:t>
      </w:r>
      <w:r w:rsidR="00135EA2" w:rsidRPr="00185722">
        <w:rPr>
          <w:noProof/>
          <w:lang w:eastAsia="en-IE"/>
        </w:rPr>
        <w:t xml:space="preserve"> </w:t>
      </w:r>
      <w:r w:rsidR="0070413D">
        <w:rPr>
          <w:noProof/>
          <w:lang w:eastAsia="en-IE"/>
        </w:rPr>
        <w:t>(</w:t>
      </w:r>
      <w:r w:rsidR="00135EA2" w:rsidRPr="00185722">
        <w:rPr>
          <w:noProof/>
        </w:rPr>
        <w:t>1</w:t>
      </w:r>
      <w:r w:rsidR="0070413D">
        <w:rPr>
          <w:noProof/>
        </w:rPr>
        <w:t>)</w:t>
      </w:r>
      <w:r w:rsidR="00135EA2" w:rsidRPr="00185722">
        <w:rPr>
          <w:noProof/>
        </w:rPr>
        <w:t>(</w:t>
      </w:r>
      <w:r w:rsidR="00135EA2" w:rsidRPr="003B5972">
        <w:rPr>
          <w:noProof/>
        </w:rPr>
        <w:t>a</w:t>
      </w:r>
      <w:r w:rsidR="00135EA2" w:rsidRPr="003B5972">
        <w:rPr>
          <w:noProof/>
          <w:lang w:eastAsia="en-IE"/>
        </w:rPr>
        <w:t xml:space="preserve">), </w:t>
      </w:r>
      <w:r w:rsidR="00135EA2" w:rsidRPr="00963631">
        <w:rPr>
          <w:noProof/>
          <w:lang w:eastAsia="en-IE"/>
        </w:rPr>
        <w:t>(d)</w:t>
      </w:r>
      <w:r w:rsidR="00135EA2" w:rsidRPr="003B5972">
        <w:rPr>
          <w:noProof/>
          <w:lang w:eastAsia="en-IE"/>
        </w:rPr>
        <w:t xml:space="preserve"> or (</w:t>
      </w:r>
      <w:r w:rsidR="2FD2491B" w:rsidRPr="6D44DC1F">
        <w:rPr>
          <w:noProof/>
          <w:lang w:eastAsia="en-IE"/>
        </w:rPr>
        <w:t>h</w:t>
      </w:r>
      <w:r w:rsidR="00135EA2" w:rsidRPr="003B5972">
        <w:rPr>
          <w:noProof/>
          <w:lang w:eastAsia="en-IE"/>
        </w:rPr>
        <w:t>) of Annex II, and links the Union electricity system with the electricity grid of a third country, or</w:t>
      </w:r>
      <w:r w:rsidR="00135EA2" w:rsidRPr="00185722">
        <w:rPr>
          <w:noProof/>
          <w:lang w:eastAsia="en-IE"/>
        </w:rPr>
        <w:t xml:space="preserve"> falls under one of the infrastructure categories for hydrogen set out in point </w:t>
      </w:r>
      <w:r w:rsidR="0070413D">
        <w:rPr>
          <w:noProof/>
          <w:lang w:eastAsia="en-IE"/>
        </w:rPr>
        <w:t>(</w:t>
      </w:r>
      <w:r w:rsidR="00135EA2" w:rsidRPr="00185722">
        <w:rPr>
          <w:noProof/>
          <w:lang w:eastAsia="en-IE"/>
        </w:rPr>
        <w:t>2</w:t>
      </w:r>
      <w:r w:rsidR="0070413D">
        <w:rPr>
          <w:noProof/>
          <w:lang w:eastAsia="en-IE"/>
        </w:rPr>
        <w:t>)</w:t>
      </w:r>
      <w:r w:rsidR="00DD0032">
        <w:rPr>
          <w:noProof/>
          <w:lang w:eastAsia="en-IE"/>
        </w:rPr>
        <w:t xml:space="preserve"> of Annex II</w:t>
      </w:r>
      <w:r w:rsidR="00135EA2" w:rsidRPr="00185722">
        <w:rPr>
          <w:noProof/>
          <w:lang w:eastAsia="en-IE"/>
        </w:rPr>
        <w:t xml:space="preserve">, or falls under one of the infrastructure categories for CO2 set out in </w:t>
      </w:r>
      <w:r w:rsidR="00135EA2" w:rsidRPr="2A509174">
        <w:rPr>
          <w:noProof/>
          <w:lang w:eastAsia="en-IE"/>
        </w:rPr>
        <w:t>point</w:t>
      </w:r>
      <w:r w:rsidR="7B9F9D4D" w:rsidRPr="2A509174">
        <w:rPr>
          <w:noProof/>
          <w:lang w:eastAsia="en-IE"/>
        </w:rPr>
        <w:t>s</w:t>
      </w:r>
      <w:r w:rsidR="00135EA2" w:rsidRPr="00185722">
        <w:rPr>
          <w:noProof/>
          <w:lang w:eastAsia="en-IE"/>
        </w:rPr>
        <w:t xml:space="preserve"> </w:t>
      </w:r>
      <w:r w:rsidR="0070413D">
        <w:rPr>
          <w:noProof/>
          <w:lang w:eastAsia="en-IE"/>
        </w:rPr>
        <w:t>(</w:t>
      </w:r>
      <w:r w:rsidR="00135EA2" w:rsidRPr="00185722">
        <w:rPr>
          <w:noProof/>
          <w:lang w:eastAsia="en-IE"/>
        </w:rPr>
        <w:t>4</w:t>
      </w:r>
      <w:r w:rsidR="0070413D">
        <w:rPr>
          <w:noProof/>
          <w:lang w:eastAsia="en-IE"/>
        </w:rPr>
        <w:t>)</w:t>
      </w:r>
      <w:r w:rsidR="00135EA2" w:rsidRPr="00185722">
        <w:rPr>
          <w:noProof/>
          <w:lang w:eastAsia="en-IE"/>
        </w:rPr>
        <w:t xml:space="preserve">(a) or (c) of </w:t>
      </w:r>
      <w:r w:rsidR="00983243">
        <w:rPr>
          <w:noProof/>
          <w:lang w:eastAsia="en-IE"/>
        </w:rPr>
        <w:t xml:space="preserve">that </w:t>
      </w:r>
      <w:r w:rsidR="00135EA2" w:rsidRPr="00185722">
        <w:rPr>
          <w:noProof/>
          <w:lang w:eastAsia="en-IE"/>
        </w:rPr>
        <w:t>Annex</w:t>
      </w:r>
      <w:r w:rsidR="002B1056">
        <w:rPr>
          <w:noProof/>
          <w:lang w:eastAsia="en-IE"/>
        </w:rPr>
        <w:t>;</w:t>
      </w:r>
      <w:r w:rsidR="00135EA2" w:rsidRPr="00185722">
        <w:rPr>
          <w:noProof/>
          <w:lang w:eastAsia="en-IE"/>
        </w:rPr>
        <w:t xml:space="preserve"> </w:t>
      </w:r>
    </w:p>
    <w:p w14:paraId="663709F5" w14:textId="4C0F595A" w:rsidR="00135EA2" w:rsidRPr="00185722" w:rsidRDefault="00C44DD6" w:rsidP="00C44DD6">
      <w:pPr>
        <w:pStyle w:val="Point1"/>
        <w:rPr>
          <w:noProof/>
        </w:rPr>
      </w:pPr>
      <w:r w:rsidRPr="00C44DD6">
        <w:rPr>
          <w:noProof/>
        </w:rPr>
        <w:t>(7)</w:t>
      </w:r>
      <w:r w:rsidRPr="00C44DD6">
        <w:rPr>
          <w:noProof/>
        </w:rPr>
        <w:tab/>
      </w:r>
      <w:r w:rsidR="00135EA2" w:rsidRPr="00185722">
        <w:rPr>
          <w:noProof/>
        </w:rPr>
        <w:t xml:space="preserve">‘competing projects’ means projects that fully or partially address the same identified </w:t>
      </w:r>
      <w:r w:rsidR="00135EA2" w:rsidRPr="00135EA2">
        <w:rPr>
          <w:noProof/>
          <w:color w:val="000000" w:themeColor="text1"/>
        </w:rPr>
        <w:t>infrastructure need</w:t>
      </w:r>
      <w:r w:rsidR="00135EA2" w:rsidRPr="00185722">
        <w:rPr>
          <w:noProof/>
        </w:rPr>
        <w:t>;</w:t>
      </w:r>
    </w:p>
    <w:p w14:paraId="6885EEDE" w14:textId="18FA0E9D" w:rsidR="00135EA2" w:rsidRPr="00185722" w:rsidRDefault="00C44DD6" w:rsidP="00C44DD6">
      <w:pPr>
        <w:pStyle w:val="Point1"/>
        <w:rPr>
          <w:noProof/>
        </w:rPr>
      </w:pPr>
      <w:r w:rsidRPr="00C44DD6">
        <w:rPr>
          <w:noProof/>
        </w:rPr>
        <w:t>(8)</w:t>
      </w:r>
      <w:r w:rsidRPr="00C44DD6">
        <w:rPr>
          <w:noProof/>
        </w:rPr>
        <w:tab/>
      </w:r>
      <w:r w:rsidR="00135EA2" w:rsidRPr="00185722">
        <w:rPr>
          <w:noProof/>
        </w:rPr>
        <w:t>‘project promoter’ means one of the following:</w:t>
      </w:r>
    </w:p>
    <w:p w14:paraId="7529A5F1" w14:textId="38E73571" w:rsidR="00135EA2" w:rsidRPr="00185722" w:rsidRDefault="00C44DD6" w:rsidP="00C44DD6">
      <w:pPr>
        <w:pStyle w:val="Point2"/>
        <w:rPr>
          <w:noProof/>
        </w:rPr>
      </w:pPr>
      <w:r w:rsidRPr="00C44DD6">
        <w:rPr>
          <w:noProof/>
        </w:rPr>
        <w:t>(a)</w:t>
      </w:r>
      <w:r w:rsidRPr="00C44DD6">
        <w:rPr>
          <w:noProof/>
        </w:rPr>
        <w:tab/>
      </w:r>
      <w:r w:rsidR="00135EA2" w:rsidRPr="00185722">
        <w:rPr>
          <w:noProof/>
        </w:rPr>
        <w:t>a transmission system operator (TSO), a distribution system operator (DSO), a hydrogen network operator (HNO) or another operator or investor developing a project on the Union list;</w:t>
      </w:r>
    </w:p>
    <w:p w14:paraId="59D012F3" w14:textId="23957CF3" w:rsidR="00135EA2" w:rsidRPr="00185722" w:rsidRDefault="00C44DD6" w:rsidP="00C44DD6">
      <w:pPr>
        <w:pStyle w:val="Point2"/>
        <w:rPr>
          <w:noProof/>
        </w:rPr>
      </w:pPr>
      <w:r w:rsidRPr="00C44DD6">
        <w:rPr>
          <w:noProof/>
        </w:rPr>
        <w:t>(b)</w:t>
      </w:r>
      <w:r w:rsidRPr="00C44DD6">
        <w:rPr>
          <w:noProof/>
        </w:rPr>
        <w:tab/>
      </w:r>
      <w:r w:rsidR="00135EA2" w:rsidRPr="00185722">
        <w:rPr>
          <w:noProof/>
        </w:rPr>
        <w:t>in the case of more than one such TSO, DSO, HNO, other operator or investor, or any group thereof, the entity with legal personality under the applicable national law which has been designated by contractual arrangement between them and which has the capacity to undertake legal obligations and assume financial liability on behalf of the parties to the contractual arrangement;</w:t>
      </w:r>
    </w:p>
    <w:p w14:paraId="1E73CC9F" w14:textId="21B7CF39" w:rsidR="00135EA2" w:rsidRPr="00185722" w:rsidRDefault="00C44DD6" w:rsidP="00C44DD6">
      <w:pPr>
        <w:pStyle w:val="Point1"/>
        <w:rPr>
          <w:noProof/>
        </w:rPr>
      </w:pPr>
      <w:r w:rsidRPr="00C44DD6">
        <w:rPr>
          <w:noProof/>
        </w:rPr>
        <w:t>(9)</w:t>
      </w:r>
      <w:r w:rsidRPr="00C44DD6">
        <w:rPr>
          <w:noProof/>
        </w:rPr>
        <w:tab/>
      </w:r>
      <w:r w:rsidR="00135EA2" w:rsidRPr="00185722">
        <w:rPr>
          <w:noProof/>
        </w:rPr>
        <w:t xml:space="preserve">‘smart electricity grid’ means an electricity network, including on islands that are not interconnected or not sufficiently connected to the trans-European energy networks, that enables cost-efficient integration and active control of the behaviour and actions of all users connected to it, including generators, consumers and prosumers, in order to ensure an economically efficient and sustainable power system with low losses and a high level of integration of renewable sources, of security of supply and of safety, and in which the grid operator can digitally monitor the actions of the users connected to it, and information and </w:t>
      </w:r>
      <w:r w:rsidR="00135EA2" w:rsidRPr="00185722">
        <w:rPr>
          <w:noProof/>
          <w:lang w:eastAsia="en-IE"/>
        </w:rPr>
        <w:t>communication</w:t>
      </w:r>
      <w:r w:rsidR="00135EA2" w:rsidRPr="00185722">
        <w:rPr>
          <w:noProof/>
        </w:rPr>
        <w:t xml:space="preserve"> technologies for communicating with related grid operators, generators, energy storage facilities, and consumers or prosumers, with a view to transmitting and distributing electricity in a sustainable, cost-efficient and secure way;</w:t>
      </w:r>
    </w:p>
    <w:p w14:paraId="5B7DA928" w14:textId="1E46EB26" w:rsidR="00135EA2" w:rsidRPr="00185722" w:rsidRDefault="00C44DD6" w:rsidP="00C44DD6">
      <w:pPr>
        <w:pStyle w:val="Point1"/>
        <w:rPr>
          <w:noProof/>
          <w:lang w:eastAsia="en-IE"/>
        </w:rPr>
      </w:pPr>
      <w:r w:rsidRPr="00C44DD6">
        <w:rPr>
          <w:noProof/>
        </w:rPr>
        <w:t>(10)</w:t>
      </w:r>
      <w:r w:rsidRPr="00C44DD6">
        <w:rPr>
          <w:noProof/>
        </w:rPr>
        <w:tab/>
      </w:r>
      <w:r w:rsidR="00135EA2" w:rsidRPr="00185722">
        <w:rPr>
          <w:noProof/>
          <w:lang w:eastAsia="en-IE"/>
        </w:rPr>
        <w:t xml:space="preserve">‘national regulatory authority’ means a national regulatory authority designated in accordance with Article </w:t>
      </w:r>
      <w:r w:rsidR="007C45A5">
        <w:rPr>
          <w:noProof/>
          <w:lang w:eastAsia="en-IE"/>
        </w:rPr>
        <w:t>76</w:t>
      </w:r>
      <w:r w:rsidR="00135EA2" w:rsidRPr="00185722">
        <w:rPr>
          <w:noProof/>
          <w:lang w:eastAsia="en-IE"/>
        </w:rPr>
        <w:t xml:space="preserve">(1) of Directive </w:t>
      </w:r>
      <w:r w:rsidR="001B326A" w:rsidRPr="001B326A">
        <w:rPr>
          <w:noProof/>
          <w:lang w:eastAsia="en-IE"/>
        </w:rPr>
        <w:t>(EU) 2024/1788</w:t>
      </w:r>
      <w:r w:rsidR="00135EA2" w:rsidRPr="00185722">
        <w:rPr>
          <w:noProof/>
          <w:lang w:eastAsia="en-IE"/>
        </w:rPr>
        <w:t xml:space="preserve"> or a regulatory authority at national level designated in accordance with Article 57 of Directive (EU) 2019/944;</w:t>
      </w:r>
    </w:p>
    <w:p w14:paraId="7ECF429D" w14:textId="3DD7E3B2" w:rsidR="00135EA2" w:rsidRPr="00185722" w:rsidRDefault="00C44DD6" w:rsidP="00C44DD6">
      <w:pPr>
        <w:pStyle w:val="Point1"/>
        <w:rPr>
          <w:noProof/>
          <w:lang w:eastAsia="en-IE"/>
        </w:rPr>
      </w:pPr>
      <w:r w:rsidRPr="00C44DD6">
        <w:rPr>
          <w:noProof/>
        </w:rPr>
        <w:t>(11)</w:t>
      </w:r>
      <w:r w:rsidRPr="00C44DD6">
        <w:rPr>
          <w:noProof/>
        </w:rPr>
        <w:tab/>
      </w:r>
      <w:r w:rsidR="00135EA2" w:rsidRPr="00185722">
        <w:rPr>
          <w:noProof/>
          <w:lang w:eastAsia="en-IE"/>
        </w:rPr>
        <w:t>‘relevant national regulatory authority’ means the national regulatory authority in the Member States hosting the projects and in Member States to which the project provides a significant positive impact;</w:t>
      </w:r>
    </w:p>
    <w:p w14:paraId="703B6E21" w14:textId="10057EA3" w:rsidR="00135EA2" w:rsidRPr="00185722" w:rsidRDefault="00C44DD6" w:rsidP="00C44DD6">
      <w:pPr>
        <w:pStyle w:val="Point1"/>
        <w:rPr>
          <w:noProof/>
          <w:lang w:eastAsia="en-IE"/>
        </w:rPr>
      </w:pPr>
      <w:r w:rsidRPr="00C44DD6">
        <w:rPr>
          <w:noProof/>
        </w:rPr>
        <w:t>(12)</w:t>
      </w:r>
      <w:r w:rsidRPr="00C44DD6">
        <w:rPr>
          <w:noProof/>
        </w:rPr>
        <w:tab/>
      </w:r>
      <w:r w:rsidR="00135EA2" w:rsidRPr="00185722">
        <w:rPr>
          <w:noProof/>
          <w:lang w:eastAsia="en-IE"/>
        </w:rPr>
        <w:t>‘authority concerned’ means an authority that, under national law, is competent to issue various permits and authorisations related to the planning, design and construction of immovable assets necessary to complete a project of common interest or a project of mutual interest, including energy infrastructure</w:t>
      </w:r>
      <w:r w:rsidR="00135EA2" w:rsidRPr="00185722">
        <w:rPr>
          <w:noProof/>
        </w:rPr>
        <w:t xml:space="preserve"> </w:t>
      </w:r>
      <w:r w:rsidR="00135EA2" w:rsidRPr="00185722">
        <w:rPr>
          <w:noProof/>
          <w:lang w:eastAsia="en-IE"/>
        </w:rPr>
        <w:t>in itself, and the authority competent to issue permits and authorisations related to the works necessary to complete the project;</w:t>
      </w:r>
    </w:p>
    <w:p w14:paraId="32FCD3D0" w14:textId="739E03D2" w:rsidR="00135EA2" w:rsidRPr="00185722" w:rsidRDefault="00C44DD6" w:rsidP="00C44DD6">
      <w:pPr>
        <w:pStyle w:val="Point1"/>
        <w:rPr>
          <w:noProof/>
        </w:rPr>
      </w:pPr>
      <w:r w:rsidRPr="00C44DD6">
        <w:rPr>
          <w:noProof/>
        </w:rPr>
        <w:t>(13)</w:t>
      </w:r>
      <w:r w:rsidRPr="00C44DD6">
        <w:rPr>
          <w:noProof/>
        </w:rPr>
        <w:tab/>
      </w:r>
      <w:r w:rsidR="00135EA2" w:rsidRPr="00185722">
        <w:rPr>
          <w:noProof/>
        </w:rPr>
        <w:t xml:space="preserve">‘works’ means the purchase, supply and deployment of components, systems and services including software, the carrying out of development, repurposing and construction and installation activities relating to a project, the acceptance of </w:t>
      </w:r>
      <w:r w:rsidR="00135EA2" w:rsidRPr="00185722">
        <w:rPr>
          <w:noProof/>
          <w:lang w:eastAsia="en-IE"/>
        </w:rPr>
        <w:t>installations</w:t>
      </w:r>
      <w:r w:rsidR="00135EA2" w:rsidRPr="00185722">
        <w:rPr>
          <w:noProof/>
        </w:rPr>
        <w:t xml:space="preserve"> and the launching of a project;</w:t>
      </w:r>
    </w:p>
    <w:p w14:paraId="285694BA" w14:textId="3FA68DE3" w:rsidR="00135EA2" w:rsidRPr="00185722" w:rsidRDefault="00C44DD6" w:rsidP="00C44DD6">
      <w:pPr>
        <w:pStyle w:val="Point1"/>
        <w:rPr>
          <w:noProof/>
        </w:rPr>
      </w:pPr>
      <w:r w:rsidRPr="00C44DD6">
        <w:rPr>
          <w:noProof/>
        </w:rPr>
        <w:t>(14)</w:t>
      </w:r>
      <w:r w:rsidRPr="00C44DD6">
        <w:rPr>
          <w:noProof/>
        </w:rPr>
        <w:tab/>
      </w:r>
      <w:r w:rsidR="00135EA2" w:rsidRPr="00185722">
        <w:rPr>
          <w:noProof/>
        </w:rPr>
        <w:t xml:space="preserve">‘studies’ means activities </w:t>
      </w:r>
      <w:r w:rsidR="00935A5A">
        <w:rPr>
          <w:noProof/>
        </w:rPr>
        <w:t>required</w:t>
      </w:r>
      <w:r w:rsidR="00135EA2" w:rsidRPr="00185722">
        <w:rPr>
          <w:noProof/>
        </w:rPr>
        <w:t xml:space="preserve"> to prepare project </w:t>
      </w:r>
      <w:r w:rsidR="00135EA2" w:rsidRPr="00185722">
        <w:rPr>
          <w:noProof/>
          <w:lang w:eastAsia="en-IE"/>
        </w:rPr>
        <w:t>implementation</w:t>
      </w:r>
      <w:r w:rsidR="00135EA2" w:rsidRPr="00185722">
        <w:rPr>
          <w:noProof/>
        </w:rPr>
        <w:t xml:space="preserve">, such as preparatory, feasibility, evaluation, testing and </w:t>
      </w:r>
      <w:r w:rsidR="00135EA2" w:rsidRPr="00185722">
        <w:rPr>
          <w:noProof/>
          <w:lang w:eastAsia="en-IE"/>
        </w:rPr>
        <w:t>validation</w:t>
      </w:r>
      <w:r w:rsidR="00135EA2" w:rsidRPr="00185722">
        <w:rPr>
          <w:noProof/>
        </w:rPr>
        <w:t xml:space="preserve"> studies, including software, and any other technical support measure including prior action to define and develop a project and decide on its financing, such as reconnaissance of the sites concerned and preparation of the financial package;</w:t>
      </w:r>
    </w:p>
    <w:p w14:paraId="1C9465F6" w14:textId="792C9D96" w:rsidR="00135EA2" w:rsidRPr="00185722" w:rsidRDefault="00C44DD6" w:rsidP="00C44DD6">
      <w:pPr>
        <w:pStyle w:val="Point1"/>
        <w:rPr>
          <w:noProof/>
        </w:rPr>
      </w:pPr>
      <w:r w:rsidRPr="00C44DD6">
        <w:rPr>
          <w:noProof/>
        </w:rPr>
        <w:t>(15)</w:t>
      </w:r>
      <w:r w:rsidRPr="00C44DD6">
        <w:rPr>
          <w:noProof/>
        </w:rPr>
        <w:tab/>
      </w:r>
      <w:r w:rsidR="00135EA2" w:rsidRPr="00185722">
        <w:rPr>
          <w:noProof/>
        </w:rPr>
        <w:t>‘commissioning’ means the process of bringing a project into operation once it has been constructed;</w:t>
      </w:r>
    </w:p>
    <w:p w14:paraId="04183F4D" w14:textId="7346AB75" w:rsidR="00135EA2" w:rsidRPr="00185722" w:rsidRDefault="00C44DD6" w:rsidP="00C44DD6">
      <w:pPr>
        <w:pStyle w:val="Point1"/>
        <w:rPr>
          <w:noProof/>
        </w:rPr>
      </w:pPr>
      <w:r w:rsidRPr="00C44DD6">
        <w:rPr>
          <w:noProof/>
        </w:rPr>
        <w:t>(16)</w:t>
      </w:r>
      <w:r w:rsidRPr="00C44DD6">
        <w:rPr>
          <w:noProof/>
        </w:rPr>
        <w:tab/>
      </w:r>
      <w:r w:rsidR="00135EA2" w:rsidRPr="00185722">
        <w:rPr>
          <w:noProof/>
        </w:rPr>
        <w:t xml:space="preserve">‘dedicated hydrogen assets’ means </w:t>
      </w:r>
      <w:r w:rsidR="00135EA2" w:rsidRPr="00185722">
        <w:rPr>
          <w:noProof/>
          <w:lang w:eastAsia="en-IE"/>
        </w:rPr>
        <w:t xml:space="preserve">hydrogen </w:t>
      </w:r>
      <w:r w:rsidR="00135EA2" w:rsidRPr="00185722">
        <w:rPr>
          <w:noProof/>
        </w:rPr>
        <w:t xml:space="preserve">infrastructure </w:t>
      </w:r>
      <w:r w:rsidR="00135EA2" w:rsidRPr="00185722">
        <w:rPr>
          <w:noProof/>
          <w:lang w:eastAsia="en-IE"/>
        </w:rPr>
        <w:t>designed for the exclusive use or transport of</w:t>
      </w:r>
      <w:r w:rsidR="00135EA2" w:rsidRPr="00185722">
        <w:rPr>
          <w:noProof/>
        </w:rPr>
        <w:t xml:space="preserve"> pure hydrogen without</w:t>
      </w:r>
      <w:r w:rsidR="00135EA2" w:rsidRPr="00185722">
        <w:rPr>
          <w:noProof/>
          <w:lang w:eastAsia="en-IE"/>
        </w:rPr>
        <w:t xml:space="preserve"> the need for any</w:t>
      </w:r>
      <w:r w:rsidR="00135EA2" w:rsidRPr="00185722">
        <w:rPr>
          <w:noProof/>
        </w:rPr>
        <w:t xml:space="preserve"> further adaptation works, including pipeline networks or storage facilities that are newly constructed, repurposed from natural gas assets, or both;</w:t>
      </w:r>
    </w:p>
    <w:p w14:paraId="3141118A" w14:textId="10C867E6" w:rsidR="00135EA2" w:rsidRPr="00185722" w:rsidRDefault="00C44DD6" w:rsidP="00C44DD6">
      <w:pPr>
        <w:pStyle w:val="Point1"/>
        <w:rPr>
          <w:noProof/>
        </w:rPr>
      </w:pPr>
      <w:r w:rsidRPr="00C44DD6">
        <w:rPr>
          <w:noProof/>
        </w:rPr>
        <w:t>(17)</w:t>
      </w:r>
      <w:r w:rsidRPr="00C44DD6">
        <w:rPr>
          <w:noProof/>
        </w:rPr>
        <w:tab/>
      </w:r>
      <w:r w:rsidR="00135EA2" w:rsidRPr="00185722">
        <w:rPr>
          <w:noProof/>
        </w:rPr>
        <w:t xml:space="preserve">‘repurposing’ means the technical upgrading or modification of existing natural gas infrastructure in order to ensure that it is dedicated to the </w:t>
      </w:r>
      <w:r w:rsidR="00135EA2" w:rsidRPr="00185722">
        <w:rPr>
          <w:noProof/>
          <w:color w:val="000000" w:themeColor="text1"/>
          <w:lang w:eastAsia="en-IE"/>
        </w:rPr>
        <w:t xml:space="preserve">exclusive </w:t>
      </w:r>
      <w:r w:rsidR="00135EA2" w:rsidRPr="00185722">
        <w:rPr>
          <w:noProof/>
        </w:rPr>
        <w:t>use of hydrogen;</w:t>
      </w:r>
    </w:p>
    <w:p w14:paraId="284AA730" w14:textId="3C25CA23" w:rsidR="00135EA2" w:rsidRPr="00185722" w:rsidRDefault="00C44DD6" w:rsidP="00C44DD6">
      <w:pPr>
        <w:pStyle w:val="Point1"/>
        <w:rPr>
          <w:noProof/>
        </w:rPr>
      </w:pPr>
      <w:r w:rsidRPr="00C44DD6">
        <w:rPr>
          <w:noProof/>
        </w:rPr>
        <w:t>(18)</w:t>
      </w:r>
      <w:r w:rsidRPr="00C44DD6">
        <w:rPr>
          <w:noProof/>
        </w:rPr>
        <w:tab/>
      </w:r>
      <w:r w:rsidR="00135EA2" w:rsidRPr="00185722">
        <w:rPr>
          <w:noProof/>
        </w:rPr>
        <w:t>‘climate adaptation’ means a process that ensures that resilience to the potential adverse impacts of climate change of energy infrastructure is achieved through a climate vulnerability and risk assessment, including through relevant adaptation measures</w:t>
      </w:r>
      <w:r w:rsidR="00BE478C">
        <w:rPr>
          <w:noProof/>
        </w:rPr>
        <w:t>;</w:t>
      </w:r>
    </w:p>
    <w:p w14:paraId="52FC9DED" w14:textId="502BD20B" w:rsidR="00135EA2" w:rsidRPr="00DA20C4" w:rsidRDefault="00C44DD6" w:rsidP="00C44DD6">
      <w:pPr>
        <w:pStyle w:val="Point1"/>
        <w:rPr>
          <w:noProof/>
        </w:rPr>
      </w:pPr>
      <w:r w:rsidRPr="00C44DD6">
        <w:rPr>
          <w:noProof/>
        </w:rPr>
        <w:t>(19)</w:t>
      </w:r>
      <w:r w:rsidRPr="00C44DD6">
        <w:rPr>
          <w:noProof/>
        </w:rPr>
        <w:tab/>
      </w:r>
      <w:r w:rsidR="00135EA2" w:rsidRPr="00DF02B6">
        <w:rPr>
          <w:noProof/>
        </w:rPr>
        <w:t>‘</w:t>
      </w:r>
      <w:r w:rsidR="007234F8">
        <w:rPr>
          <w:noProof/>
        </w:rPr>
        <w:t>n</w:t>
      </w:r>
      <w:r w:rsidR="00135EA2" w:rsidRPr="00DF02B6">
        <w:rPr>
          <w:noProof/>
        </w:rPr>
        <w:t>on</w:t>
      </w:r>
      <w:r w:rsidR="00135EA2" w:rsidRPr="00185722">
        <w:rPr>
          <w:noProof/>
        </w:rPr>
        <w:t>-wire solutions’ mean</w:t>
      </w:r>
      <w:r w:rsidR="00ED5489">
        <w:rPr>
          <w:noProof/>
        </w:rPr>
        <w:t>s</w:t>
      </w:r>
      <w:r w:rsidR="00135EA2" w:rsidRPr="00185722">
        <w:rPr>
          <w:noProof/>
        </w:rPr>
        <w:t xml:space="preserve"> investments in the energy infrastructure in electricity, which can increase the available grid capacity or improve the efficiency of grid operation by deploying grid enhancing technologies</w:t>
      </w:r>
      <w:r w:rsidR="00E450E9">
        <w:rPr>
          <w:noProof/>
        </w:rPr>
        <w:t>,</w:t>
      </w:r>
      <w:r w:rsidR="00135EA2" w:rsidRPr="00185722">
        <w:rPr>
          <w:noProof/>
        </w:rPr>
        <w:t xml:space="preserve"> </w:t>
      </w:r>
      <w:r w:rsidR="00BB485F">
        <w:rPr>
          <w:noProof/>
        </w:rPr>
        <w:t>including</w:t>
      </w:r>
      <w:r w:rsidR="00BB485F" w:rsidRPr="00185722">
        <w:rPr>
          <w:noProof/>
        </w:rPr>
        <w:t xml:space="preserve"> </w:t>
      </w:r>
      <w:r w:rsidR="00135EA2" w:rsidRPr="00185722">
        <w:rPr>
          <w:noProof/>
        </w:rPr>
        <w:t xml:space="preserve">digital </w:t>
      </w:r>
      <w:r w:rsidR="008B6FD0">
        <w:rPr>
          <w:noProof/>
        </w:rPr>
        <w:t>solutions</w:t>
      </w:r>
      <w:r w:rsidR="00135EA2" w:rsidRPr="00185722">
        <w:rPr>
          <w:noProof/>
        </w:rPr>
        <w:t xml:space="preserve">. </w:t>
      </w:r>
    </w:p>
    <w:p w14:paraId="40435D7F" w14:textId="77777777" w:rsidR="000130AC" w:rsidRPr="002B0756" w:rsidRDefault="000130AC" w:rsidP="000130AC">
      <w:pPr>
        <w:pStyle w:val="ChapterTitle"/>
        <w:rPr>
          <w:b w:val="0"/>
          <w:bCs/>
          <w:noProof/>
        </w:rPr>
      </w:pPr>
      <w:bookmarkStart w:id="6" w:name="bookmark21"/>
      <w:r w:rsidRPr="002B0756">
        <w:rPr>
          <w:b w:val="0"/>
          <w:bCs/>
          <w:noProof/>
        </w:rPr>
        <w:t>CHAPTER II</w:t>
      </w:r>
      <w:bookmarkEnd w:id="6"/>
    </w:p>
    <w:p w14:paraId="7366A727" w14:textId="77777777" w:rsidR="000130AC" w:rsidRPr="00185722" w:rsidRDefault="000130AC" w:rsidP="000130AC">
      <w:pPr>
        <w:pStyle w:val="ChapterTitle"/>
        <w:rPr>
          <w:noProof/>
        </w:rPr>
      </w:pPr>
      <w:r w:rsidRPr="00185722">
        <w:rPr>
          <w:noProof/>
        </w:rPr>
        <w:t>Projects of common interest and projects of mutual interest</w:t>
      </w:r>
    </w:p>
    <w:p w14:paraId="44277116" w14:textId="77777777" w:rsidR="000130AC" w:rsidRPr="00185722" w:rsidRDefault="000130AC" w:rsidP="00DA20C4">
      <w:pPr>
        <w:pStyle w:val="Titrearticle"/>
        <w:rPr>
          <w:noProof/>
        </w:rPr>
      </w:pPr>
      <w:r w:rsidRPr="00185722">
        <w:rPr>
          <w:noProof/>
          <w:lang w:eastAsia="en-IE"/>
        </w:rPr>
        <w:t>Article 3</w:t>
      </w:r>
      <w:bookmarkStart w:id="7" w:name="bookmark24"/>
      <w:bookmarkEnd w:id="7"/>
    </w:p>
    <w:p w14:paraId="382A44D1" w14:textId="77777777" w:rsidR="000130AC" w:rsidRPr="002B0756" w:rsidRDefault="000130AC" w:rsidP="000130AC">
      <w:pPr>
        <w:pStyle w:val="Titrearticle"/>
        <w:rPr>
          <w:b/>
          <w:bCs/>
          <w:noProof/>
        </w:rPr>
      </w:pPr>
      <w:r w:rsidRPr="002B0756">
        <w:rPr>
          <w:b/>
          <w:bCs/>
          <w:noProof/>
        </w:rPr>
        <w:t>Union list of projects of common interest and projects of mutual interest</w:t>
      </w:r>
    </w:p>
    <w:p w14:paraId="489EC803" w14:textId="1A1FC741" w:rsidR="002B0756" w:rsidRPr="00DA20C4" w:rsidRDefault="00C44DD6" w:rsidP="00C44DD6">
      <w:pPr>
        <w:pStyle w:val="ManualNumPar1"/>
        <w:rPr>
          <w:noProof/>
        </w:rPr>
      </w:pPr>
      <w:r w:rsidRPr="00C44DD6">
        <w:rPr>
          <w:noProof/>
        </w:rPr>
        <w:t>1.</w:t>
      </w:r>
      <w:r w:rsidRPr="00C44DD6">
        <w:rPr>
          <w:noProof/>
        </w:rPr>
        <w:tab/>
      </w:r>
      <w:r w:rsidR="002B0756">
        <w:rPr>
          <w:noProof/>
        </w:rPr>
        <w:t>Regional</w:t>
      </w:r>
      <w:r w:rsidR="002B0756" w:rsidRPr="00DA20C4">
        <w:rPr>
          <w:noProof/>
        </w:rPr>
        <w:t xml:space="preserve"> groups (</w:t>
      </w:r>
      <w:r w:rsidR="00F05A15">
        <w:rPr>
          <w:noProof/>
        </w:rPr>
        <w:t>‘</w:t>
      </w:r>
      <w:r w:rsidR="002B0756" w:rsidRPr="00DA20C4">
        <w:rPr>
          <w:noProof/>
        </w:rPr>
        <w:t>Groups</w:t>
      </w:r>
      <w:r w:rsidR="00F05A15">
        <w:rPr>
          <w:noProof/>
        </w:rPr>
        <w:t>’</w:t>
      </w:r>
      <w:r w:rsidR="002B0756" w:rsidRPr="00DA20C4">
        <w:rPr>
          <w:noProof/>
        </w:rPr>
        <w:t xml:space="preserve">) shall be established in accordance with the process set out in Section 1 of Annex III. The membership of each Group shall be based on each priority corridor and area and their respective geographical coverage as set out in Annex I. The Groups can merge or meet in different configurations as necessary. The cross-regional meeting configuration of all Groups shall be the TEN-E Group. Decision-making power in the Groups shall be restricted to Member States and the Commission (together referred to as </w:t>
      </w:r>
      <w:r w:rsidR="00CE453F">
        <w:rPr>
          <w:noProof/>
        </w:rPr>
        <w:t>‘</w:t>
      </w:r>
      <w:r w:rsidR="002B0756" w:rsidRPr="00DA20C4">
        <w:rPr>
          <w:noProof/>
        </w:rPr>
        <w:t>the decision-making body</w:t>
      </w:r>
      <w:r w:rsidR="00CE453F">
        <w:rPr>
          <w:noProof/>
        </w:rPr>
        <w:t>’</w:t>
      </w:r>
      <w:r w:rsidR="002B0756" w:rsidRPr="00DA20C4">
        <w:rPr>
          <w:noProof/>
        </w:rPr>
        <w:t xml:space="preserve">) and </w:t>
      </w:r>
      <w:r w:rsidR="00461F75">
        <w:rPr>
          <w:noProof/>
        </w:rPr>
        <w:t xml:space="preserve">shall be </w:t>
      </w:r>
      <w:r w:rsidR="002B0756" w:rsidRPr="00DA20C4">
        <w:rPr>
          <w:noProof/>
        </w:rPr>
        <w:t xml:space="preserve">based on consensus. </w:t>
      </w:r>
    </w:p>
    <w:p w14:paraId="0E6BFCE0" w14:textId="603631C2" w:rsidR="002B0756" w:rsidRPr="00DA20C4" w:rsidRDefault="00C44DD6" w:rsidP="00C44DD6">
      <w:pPr>
        <w:pStyle w:val="ManualNumPar1"/>
        <w:rPr>
          <w:noProof/>
        </w:rPr>
      </w:pPr>
      <w:r w:rsidRPr="00C44DD6">
        <w:rPr>
          <w:noProof/>
        </w:rPr>
        <w:t>2.</w:t>
      </w:r>
      <w:r w:rsidRPr="00C44DD6">
        <w:rPr>
          <w:noProof/>
        </w:rPr>
        <w:tab/>
      </w:r>
      <w:r w:rsidR="002B0756" w:rsidRPr="00DA20C4">
        <w:rPr>
          <w:noProof/>
        </w:rPr>
        <w:t>The TEN-E Group shall adopt rules of procedure, having regard to the provisions set out in Annex III. Th</w:t>
      </w:r>
      <w:r w:rsidR="008A35A6">
        <w:rPr>
          <w:noProof/>
        </w:rPr>
        <w:t>o</w:t>
      </w:r>
      <w:r w:rsidR="002B0756" w:rsidRPr="00DA20C4">
        <w:rPr>
          <w:noProof/>
        </w:rPr>
        <w:t>se</w:t>
      </w:r>
      <w:r w:rsidR="008A35A6">
        <w:rPr>
          <w:noProof/>
        </w:rPr>
        <w:t xml:space="preserve"> rules of procedure</w:t>
      </w:r>
      <w:r w:rsidR="002B0756" w:rsidRPr="00DA20C4">
        <w:rPr>
          <w:noProof/>
        </w:rPr>
        <w:t xml:space="preserve"> shall apply to all Groups.</w:t>
      </w:r>
    </w:p>
    <w:p w14:paraId="5FD0D26C" w14:textId="5D56A649" w:rsidR="000130AC" w:rsidRPr="000130AC" w:rsidRDefault="00C44DD6" w:rsidP="00C44DD6">
      <w:pPr>
        <w:pStyle w:val="ManualNumPar1"/>
        <w:rPr>
          <w:noProof/>
        </w:rPr>
      </w:pPr>
      <w:r w:rsidRPr="00C44DD6">
        <w:rPr>
          <w:noProof/>
        </w:rPr>
        <w:t>3.</w:t>
      </w:r>
      <w:r w:rsidRPr="00C44DD6">
        <w:rPr>
          <w:noProof/>
        </w:rPr>
        <w:tab/>
      </w:r>
      <w:r w:rsidR="002B0756" w:rsidRPr="00185722">
        <w:rPr>
          <w:noProof/>
        </w:rPr>
        <w:t>The decision-making body of each Group shall adopt a regional list of projects drawn up in accordance with</w:t>
      </w:r>
      <w:r w:rsidR="00985323">
        <w:rPr>
          <w:noProof/>
        </w:rPr>
        <w:t>:</w:t>
      </w:r>
      <w:r w:rsidR="002B0756" w:rsidRPr="00185722">
        <w:rPr>
          <w:noProof/>
        </w:rPr>
        <w:t xml:space="preserve"> the process set out in Section 2 of Annex III</w:t>
      </w:r>
      <w:r w:rsidR="00985323">
        <w:rPr>
          <w:noProof/>
        </w:rPr>
        <w:t>;</w:t>
      </w:r>
      <w:r w:rsidR="002B0756" w:rsidRPr="00185722">
        <w:rPr>
          <w:noProof/>
        </w:rPr>
        <w:t xml:space="preserve"> the contribution of each project to implementing the energy infrastructure priority corridors and areas set out in Annex I</w:t>
      </w:r>
      <w:r w:rsidR="001202D9">
        <w:rPr>
          <w:noProof/>
        </w:rPr>
        <w:t>;</w:t>
      </w:r>
      <w:r w:rsidR="002B0756" w:rsidRPr="00185722">
        <w:rPr>
          <w:noProof/>
        </w:rPr>
        <w:t xml:space="preserve"> and their fulfilment of the criteria set out in Article </w:t>
      </w:r>
      <w:r w:rsidR="002B0756" w:rsidRPr="002B0756">
        <w:rPr>
          <w:noProof/>
          <w:lang w:val="en-IE"/>
        </w:rPr>
        <w:t xml:space="preserve">4. </w:t>
      </w:r>
    </w:p>
    <w:p w14:paraId="69256A26" w14:textId="77777777" w:rsidR="00135EA2" w:rsidRDefault="002B0756" w:rsidP="0018648F">
      <w:pPr>
        <w:pStyle w:val="Text1"/>
        <w:rPr>
          <w:noProof/>
          <w:lang w:val="en-IE"/>
        </w:rPr>
      </w:pPr>
      <w:r w:rsidRPr="002B0756">
        <w:rPr>
          <w:noProof/>
          <w:lang w:val="en-IE"/>
        </w:rPr>
        <w:t xml:space="preserve">Where </w:t>
      </w:r>
      <w:r w:rsidR="00BE7F46">
        <w:rPr>
          <w:noProof/>
          <w:lang w:val="en-IE"/>
        </w:rPr>
        <w:t xml:space="preserve">the decision-making body of </w:t>
      </w:r>
      <w:r w:rsidRPr="002B0756">
        <w:rPr>
          <w:noProof/>
          <w:lang w:val="en-IE"/>
        </w:rPr>
        <w:t xml:space="preserve">a Group draws up its regional list: </w:t>
      </w:r>
    </w:p>
    <w:p w14:paraId="5B6629BE" w14:textId="55B6B550" w:rsidR="002B0756" w:rsidRDefault="00C44DD6" w:rsidP="00C44DD6">
      <w:pPr>
        <w:pStyle w:val="Point1"/>
        <w:rPr>
          <w:noProof/>
        </w:rPr>
      </w:pPr>
      <w:r w:rsidRPr="00C44DD6">
        <w:rPr>
          <w:noProof/>
        </w:rPr>
        <w:t>(a)</w:t>
      </w:r>
      <w:r w:rsidRPr="00C44DD6">
        <w:rPr>
          <w:noProof/>
        </w:rPr>
        <w:tab/>
      </w:r>
      <w:r w:rsidR="008618C4" w:rsidRPr="00185722">
        <w:rPr>
          <w:noProof/>
        </w:rPr>
        <w:t xml:space="preserve">each individual proposal for a project shall require the approval of the Member States to whose territory the project relates; where a Member State does not give its approval, it shall present its substantiated reasons to the </w:t>
      </w:r>
      <w:r w:rsidR="008618C4" w:rsidRPr="00DA20C4">
        <w:rPr>
          <w:rFonts w:eastAsia="Times New Roman"/>
          <w:noProof/>
          <w:lang w:eastAsia="en-IE"/>
        </w:rPr>
        <w:t>decision-making body</w:t>
      </w:r>
      <w:r w:rsidR="002B0756">
        <w:rPr>
          <w:noProof/>
        </w:rPr>
        <w:t>;</w:t>
      </w:r>
    </w:p>
    <w:p w14:paraId="795C341D" w14:textId="3FAFC8CA" w:rsidR="002B0756" w:rsidRDefault="00C44DD6" w:rsidP="00C44DD6">
      <w:pPr>
        <w:pStyle w:val="Point1"/>
        <w:rPr>
          <w:noProof/>
        </w:rPr>
      </w:pPr>
      <w:r w:rsidRPr="00C44DD6">
        <w:rPr>
          <w:noProof/>
        </w:rPr>
        <w:t>(b)</w:t>
      </w:r>
      <w:r w:rsidRPr="00C44DD6">
        <w:rPr>
          <w:noProof/>
        </w:rPr>
        <w:tab/>
      </w:r>
      <w:r w:rsidR="008618C4" w:rsidRPr="00185722">
        <w:rPr>
          <w:noProof/>
        </w:rPr>
        <w:t xml:space="preserve">it shall take into </w:t>
      </w:r>
      <w:r w:rsidR="00440924" w:rsidRPr="00185722">
        <w:rPr>
          <w:noProof/>
        </w:rPr>
        <w:t>account advice</w:t>
      </w:r>
      <w:r w:rsidR="008618C4" w:rsidRPr="00185722">
        <w:rPr>
          <w:noProof/>
        </w:rPr>
        <w:t xml:space="preserve"> from the Commission with the aim of having a manageable total number of projects on the Union list.</w:t>
      </w:r>
    </w:p>
    <w:p w14:paraId="6148316C" w14:textId="297D1C34" w:rsidR="00DA20C4" w:rsidRDefault="00C44DD6" w:rsidP="00C44DD6">
      <w:pPr>
        <w:pStyle w:val="ManualNumPar1"/>
        <w:rPr>
          <w:noProof/>
        </w:rPr>
      </w:pPr>
      <w:r w:rsidRPr="00C44DD6">
        <w:rPr>
          <w:noProof/>
        </w:rPr>
        <w:t>4.</w:t>
      </w:r>
      <w:r w:rsidRPr="00C44DD6">
        <w:rPr>
          <w:noProof/>
        </w:rPr>
        <w:tab/>
      </w:r>
      <w:r w:rsidR="00917EAD" w:rsidRPr="00185722">
        <w:rPr>
          <w:noProof/>
        </w:rPr>
        <w:t xml:space="preserve">The Commission is empowered to adopt delegated acts in accordance with Article </w:t>
      </w:r>
      <w:r w:rsidR="00917EAD">
        <w:rPr>
          <w:noProof/>
        </w:rPr>
        <w:t>2</w:t>
      </w:r>
      <w:r w:rsidR="7EEA3D4B">
        <w:rPr>
          <w:noProof/>
        </w:rPr>
        <w:t>3</w:t>
      </w:r>
      <w:r w:rsidR="00917EAD" w:rsidRPr="00185722">
        <w:rPr>
          <w:noProof/>
        </w:rPr>
        <w:t xml:space="preserve"> </w:t>
      </w:r>
      <w:r w:rsidR="796D9F54">
        <w:rPr>
          <w:noProof/>
        </w:rPr>
        <w:t xml:space="preserve">to </w:t>
      </w:r>
      <w:r w:rsidR="6819C579">
        <w:rPr>
          <w:noProof/>
        </w:rPr>
        <w:t>supplement</w:t>
      </w:r>
      <w:r w:rsidR="796D9F54">
        <w:rPr>
          <w:noProof/>
        </w:rPr>
        <w:t xml:space="preserve"> </w:t>
      </w:r>
      <w:r w:rsidR="00CE1625">
        <w:rPr>
          <w:noProof/>
        </w:rPr>
        <w:t>this Regulation</w:t>
      </w:r>
      <w:r w:rsidR="796D9F54">
        <w:rPr>
          <w:noProof/>
        </w:rPr>
        <w:t xml:space="preserve"> by </w:t>
      </w:r>
      <w:r w:rsidR="00917EAD">
        <w:rPr>
          <w:noProof/>
        </w:rPr>
        <w:t>establish</w:t>
      </w:r>
      <w:r w:rsidR="2CB00A62">
        <w:rPr>
          <w:noProof/>
        </w:rPr>
        <w:t>i</w:t>
      </w:r>
      <w:r w:rsidR="05ED3270">
        <w:rPr>
          <w:noProof/>
        </w:rPr>
        <w:t>ng</w:t>
      </w:r>
      <w:r w:rsidR="00917EAD" w:rsidRPr="00185722">
        <w:rPr>
          <w:noProof/>
        </w:rPr>
        <w:t xml:space="preserve"> the Union list, subject to Article 172</w:t>
      </w:r>
      <w:r w:rsidR="0062114B">
        <w:rPr>
          <w:noProof/>
        </w:rPr>
        <w:t>, second paragraph, of the Treaty</w:t>
      </w:r>
      <w:r w:rsidR="00917EAD" w:rsidRPr="00185722">
        <w:rPr>
          <w:noProof/>
        </w:rPr>
        <w:t>.</w:t>
      </w:r>
    </w:p>
    <w:p w14:paraId="299CE3DD" w14:textId="77777777" w:rsidR="00917EAD" w:rsidRPr="00185722" w:rsidRDefault="0062114B" w:rsidP="00DA20C4">
      <w:pPr>
        <w:pStyle w:val="Text1"/>
        <w:rPr>
          <w:noProof/>
        </w:rPr>
      </w:pPr>
      <w:r>
        <w:rPr>
          <w:noProof/>
        </w:rPr>
        <w:t>T</w:t>
      </w:r>
      <w:r w:rsidR="00917EAD" w:rsidRPr="00185722">
        <w:rPr>
          <w:noProof/>
        </w:rPr>
        <w:t xml:space="preserve">he Union list </w:t>
      </w:r>
      <w:r w:rsidR="006E7B4A">
        <w:rPr>
          <w:noProof/>
        </w:rPr>
        <w:t>shall be</w:t>
      </w:r>
      <w:r w:rsidR="00917EAD" w:rsidRPr="00185722">
        <w:rPr>
          <w:noProof/>
        </w:rPr>
        <w:t xml:space="preserve"> established every two years, on the basis of the regional lists adopted by the decision-making bodies of the Groups established pursuant to Section 1, point (1), of Annex III, following the procedure set out in paragraph 3 of this Article.</w:t>
      </w:r>
    </w:p>
    <w:p w14:paraId="02DE50C8" w14:textId="77777777" w:rsidR="00917EAD" w:rsidRPr="00185722" w:rsidRDefault="00917EAD" w:rsidP="00DA20C4">
      <w:pPr>
        <w:pStyle w:val="Text1"/>
        <w:rPr>
          <w:noProof/>
        </w:rPr>
      </w:pPr>
      <w:r w:rsidRPr="00185722">
        <w:rPr>
          <w:noProof/>
        </w:rPr>
        <w:t>The Commission shall adopt the delegated act establishing the first Union list pursuant to this Regulation by 30 November 2029.</w:t>
      </w:r>
    </w:p>
    <w:p w14:paraId="25CDC4AD" w14:textId="77777777" w:rsidR="00917EAD" w:rsidRPr="00185722" w:rsidRDefault="00917EAD" w:rsidP="00DA20C4">
      <w:pPr>
        <w:pStyle w:val="Text1"/>
        <w:rPr>
          <w:noProof/>
        </w:rPr>
      </w:pPr>
      <w:r w:rsidRPr="00185722">
        <w:rPr>
          <w:noProof/>
        </w:rPr>
        <w:t>If a delegated act adopted by the Commission pursuant to this paragraph cannot enter into force due to an objection expressed either by the European Parliament or the Council pursuant to Article 2</w:t>
      </w:r>
      <w:r w:rsidR="00761904">
        <w:rPr>
          <w:noProof/>
        </w:rPr>
        <w:t>3</w:t>
      </w:r>
      <w:r w:rsidRPr="00185722">
        <w:rPr>
          <w:noProof/>
        </w:rPr>
        <w:t>(6), the Commission shall immediately convene the Groups in order to draw up new regional lists taking into account the reasons for the objection. The Commission shall adopt a new delegated act establishing the Union list as soon as possible.</w:t>
      </w:r>
    </w:p>
    <w:p w14:paraId="61FEE748" w14:textId="7BCAADDE" w:rsidR="002B0756" w:rsidRPr="00DA20C4" w:rsidRDefault="00C44DD6" w:rsidP="00C44DD6">
      <w:pPr>
        <w:pStyle w:val="ManualNumPar1"/>
        <w:rPr>
          <w:noProof/>
        </w:rPr>
      </w:pPr>
      <w:r w:rsidRPr="00C44DD6">
        <w:rPr>
          <w:noProof/>
        </w:rPr>
        <w:t>5.</w:t>
      </w:r>
      <w:r w:rsidRPr="00C44DD6">
        <w:rPr>
          <w:noProof/>
        </w:rPr>
        <w:tab/>
      </w:r>
      <w:r w:rsidR="00F57D00" w:rsidRPr="00DA20C4">
        <w:rPr>
          <w:noProof/>
        </w:rPr>
        <w:t>When establishing the Union list by combining the regional lists referred to in paragraph 3, the Commission shall, taking due account of the deliberations of the Groups:</w:t>
      </w:r>
    </w:p>
    <w:p w14:paraId="0AFB9C1C" w14:textId="5BFFB4DF" w:rsidR="00F57D00" w:rsidRPr="00F57D00" w:rsidRDefault="00C44DD6" w:rsidP="00C44DD6">
      <w:pPr>
        <w:pStyle w:val="Point1"/>
        <w:rPr>
          <w:noProof/>
        </w:rPr>
      </w:pPr>
      <w:r w:rsidRPr="00C44DD6">
        <w:rPr>
          <w:noProof/>
        </w:rPr>
        <w:t>(a)</w:t>
      </w:r>
      <w:r w:rsidRPr="00C44DD6">
        <w:rPr>
          <w:noProof/>
        </w:rPr>
        <w:tab/>
      </w:r>
      <w:r w:rsidR="00F57D00" w:rsidRPr="00F57D00">
        <w:rPr>
          <w:noProof/>
        </w:rPr>
        <w:t>ensure that only projects that fulfil the criteria referred to in Article 4 are included;</w:t>
      </w:r>
    </w:p>
    <w:p w14:paraId="71A0A7AC" w14:textId="165F2AF5" w:rsidR="00F57D00" w:rsidRPr="00F57D00" w:rsidRDefault="00C44DD6" w:rsidP="00C44DD6">
      <w:pPr>
        <w:pStyle w:val="Point1"/>
        <w:rPr>
          <w:noProof/>
        </w:rPr>
      </w:pPr>
      <w:r w:rsidRPr="00C44DD6">
        <w:rPr>
          <w:noProof/>
        </w:rPr>
        <w:t>(b)</w:t>
      </w:r>
      <w:r w:rsidRPr="00C44DD6">
        <w:rPr>
          <w:noProof/>
        </w:rPr>
        <w:tab/>
      </w:r>
      <w:r w:rsidR="00F57D00" w:rsidRPr="00F57D00">
        <w:rPr>
          <w:noProof/>
        </w:rPr>
        <w:t>ensure cross-regional consistency;</w:t>
      </w:r>
    </w:p>
    <w:p w14:paraId="3B4D78F5" w14:textId="227FA810" w:rsidR="00F57D00" w:rsidRPr="00F57D00" w:rsidRDefault="00C44DD6" w:rsidP="00C44DD6">
      <w:pPr>
        <w:pStyle w:val="Point1"/>
        <w:rPr>
          <w:noProof/>
        </w:rPr>
      </w:pPr>
      <w:r w:rsidRPr="00C44DD6">
        <w:rPr>
          <w:noProof/>
        </w:rPr>
        <w:t>(c)</w:t>
      </w:r>
      <w:r w:rsidRPr="00C44DD6">
        <w:rPr>
          <w:noProof/>
        </w:rPr>
        <w:tab/>
      </w:r>
      <w:r w:rsidR="00F57D00" w:rsidRPr="00F57D00">
        <w:rPr>
          <w:noProof/>
        </w:rPr>
        <w:t>take into account the opinions of Member States referred to in Section 2, point (10), of Annex III;</w:t>
      </w:r>
    </w:p>
    <w:p w14:paraId="26261211" w14:textId="551BB1C5" w:rsidR="00F57D00" w:rsidRPr="00F57D00" w:rsidRDefault="00C44DD6" w:rsidP="00C44DD6">
      <w:pPr>
        <w:pStyle w:val="Point1"/>
        <w:rPr>
          <w:noProof/>
        </w:rPr>
      </w:pPr>
      <w:r w:rsidRPr="00C44DD6">
        <w:rPr>
          <w:noProof/>
        </w:rPr>
        <w:t>(d)</w:t>
      </w:r>
      <w:r w:rsidRPr="00C44DD6">
        <w:rPr>
          <w:noProof/>
        </w:rPr>
        <w:tab/>
      </w:r>
      <w:r w:rsidR="00F57D00" w:rsidRPr="00F57D00">
        <w:rPr>
          <w:noProof/>
        </w:rPr>
        <w:t>aim to ensure a manageable total number of projects on the Union list.</w:t>
      </w:r>
    </w:p>
    <w:p w14:paraId="1D8FDF75" w14:textId="54261C62" w:rsidR="00440924" w:rsidRPr="00DA20C4" w:rsidRDefault="00C44DD6" w:rsidP="00C44DD6">
      <w:pPr>
        <w:pStyle w:val="ManualNumPar1"/>
        <w:rPr>
          <w:noProof/>
        </w:rPr>
      </w:pPr>
      <w:r w:rsidRPr="00C44DD6">
        <w:rPr>
          <w:noProof/>
        </w:rPr>
        <w:t>6.</w:t>
      </w:r>
      <w:r w:rsidRPr="00C44DD6">
        <w:rPr>
          <w:noProof/>
        </w:rPr>
        <w:tab/>
      </w:r>
      <w:r w:rsidR="00440924" w:rsidRPr="00DA20C4">
        <w:rPr>
          <w:noProof/>
        </w:rPr>
        <w:t>Projects of common interest and projects of mutual interest that fall under the energy infrastructure categories set out in point</w:t>
      </w:r>
      <w:r w:rsidR="005C18C9">
        <w:rPr>
          <w:noProof/>
        </w:rPr>
        <w:t>s</w:t>
      </w:r>
      <w:r w:rsidR="00440924" w:rsidRPr="00DA20C4">
        <w:rPr>
          <w:noProof/>
        </w:rPr>
        <w:t xml:space="preserve"> (1)(a), (b), (c), (d), (f) and (h) of Annex II, as relevant, shall become an integral part of the relevant regional investment plans </w:t>
      </w:r>
      <w:r w:rsidR="00FB1A00">
        <w:rPr>
          <w:noProof/>
        </w:rPr>
        <w:t>adopted in accordance with</w:t>
      </w:r>
      <w:r w:rsidR="00FB1A00" w:rsidRPr="00DA20C4">
        <w:rPr>
          <w:noProof/>
        </w:rPr>
        <w:t xml:space="preserve"> </w:t>
      </w:r>
      <w:r w:rsidR="00440924" w:rsidRPr="00DA20C4">
        <w:rPr>
          <w:noProof/>
        </w:rPr>
        <w:t xml:space="preserve">Article 34 of Regulation (EU) 2019/943 and of the relevant national ten-year network development plans </w:t>
      </w:r>
      <w:r w:rsidR="00FB1A00">
        <w:rPr>
          <w:noProof/>
        </w:rPr>
        <w:t>adopted in accordance with</w:t>
      </w:r>
      <w:r w:rsidR="00FB1A00" w:rsidRPr="00DA20C4">
        <w:rPr>
          <w:noProof/>
        </w:rPr>
        <w:t xml:space="preserve"> </w:t>
      </w:r>
      <w:r w:rsidR="00440924" w:rsidRPr="00DA20C4">
        <w:rPr>
          <w:noProof/>
        </w:rPr>
        <w:t>Article 51 of Directive (EU) 2019/944</w:t>
      </w:r>
      <w:r w:rsidR="009170A4">
        <w:rPr>
          <w:noProof/>
        </w:rPr>
        <w:t>.</w:t>
      </w:r>
      <w:r w:rsidR="00440924" w:rsidRPr="00DA20C4">
        <w:rPr>
          <w:noProof/>
        </w:rPr>
        <w:t xml:space="preserve"> </w:t>
      </w:r>
      <w:r w:rsidR="009170A4">
        <w:rPr>
          <w:noProof/>
        </w:rPr>
        <w:t>P</w:t>
      </w:r>
      <w:r w:rsidR="00440924" w:rsidRPr="00DA20C4">
        <w:rPr>
          <w:noProof/>
        </w:rPr>
        <w:t xml:space="preserve">rojects of common interest and projects of mutual interest that fall under the energy infrastructure categories set out in point </w:t>
      </w:r>
      <w:r w:rsidR="00512DD0">
        <w:rPr>
          <w:noProof/>
        </w:rPr>
        <w:t>(</w:t>
      </w:r>
      <w:r w:rsidR="00440924" w:rsidRPr="00DA20C4">
        <w:rPr>
          <w:noProof/>
        </w:rPr>
        <w:t>2</w:t>
      </w:r>
      <w:r w:rsidR="00512DD0">
        <w:rPr>
          <w:noProof/>
        </w:rPr>
        <w:t>)</w:t>
      </w:r>
      <w:r w:rsidR="00440924" w:rsidRPr="00DA20C4">
        <w:rPr>
          <w:noProof/>
        </w:rPr>
        <w:t xml:space="preserve"> of Annex II </w:t>
      </w:r>
      <w:r w:rsidR="186E58CA">
        <w:rPr>
          <w:noProof/>
        </w:rPr>
        <w:t>,</w:t>
      </w:r>
      <w:r w:rsidR="00440924" w:rsidRPr="00DA20C4">
        <w:rPr>
          <w:noProof/>
        </w:rPr>
        <w:t xml:space="preserve">as relevant, shall become </w:t>
      </w:r>
      <w:r w:rsidR="003075CE">
        <w:rPr>
          <w:noProof/>
        </w:rPr>
        <w:t xml:space="preserve">an </w:t>
      </w:r>
      <w:r w:rsidR="00440924" w:rsidRPr="00DA20C4">
        <w:rPr>
          <w:noProof/>
        </w:rPr>
        <w:t>integral part of the ten-year network development plan for hydrogen under Article 55 of Directive (EU) 2024/1788 and other national infrastructure plans, as appropriate. Those projects of common interest and projects of mutual interest shall be conferred the highest possible priority within each of those national plans. This paragraph shall not apply to competing projects or projects that have not reached a sufficient degree of maturity to provide a project-specific cost-benefit analysis as referred to in Section 2, point (1)(d), of Annex III.</w:t>
      </w:r>
    </w:p>
    <w:p w14:paraId="337C57B5" w14:textId="3E9E260A" w:rsidR="00440924" w:rsidRPr="00DA20C4" w:rsidRDefault="00C44DD6" w:rsidP="00C44DD6">
      <w:pPr>
        <w:pStyle w:val="ManualNumPar1"/>
        <w:rPr>
          <w:noProof/>
        </w:rPr>
      </w:pPr>
      <w:r w:rsidRPr="00C44DD6">
        <w:rPr>
          <w:noProof/>
        </w:rPr>
        <w:t>7.</w:t>
      </w:r>
      <w:r w:rsidRPr="00C44DD6">
        <w:rPr>
          <w:noProof/>
        </w:rPr>
        <w:tab/>
      </w:r>
      <w:r w:rsidR="00440924" w:rsidRPr="00DA20C4">
        <w:rPr>
          <w:noProof/>
        </w:rPr>
        <w:t>Projects of common interest and projects of mutual interest that fall under the energy infrastructure categories set out in point</w:t>
      </w:r>
      <w:r w:rsidR="006B7675">
        <w:rPr>
          <w:noProof/>
        </w:rPr>
        <w:t>s</w:t>
      </w:r>
      <w:r w:rsidR="00440924" w:rsidRPr="00DA20C4">
        <w:rPr>
          <w:noProof/>
        </w:rPr>
        <w:t xml:space="preserve"> (1)(a), (b), (c), (d), (f) and (h) and point (2) of Annex II, as relevant, and that are competing projects or projects that have not reached a sufficient degree of maturity to provide a project-specific cost-benefit analysis as referred to in Section 2, point (1)(d), of Annex III may be included in the relevant regional investment plans, the national ten-year network development plans and other national infrastructure plans, as appropriate, as projects under consideration.</w:t>
      </w:r>
    </w:p>
    <w:p w14:paraId="443D8A2E" w14:textId="77777777" w:rsidR="00440924" w:rsidRPr="00185722" w:rsidRDefault="00440924" w:rsidP="00440924">
      <w:pPr>
        <w:pStyle w:val="Titrearticle"/>
        <w:rPr>
          <w:noProof/>
        </w:rPr>
      </w:pPr>
      <w:r w:rsidRPr="00185722">
        <w:rPr>
          <w:noProof/>
        </w:rPr>
        <w:t>Article 4</w:t>
      </w:r>
      <w:bookmarkStart w:id="8" w:name="bookmark27"/>
      <w:bookmarkEnd w:id="8"/>
    </w:p>
    <w:p w14:paraId="07EACEDF" w14:textId="77777777" w:rsidR="00440924" w:rsidRDefault="00440924" w:rsidP="00440924">
      <w:pPr>
        <w:pStyle w:val="Titrearticle"/>
        <w:rPr>
          <w:b/>
          <w:bCs/>
          <w:noProof/>
        </w:rPr>
      </w:pPr>
      <w:r w:rsidRPr="00440924">
        <w:rPr>
          <w:b/>
          <w:bCs/>
          <w:noProof/>
        </w:rPr>
        <w:t>Criteria for the assessment of projects by the Groups</w:t>
      </w:r>
    </w:p>
    <w:p w14:paraId="560EF16A" w14:textId="7C1B4E77" w:rsidR="00440924" w:rsidRPr="00440924" w:rsidRDefault="00C44DD6" w:rsidP="00C44DD6">
      <w:pPr>
        <w:pStyle w:val="ManualNumPar1"/>
        <w:rPr>
          <w:noProof/>
        </w:rPr>
      </w:pPr>
      <w:r w:rsidRPr="00C44DD6">
        <w:rPr>
          <w:noProof/>
        </w:rPr>
        <w:t>1.</w:t>
      </w:r>
      <w:r w:rsidRPr="00C44DD6">
        <w:rPr>
          <w:noProof/>
        </w:rPr>
        <w:tab/>
      </w:r>
      <w:r w:rsidR="00440924" w:rsidRPr="00440924">
        <w:rPr>
          <w:noProof/>
        </w:rPr>
        <w:t>A project of common interest shall meet the following general criteria:</w:t>
      </w:r>
    </w:p>
    <w:p w14:paraId="16505663" w14:textId="27156DA0" w:rsidR="00D857BD" w:rsidRPr="00D857BD" w:rsidRDefault="00C44DD6" w:rsidP="00C44DD6">
      <w:pPr>
        <w:pStyle w:val="Point1"/>
        <w:rPr>
          <w:noProof/>
        </w:rPr>
      </w:pPr>
      <w:r w:rsidRPr="00C44DD6">
        <w:rPr>
          <w:noProof/>
        </w:rPr>
        <w:t>(a)</w:t>
      </w:r>
      <w:r w:rsidRPr="00C44DD6">
        <w:rPr>
          <w:noProof/>
        </w:rPr>
        <w:tab/>
      </w:r>
      <w:r w:rsidR="00D857BD" w:rsidRPr="00D857BD">
        <w:rPr>
          <w:noProof/>
        </w:rPr>
        <w:t>the project is necessary for at least one of the energy infrastructure priority corridors and areas set out in Annex I;</w:t>
      </w:r>
    </w:p>
    <w:p w14:paraId="230ED681" w14:textId="0BA07E2E" w:rsidR="00D857BD" w:rsidRPr="00D857BD" w:rsidRDefault="00C44DD6" w:rsidP="00C44DD6">
      <w:pPr>
        <w:pStyle w:val="Point1"/>
        <w:rPr>
          <w:noProof/>
        </w:rPr>
      </w:pPr>
      <w:r w:rsidRPr="00C44DD6">
        <w:rPr>
          <w:noProof/>
        </w:rPr>
        <w:t>(b)</w:t>
      </w:r>
      <w:r w:rsidRPr="00C44DD6">
        <w:rPr>
          <w:noProof/>
        </w:rPr>
        <w:tab/>
      </w:r>
      <w:r w:rsidR="00D857BD" w:rsidRPr="00D857BD">
        <w:rPr>
          <w:noProof/>
        </w:rPr>
        <w:t>the potential overall benefits of the project, assessed in accordance with the relevant specific criteria in paragraph 3, outweigh its costs, including in the longer term;</w:t>
      </w:r>
    </w:p>
    <w:p w14:paraId="0B47D1BB" w14:textId="485BFA5C" w:rsidR="00D857BD" w:rsidRDefault="00C44DD6" w:rsidP="00C44DD6">
      <w:pPr>
        <w:pStyle w:val="Point1"/>
        <w:rPr>
          <w:noProof/>
        </w:rPr>
      </w:pPr>
      <w:r w:rsidRPr="00C44DD6">
        <w:rPr>
          <w:noProof/>
        </w:rPr>
        <w:t>(c)</w:t>
      </w:r>
      <w:r w:rsidRPr="00C44DD6">
        <w:rPr>
          <w:noProof/>
        </w:rPr>
        <w:tab/>
      </w:r>
      <w:r w:rsidR="00D857BD" w:rsidRPr="00D857BD">
        <w:rPr>
          <w:noProof/>
        </w:rPr>
        <w:t>the project meets any of the following criteria:</w:t>
      </w:r>
    </w:p>
    <w:p w14:paraId="5D45B59E" w14:textId="77777777" w:rsidR="004358E7" w:rsidRPr="004358E7" w:rsidRDefault="001E6D97" w:rsidP="001E6D97">
      <w:pPr>
        <w:pStyle w:val="Point2"/>
        <w:rPr>
          <w:noProof/>
        </w:rPr>
      </w:pPr>
      <w:r>
        <w:rPr>
          <w:noProof/>
        </w:rPr>
        <w:t>(i)</w:t>
      </w:r>
      <w:r w:rsidRPr="001E6D97">
        <w:rPr>
          <w:noProof/>
        </w:rPr>
        <w:tab/>
      </w:r>
      <w:r w:rsidR="004358E7" w:rsidRPr="004358E7">
        <w:rPr>
          <w:noProof/>
        </w:rPr>
        <w:t>it involves at least two Member States by directly or indirectly, via interconnection with a third country, crossing the border of two or more Member States;</w:t>
      </w:r>
    </w:p>
    <w:p w14:paraId="56556190" w14:textId="77777777" w:rsidR="004358E7" w:rsidRPr="00185722" w:rsidRDefault="001E6D97" w:rsidP="001E6D97">
      <w:pPr>
        <w:pStyle w:val="Point2"/>
        <w:rPr>
          <w:noProof/>
        </w:rPr>
      </w:pPr>
      <w:r>
        <w:rPr>
          <w:noProof/>
        </w:rPr>
        <w:t>(ii)</w:t>
      </w:r>
      <w:r w:rsidRPr="001E6D97">
        <w:rPr>
          <w:noProof/>
        </w:rPr>
        <w:tab/>
      </w:r>
      <w:r w:rsidR="004358E7" w:rsidRPr="00185722">
        <w:rPr>
          <w:noProof/>
        </w:rPr>
        <w:t xml:space="preserve">it is located </w:t>
      </w:r>
      <w:r w:rsidR="00FB1A00">
        <w:rPr>
          <w:noProof/>
        </w:rPr>
        <w:t>in</w:t>
      </w:r>
      <w:r w:rsidR="00FB1A00" w:rsidRPr="00185722">
        <w:rPr>
          <w:noProof/>
        </w:rPr>
        <w:t xml:space="preserve"> </w:t>
      </w:r>
      <w:r w:rsidR="004358E7" w:rsidRPr="00185722">
        <w:rPr>
          <w:noProof/>
        </w:rPr>
        <w:t>the territory of one Member State, either inland or offshore, including islands, and has a significant cross-border impact as set out in point (1) of Annex IV.</w:t>
      </w:r>
    </w:p>
    <w:p w14:paraId="248CB21F" w14:textId="310C8520" w:rsidR="00EF07C9" w:rsidRPr="00DA20C4" w:rsidRDefault="00C44DD6" w:rsidP="00C44DD6">
      <w:pPr>
        <w:pStyle w:val="ManualNumPar1"/>
        <w:rPr>
          <w:noProof/>
        </w:rPr>
      </w:pPr>
      <w:r w:rsidRPr="00C44DD6">
        <w:rPr>
          <w:noProof/>
        </w:rPr>
        <w:t>2.</w:t>
      </w:r>
      <w:r w:rsidRPr="00C44DD6">
        <w:rPr>
          <w:noProof/>
        </w:rPr>
        <w:tab/>
      </w:r>
      <w:r w:rsidR="00EF07C9" w:rsidRPr="00DA20C4">
        <w:rPr>
          <w:noProof/>
        </w:rPr>
        <w:t xml:space="preserve">A project of mutual interest shall meet </w:t>
      </w:r>
      <w:r w:rsidR="00A70A14">
        <w:rPr>
          <w:noProof/>
        </w:rPr>
        <w:t xml:space="preserve">all of </w:t>
      </w:r>
      <w:r w:rsidR="00EF07C9" w:rsidRPr="00DA20C4">
        <w:rPr>
          <w:noProof/>
        </w:rPr>
        <w:t>the following general criteria:</w:t>
      </w:r>
    </w:p>
    <w:p w14:paraId="449A1CD0" w14:textId="74EC8739" w:rsidR="004358E7" w:rsidRPr="00185722" w:rsidRDefault="00C44DD6" w:rsidP="00C44DD6">
      <w:pPr>
        <w:pStyle w:val="Point1"/>
        <w:rPr>
          <w:noProof/>
        </w:rPr>
      </w:pPr>
      <w:r w:rsidRPr="00C44DD6">
        <w:rPr>
          <w:noProof/>
        </w:rPr>
        <w:t>(a)</w:t>
      </w:r>
      <w:r w:rsidRPr="00C44DD6">
        <w:rPr>
          <w:noProof/>
        </w:rPr>
        <w:tab/>
      </w:r>
      <w:r w:rsidR="004358E7" w:rsidRPr="00185722">
        <w:rPr>
          <w:noProof/>
        </w:rPr>
        <w:t>the project contributes significantly to the objectives referred to in Article 1(1), and those of the third country, in particular by not hindering the capacity of the third country to phase out fossil fuel generation assets for its domestic consumption, and to sustainability;</w:t>
      </w:r>
    </w:p>
    <w:p w14:paraId="67503153" w14:textId="4CEB2B64" w:rsidR="004358E7" w:rsidRPr="00185722" w:rsidRDefault="00C44DD6" w:rsidP="00C44DD6">
      <w:pPr>
        <w:pStyle w:val="Point1"/>
        <w:rPr>
          <w:noProof/>
          <w:lang w:eastAsia="en-IE"/>
        </w:rPr>
      </w:pPr>
      <w:r w:rsidRPr="00C44DD6">
        <w:rPr>
          <w:noProof/>
        </w:rPr>
        <w:t>(b)</w:t>
      </w:r>
      <w:r w:rsidRPr="00C44DD6">
        <w:rPr>
          <w:noProof/>
        </w:rPr>
        <w:tab/>
      </w:r>
      <w:r w:rsidR="004358E7" w:rsidRPr="00185722">
        <w:rPr>
          <w:noProof/>
          <w:lang w:eastAsia="en-IE"/>
        </w:rPr>
        <w:t xml:space="preserve">the potential overall benefits of the project, assessed in accordance with the relevant specific criteria in paragraph 3, for the Union, or cumulatively for the Union and the Energy Community contracting party or the </w:t>
      </w:r>
      <w:r w:rsidR="009A2439">
        <w:rPr>
          <w:noProof/>
        </w:rPr>
        <w:t>EEA</w:t>
      </w:r>
      <w:r w:rsidR="004358E7" w:rsidRPr="00185722">
        <w:rPr>
          <w:noProof/>
          <w:lang w:eastAsia="en-IE"/>
        </w:rPr>
        <w:t xml:space="preserve"> country directly involved in the project, outweigh its costs for the Union, or cumulatively for the Union and the Energy Community contracting party or </w:t>
      </w:r>
      <w:r w:rsidR="009A2439">
        <w:rPr>
          <w:noProof/>
        </w:rPr>
        <w:t>EEA</w:t>
      </w:r>
      <w:r w:rsidR="004358E7" w:rsidRPr="00185722">
        <w:rPr>
          <w:noProof/>
          <w:lang w:eastAsia="en-IE"/>
        </w:rPr>
        <w:t xml:space="preserve"> country, as relevant, including in the longer term; </w:t>
      </w:r>
    </w:p>
    <w:p w14:paraId="0A812E39" w14:textId="1D6F2BAC" w:rsidR="004358E7" w:rsidRPr="004358E7" w:rsidRDefault="00C44DD6" w:rsidP="00C44DD6">
      <w:pPr>
        <w:pStyle w:val="Point1"/>
        <w:rPr>
          <w:noProof/>
          <w:color w:val="000000"/>
          <w:lang w:eastAsia="en-IE"/>
        </w:rPr>
      </w:pPr>
      <w:r w:rsidRPr="00C44DD6">
        <w:rPr>
          <w:noProof/>
        </w:rPr>
        <w:t>(c)</w:t>
      </w:r>
      <w:r w:rsidRPr="00C44DD6">
        <w:rPr>
          <w:noProof/>
        </w:rPr>
        <w:tab/>
      </w:r>
      <w:r w:rsidR="004358E7" w:rsidRPr="004358E7">
        <w:rPr>
          <w:noProof/>
          <w:color w:val="000000"/>
        </w:rPr>
        <w:t xml:space="preserve">the project </w:t>
      </w:r>
      <w:r w:rsidR="004358E7" w:rsidRPr="00185722">
        <w:rPr>
          <w:noProof/>
          <w:lang w:eastAsia="en-IE"/>
        </w:rPr>
        <w:t>connects directly</w:t>
      </w:r>
      <w:r w:rsidR="004358E7" w:rsidRPr="00185722">
        <w:rPr>
          <w:noProof/>
        </w:rPr>
        <w:t xml:space="preserve"> </w:t>
      </w:r>
      <w:r w:rsidR="004358E7" w:rsidRPr="004358E7">
        <w:rPr>
          <w:noProof/>
          <w:color w:val="000000"/>
        </w:rPr>
        <w:t xml:space="preserve">the territory of at least one Member State </w:t>
      </w:r>
      <w:r w:rsidR="004358E7" w:rsidRPr="00185722">
        <w:rPr>
          <w:noProof/>
          <w:lang w:eastAsia="en-IE"/>
        </w:rPr>
        <w:t>with</w:t>
      </w:r>
      <w:r w:rsidR="004358E7" w:rsidRPr="00185722">
        <w:rPr>
          <w:noProof/>
        </w:rPr>
        <w:t xml:space="preserve"> </w:t>
      </w:r>
      <w:r w:rsidR="004358E7" w:rsidRPr="004358E7">
        <w:rPr>
          <w:noProof/>
          <w:color w:val="000000"/>
        </w:rPr>
        <w:t xml:space="preserve">the territory of </w:t>
      </w:r>
      <w:r w:rsidR="004358E7" w:rsidRPr="00185722">
        <w:rPr>
          <w:noProof/>
          <w:lang w:eastAsia="en-IE"/>
        </w:rPr>
        <w:t xml:space="preserve">a </w:t>
      </w:r>
      <w:r w:rsidR="004358E7" w:rsidRPr="004358E7">
        <w:rPr>
          <w:noProof/>
          <w:color w:val="000000"/>
          <w:lang w:eastAsia="en-IE"/>
        </w:rPr>
        <w:t>third country</w:t>
      </w:r>
      <w:r w:rsidR="004358E7" w:rsidRPr="00185722">
        <w:rPr>
          <w:noProof/>
          <w:lang w:eastAsia="en-IE"/>
        </w:rPr>
        <w:t xml:space="preserve"> by connecting directly the relevant Member State with the first connection point in the electricity network of the third country or the first hydrogen or CO</w:t>
      </w:r>
      <w:r w:rsidR="004358E7" w:rsidRPr="004358E7">
        <w:rPr>
          <w:noProof/>
          <w:vertAlign w:val="subscript"/>
          <w:lang w:eastAsia="en-IE"/>
        </w:rPr>
        <w:t>2</w:t>
      </w:r>
      <w:r w:rsidR="004358E7" w:rsidRPr="00185722">
        <w:rPr>
          <w:noProof/>
          <w:lang w:eastAsia="en-IE"/>
        </w:rPr>
        <w:t xml:space="preserve"> connection point in the</w:t>
      </w:r>
      <w:r w:rsidR="004358E7" w:rsidRPr="00185722">
        <w:rPr>
          <w:noProof/>
        </w:rPr>
        <w:t xml:space="preserve"> third country</w:t>
      </w:r>
      <w:r w:rsidR="004358E7" w:rsidRPr="004358E7">
        <w:rPr>
          <w:noProof/>
          <w:color w:val="000000"/>
        </w:rPr>
        <w:t>, and has a significant cross-border impact as set out in point (2) of Annex IV;</w:t>
      </w:r>
    </w:p>
    <w:p w14:paraId="18D6F7DB" w14:textId="13396F4A" w:rsidR="004358E7" w:rsidRPr="00185722" w:rsidRDefault="00C44DD6" w:rsidP="00C44DD6">
      <w:pPr>
        <w:pStyle w:val="Point1"/>
        <w:rPr>
          <w:noProof/>
        </w:rPr>
      </w:pPr>
      <w:r w:rsidRPr="00C44DD6">
        <w:rPr>
          <w:noProof/>
        </w:rPr>
        <w:t>(d)</w:t>
      </w:r>
      <w:r w:rsidRPr="00C44DD6">
        <w:rPr>
          <w:noProof/>
        </w:rPr>
        <w:tab/>
      </w:r>
      <w:r w:rsidR="004358E7" w:rsidRPr="00185722">
        <w:rPr>
          <w:noProof/>
        </w:rPr>
        <w:t>for the part</w:t>
      </w:r>
      <w:r w:rsidR="004358E7" w:rsidRPr="004358E7">
        <w:rPr>
          <w:rFonts w:eastAsia="Times New Roman"/>
          <w:noProof/>
          <w:lang w:eastAsia="en-IE"/>
        </w:rPr>
        <w:t xml:space="preserve"> of the project</w:t>
      </w:r>
      <w:r w:rsidR="004358E7" w:rsidRPr="00185722">
        <w:rPr>
          <w:noProof/>
        </w:rPr>
        <w:t xml:space="preserve"> located </w:t>
      </w:r>
      <w:r w:rsidR="00242BDF">
        <w:rPr>
          <w:noProof/>
        </w:rPr>
        <w:t>in</w:t>
      </w:r>
      <w:r w:rsidR="00242BDF" w:rsidRPr="00185722">
        <w:rPr>
          <w:noProof/>
        </w:rPr>
        <w:t xml:space="preserve"> </w:t>
      </w:r>
      <w:r w:rsidR="004358E7" w:rsidRPr="00185722">
        <w:rPr>
          <w:noProof/>
        </w:rPr>
        <w:t xml:space="preserve">Member State territory, the project is in </w:t>
      </w:r>
      <w:r w:rsidR="00242BDF">
        <w:rPr>
          <w:noProof/>
        </w:rPr>
        <w:t>accordance</w:t>
      </w:r>
      <w:r w:rsidR="00242BDF" w:rsidRPr="00185722">
        <w:rPr>
          <w:noProof/>
        </w:rPr>
        <w:t xml:space="preserve"> </w:t>
      </w:r>
      <w:r w:rsidR="004358E7" w:rsidRPr="00185722">
        <w:rPr>
          <w:noProof/>
        </w:rPr>
        <w:t xml:space="preserve">with Directives (EU) </w:t>
      </w:r>
      <w:r w:rsidR="00787379" w:rsidRPr="00185722">
        <w:rPr>
          <w:noProof/>
        </w:rPr>
        <w:t xml:space="preserve">2019/944 </w:t>
      </w:r>
      <w:r w:rsidR="00787379">
        <w:rPr>
          <w:noProof/>
        </w:rPr>
        <w:t xml:space="preserve">and </w:t>
      </w:r>
      <w:r w:rsidR="004358E7" w:rsidRPr="00185722">
        <w:rPr>
          <w:noProof/>
        </w:rPr>
        <w:t>(EU) 2024/1788</w:t>
      </w:r>
      <w:r w:rsidR="00F66758">
        <w:rPr>
          <w:noProof/>
        </w:rPr>
        <w:t xml:space="preserve"> </w:t>
      </w:r>
      <w:r w:rsidR="004358E7" w:rsidRPr="00185722">
        <w:rPr>
          <w:noProof/>
        </w:rPr>
        <w:t>where it falls within the infrastructure categories set out in points (1) and (</w:t>
      </w:r>
      <w:r w:rsidR="004358E7" w:rsidRPr="004358E7">
        <w:rPr>
          <w:rFonts w:eastAsia="Times New Roman"/>
          <w:noProof/>
          <w:lang w:eastAsia="en-IE"/>
        </w:rPr>
        <w:t>2</w:t>
      </w:r>
      <w:r w:rsidR="004358E7" w:rsidRPr="00185722">
        <w:rPr>
          <w:noProof/>
        </w:rPr>
        <w:t>) of Annex II to this Regulation;</w:t>
      </w:r>
    </w:p>
    <w:p w14:paraId="09EF5A6A" w14:textId="0406C829" w:rsidR="004358E7" w:rsidRDefault="00C44DD6" w:rsidP="00C44DD6">
      <w:pPr>
        <w:pStyle w:val="Point1"/>
        <w:rPr>
          <w:noProof/>
        </w:rPr>
      </w:pPr>
      <w:r w:rsidRPr="00C44DD6">
        <w:rPr>
          <w:noProof/>
        </w:rPr>
        <w:t>(e)</w:t>
      </w:r>
      <w:r w:rsidRPr="00C44DD6">
        <w:rPr>
          <w:noProof/>
        </w:rPr>
        <w:tab/>
      </w:r>
      <w:r w:rsidR="004358E7" w:rsidRPr="00185722">
        <w:rPr>
          <w:noProof/>
        </w:rPr>
        <w:t>there is a high level of convergence of the policy framework of the third country</w:t>
      </w:r>
      <w:r w:rsidR="004358E7" w:rsidRPr="004358E7">
        <w:rPr>
          <w:rStyle w:val="Bodytext1"/>
          <w:rFonts w:ascii="inherit" w:hAnsi="inherit"/>
          <w:noProof/>
          <w:szCs w:val="24"/>
        </w:rPr>
        <w:t xml:space="preserve"> </w:t>
      </w:r>
      <w:r w:rsidR="004358E7" w:rsidRPr="00185722">
        <w:rPr>
          <w:noProof/>
        </w:rPr>
        <w:t>involved and legal enforcement mechanisms are demonstrated in order to support the policy objectives of the Union, in particular to ensure:</w:t>
      </w:r>
    </w:p>
    <w:p w14:paraId="3E6C3D6B" w14:textId="77777777" w:rsidR="004358E7" w:rsidRPr="00D07F1C" w:rsidRDefault="001E6D97" w:rsidP="00D07F1C">
      <w:pPr>
        <w:pStyle w:val="Point2"/>
        <w:rPr>
          <w:noProof/>
        </w:rPr>
      </w:pPr>
      <w:r w:rsidRPr="00D07F1C">
        <w:rPr>
          <w:noProof/>
        </w:rPr>
        <w:t>(i)</w:t>
      </w:r>
      <w:r w:rsidRPr="00D07F1C">
        <w:rPr>
          <w:noProof/>
        </w:rPr>
        <w:tab/>
      </w:r>
      <w:r w:rsidR="000F6724">
        <w:rPr>
          <w:noProof/>
        </w:rPr>
        <w:t>the</w:t>
      </w:r>
      <w:r w:rsidR="004358E7" w:rsidRPr="00D07F1C">
        <w:rPr>
          <w:noProof/>
        </w:rPr>
        <w:t xml:space="preserve"> well-functioning of the internal energy market in the </w:t>
      </w:r>
      <w:r w:rsidR="00787379">
        <w:rPr>
          <w:noProof/>
        </w:rPr>
        <w:t>Union</w:t>
      </w:r>
      <w:r w:rsidR="004358E7" w:rsidRPr="00D07F1C">
        <w:rPr>
          <w:noProof/>
        </w:rPr>
        <w:t>;</w:t>
      </w:r>
    </w:p>
    <w:p w14:paraId="597D1274" w14:textId="77777777" w:rsidR="004358E7" w:rsidRPr="00D07F1C" w:rsidRDefault="001E6D97" w:rsidP="00D07F1C">
      <w:pPr>
        <w:pStyle w:val="Point2"/>
        <w:rPr>
          <w:noProof/>
        </w:rPr>
      </w:pPr>
      <w:r w:rsidRPr="00D07F1C">
        <w:rPr>
          <w:noProof/>
        </w:rPr>
        <w:t>(ii)</w:t>
      </w:r>
      <w:r w:rsidRPr="00D07F1C">
        <w:rPr>
          <w:noProof/>
        </w:rPr>
        <w:tab/>
      </w:r>
      <w:r w:rsidR="004358E7" w:rsidRPr="00D07F1C">
        <w:rPr>
          <w:noProof/>
        </w:rPr>
        <w:t xml:space="preserve">network security and security of supply in the </w:t>
      </w:r>
      <w:r w:rsidR="00787379">
        <w:rPr>
          <w:noProof/>
        </w:rPr>
        <w:t>Union</w:t>
      </w:r>
      <w:r w:rsidR="00787379" w:rsidRPr="00D07F1C">
        <w:rPr>
          <w:noProof/>
        </w:rPr>
        <w:t xml:space="preserve"> </w:t>
      </w:r>
      <w:r w:rsidR="004358E7" w:rsidRPr="00D07F1C">
        <w:rPr>
          <w:noProof/>
        </w:rPr>
        <w:t>based, inter alia, on diverse sources, cooperation and solidarity;</w:t>
      </w:r>
    </w:p>
    <w:p w14:paraId="2E39CB27" w14:textId="77777777" w:rsidR="004358E7" w:rsidRPr="00D07F1C" w:rsidRDefault="001E6D97" w:rsidP="00D07F1C">
      <w:pPr>
        <w:pStyle w:val="Point2"/>
        <w:rPr>
          <w:noProof/>
        </w:rPr>
      </w:pPr>
      <w:r w:rsidRPr="00D07F1C">
        <w:rPr>
          <w:noProof/>
        </w:rPr>
        <w:t>(iii)</w:t>
      </w:r>
      <w:r w:rsidRPr="00D07F1C">
        <w:rPr>
          <w:noProof/>
        </w:rPr>
        <w:tab/>
      </w:r>
      <w:r w:rsidR="004358E7" w:rsidRPr="00D07F1C">
        <w:rPr>
          <w:noProof/>
        </w:rPr>
        <w:t xml:space="preserve">an energy system, including production, transmission and distribution, moving towards the objective of climate neutrality, in </w:t>
      </w:r>
      <w:r w:rsidR="001203DB">
        <w:rPr>
          <w:noProof/>
        </w:rPr>
        <w:t>accordance</w:t>
      </w:r>
      <w:r w:rsidR="001203DB" w:rsidRPr="00D07F1C">
        <w:rPr>
          <w:noProof/>
        </w:rPr>
        <w:t xml:space="preserve"> </w:t>
      </w:r>
      <w:r w:rsidR="004358E7" w:rsidRPr="00D07F1C">
        <w:rPr>
          <w:noProof/>
        </w:rPr>
        <w:t>with the Paris Agreement and the Union’s targets for energy and climate and its 2050 climate neutrality objective, in particular, avoiding carbon leakage;</w:t>
      </w:r>
    </w:p>
    <w:p w14:paraId="7A3356EE" w14:textId="7675107F" w:rsidR="004358E7" w:rsidRPr="00185722" w:rsidRDefault="00C44DD6" w:rsidP="00C44DD6">
      <w:pPr>
        <w:pStyle w:val="Point1"/>
        <w:rPr>
          <w:noProof/>
        </w:rPr>
      </w:pPr>
      <w:r w:rsidRPr="00C44DD6">
        <w:rPr>
          <w:noProof/>
        </w:rPr>
        <w:t>(f)</w:t>
      </w:r>
      <w:r w:rsidRPr="00C44DD6">
        <w:rPr>
          <w:noProof/>
        </w:rPr>
        <w:tab/>
      </w:r>
      <w:r w:rsidR="004358E7" w:rsidRPr="00185722">
        <w:rPr>
          <w:noProof/>
        </w:rPr>
        <w:t xml:space="preserve">the third country involved supports the priority status of the project, as set out in Article 7, and </w:t>
      </w:r>
      <w:r w:rsidR="004358E7" w:rsidRPr="00185722">
        <w:rPr>
          <w:noProof/>
          <w:lang w:eastAsia="en-IE"/>
        </w:rPr>
        <w:t>other investments in the third country necessary for the benefits of the project to materialise as referred to in point (b) of this paragraph, and commits explicitly</w:t>
      </w:r>
      <w:r w:rsidR="004358E7" w:rsidRPr="00185722">
        <w:rPr>
          <w:noProof/>
        </w:rPr>
        <w:t xml:space="preserve"> to complying with a similar timeline for accelerated implementation and other policy and regulatory support measures as applie</w:t>
      </w:r>
      <w:r w:rsidR="008E178F">
        <w:rPr>
          <w:noProof/>
        </w:rPr>
        <w:t>d</w:t>
      </w:r>
      <w:r w:rsidR="004358E7" w:rsidRPr="00185722">
        <w:rPr>
          <w:noProof/>
        </w:rPr>
        <w:t xml:space="preserve"> to projects of common interest in the Union.</w:t>
      </w:r>
    </w:p>
    <w:p w14:paraId="1E9AD868" w14:textId="77777777" w:rsidR="004358E7" w:rsidRDefault="004358E7" w:rsidP="001E6D97">
      <w:pPr>
        <w:pStyle w:val="Text1"/>
        <w:rPr>
          <w:noProof/>
        </w:rPr>
      </w:pPr>
      <w:r w:rsidRPr="00185722">
        <w:rPr>
          <w:noProof/>
        </w:rPr>
        <w:t xml:space="preserve">As regards projects for the storage of carbon dioxide falling under the energy infrastructure category set out in point (4)(c) of Annex II, the project shall be necessary to allow the cross-border transport and storage of carbon dioxide and the third country where the project is located shall have an adequate legal framework based on demonstrated effective enforcement mechanisms to ensure that standards and safeguards apply to the project, </w:t>
      </w:r>
      <w:r w:rsidR="00AE1D08">
        <w:rPr>
          <w:noProof/>
        </w:rPr>
        <w:t>which prevent</w:t>
      </w:r>
      <w:r w:rsidR="00AE1D08" w:rsidRPr="00185722">
        <w:rPr>
          <w:noProof/>
        </w:rPr>
        <w:t xml:space="preserve"> </w:t>
      </w:r>
      <w:r w:rsidRPr="00185722">
        <w:rPr>
          <w:noProof/>
        </w:rPr>
        <w:t>any carbon dioxide leaks</w:t>
      </w:r>
      <w:r w:rsidR="00AA4332">
        <w:rPr>
          <w:noProof/>
        </w:rPr>
        <w:t>. I</w:t>
      </w:r>
      <w:r w:rsidR="00E72B85">
        <w:rPr>
          <w:noProof/>
        </w:rPr>
        <w:t xml:space="preserve">n relation to </w:t>
      </w:r>
      <w:r w:rsidRPr="00185722">
        <w:rPr>
          <w:noProof/>
        </w:rPr>
        <w:t>climate, human health and ecosystems</w:t>
      </w:r>
      <w:r w:rsidR="00837018">
        <w:rPr>
          <w:noProof/>
        </w:rPr>
        <w:t>,</w:t>
      </w:r>
      <w:r w:rsidRPr="00185722">
        <w:rPr>
          <w:noProof/>
        </w:rPr>
        <w:t xml:space="preserve"> </w:t>
      </w:r>
      <w:r w:rsidR="001B44CF">
        <w:rPr>
          <w:noProof/>
        </w:rPr>
        <w:t xml:space="preserve">the </w:t>
      </w:r>
      <w:r w:rsidRPr="00185722">
        <w:rPr>
          <w:noProof/>
        </w:rPr>
        <w:t xml:space="preserve">safety and </w:t>
      </w:r>
      <w:r w:rsidRPr="004358E7">
        <w:rPr>
          <w:noProof/>
        </w:rPr>
        <w:t>effectiveness</w:t>
      </w:r>
      <w:r w:rsidRPr="00185722">
        <w:rPr>
          <w:noProof/>
        </w:rPr>
        <w:t xml:space="preserve"> of the permanent storage of carbon-dioxide</w:t>
      </w:r>
      <w:r w:rsidR="00B328B0">
        <w:rPr>
          <w:noProof/>
        </w:rPr>
        <w:t xml:space="preserve"> shall be ensured</w:t>
      </w:r>
      <w:r w:rsidRPr="00185722">
        <w:rPr>
          <w:noProof/>
        </w:rPr>
        <w:t xml:space="preserve">, </w:t>
      </w:r>
      <w:r w:rsidR="00171C2B">
        <w:rPr>
          <w:noProof/>
        </w:rPr>
        <w:t xml:space="preserve">and </w:t>
      </w:r>
      <w:r w:rsidR="00010F1A">
        <w:rPr>
          <w:noProof/>
        </w:rPr>
        <w:t>shall</w:t>
      </w:r>
      <w:r w:rsidRPr="00185722">
        <w:rPr>
          <w:noProof/>
        </w:rPr>
        <w:t xml:space="preserve"> at least at</w:t>
      </w:r>
      <w:r w:rsidR="00010F1A">
        <w:rPr>
          <w:noProof/>
        </w:rPr>
        <w:t>tain</w:t>
      </w:r>
      <w:r w:rsidRPr="00185722">
        <w:rPr>
          <w:noProof/>
        </w:rPr>
        <w:t xml:space="preserve"> the same level as those provided by Union law.</w:t>
      </w:r>
    </w:p>
    <w:p w14:paraId="356CCFA5" w14:textId="71C38FEB" w:rsidR="004358E7" w:rsidRPr="00DA20C4" w:rsidRDefault="00C44DD6" w:rsidP="00C44DD6">
      <w:pPr>
        <w:pStyle w:val="ManualNumPar1"/>
        <w:rPr>
          <w:noProof/>
        </w:rPr>
      </w:pPr>
      <w:r w:rsidRPr="00C44DD6">
        <w:rPr>
          <w:noProof/>
        </w:rPr>
        <w:t>3.</w:t>
      </w:r>
      <w:r w:rsidRPr="00C44DD6">
        <w:rPr>
          <w:noProof/>
        </w:rPr>
        <w:tab/>
      </w:r>
      <w:r w:rsidR="004358E7" w:rsidRPr="00DA20C4">
        <w:rPr>
          <w:noProof/>
        </w:rPr>
        <w:t>The following specific criteria shall apply to projects of common interest and projects of mutual interest, as relevant, falling within specific energy infrastructure categories:</w:t>
      </w:r>
    </w:p>
    <w:p w14:paraId="2A66B9D2" w14:textId="5BE4C0C1" w:rsidR="004358E7" w:rsidRDefault="00C44DD6" w:rsidP="00C44DD6">
      <w:pPr>
        <w:pStyle w:val="Point1"/>
        <w:rPr>
          <w:noProof/>
        </w:rPr>
      </w:pPr>
      <w:r w:rsidRPr="00C44DD6">
        <w:rPr>
          <w:noProof/>
        </w:rPr>
        <w:t>(a)</w:t>
      </w:r>
      <w:r w:rsidRPr="00C44DD6">
        <w:rPr>
          <w:noProof/>
        </w:rPr>
        <w:tab/>
      </w:r>
      <w:r w:rsidR="004358E7" w:rsidRPr="00185722">
        <w:rPr>
          <w:noProof/>
        </w:rPr>
        <w:t>for electricity transmission, distribution and storage projects falling under the energy infrastructure categories set out in point</w:t>
      </w:r>
      <w:r w:rsidR="004A3A79">
        <w:rPr>
          <w:noProof/>
        </w:rPr>
        <w:t>s</w:t>
      </w:r>
      <w:r w:rsidR="004358E7" w:rsidRPr="00185722">
        <w:rPr>
          <w:noProof/>
        </w:rPr>
        <w:t xml:space="preserve"> (1)(a), (b), (c), (d)</w:t>
      </w:r>
      <w:r w:rsidR="001E6D97">
        <w:rPr>
          <w:noProof/>
        </w:rPr>
        <w:t>, (f)</w:t>
      </w:r>
      <w:r w:rsidR="004358E7" w:rsidRPr="00185722">
        <w:rPr>
          <w:noProof/>
        </w:rPr>
        <w:t xml:space="preserve"> and (</w:t>
      </w:r>
      <w:r w:rsidR="001E6D97">
        <w:rPr>
          <w:noProof/>
        </w:rPr>
        <w:t>h</w:t>
      </w:r>
      <w:r w:rsidR="004358E7" w:rsidRPr="00185722">
        <w:rPr>
          <w:noProof/>
        </w:rPr>
        <w:t>) of Annex II, the project contributes significantly to sustainability through the integration of renewable energy into the grid, the transmission or distribution of renewable generation to major consumption centres and storage sites, and to reducing energy curtailment, where applicable, and contributes to at least one of the following specific criteria:</w:t>
      </w:r>
    </w:p>
    <w:p w14:paraId="41F36EB4" w14:textId="77777777" w:rsidR="004358E7" w:rsidRDefault="001E6D97" w:rsidP="001E6D97">
      <w:pPr>
        <w:pStyle w:val="Point2"/>
        <w:rPr>
          <w:noProof/>
        </w:rPr>
      </w:pPr>
      <w:r>
        <w:rPr>
          <w:noProof/>
        </w:rPr>
        <w:t>(i)</w:t>
      </w:r>
      <w:r>
        <w:rPr>
          <w:noProof/>
        </w:rPr>
        <w:tab/>
      </w:r>
      <w:r w:rsidR="004358E7">
        <w:rPr>
          <w:noProof/>
        </w:rPr>
        <w:t>market integration, including through lifting the energy isolation of at least one Member State and reducing energy infrastructure bottlenecks, competition, interoperability and system flexibility;</w:t>
      </w:r>
    </w:p>
    <w:p w14:paraId="32EAB8D2" w14:textId="77777777" w:rsidR="004358E7" w:rsidRDefault="001E6D97" w:rsidP="001E6D97">
      <w:pPr>
        <w:pStyle w:val="Point2"/>
        <w:rPr>
          <w:noProof/>
        </w:rPr>
      </w:pPr>
      <w:r>
        <w:rPr>
          <w:noProof/>
        </w:rPr>
        <w:t>(ii)</w:t>
      </w:r>
      <w:r>
        <w:rPr>
          <w:noProof/>
        </w:rPr>
        <w:tab/>
      </w:r>
      <w:r w:rsidR="004358E7">
        <w:rPr>
          <w:noProof/>
        </w:rPr>
        <w:t>security of supply, including through interoperability, system flexibility, cybersecurity, appropriate connections and secure and reliable system operation;</w:t>
      </w:r>
    </w:p>
    <w:p w14:paraId="71C12A6D" w14:textId="0047C1DC" w:rsidR="00CB4F9B" w:rsidRDefault="00C44DD6" w:rsidP="00C44DD6">
      <w:pPr>
        <w:pStyle w:val="Point1"/>
        <w:rPr>
          <w:noProof/>
        </w:rPr>
      </w:pPr>
      <w:r w:rsidRPr="00C44DD6">
        <w:rPr>
          <w:noProof/>
        </w:rPr>
        <w:t>(b)</w:t>
      </w:r>
      <w:r w:rsidRPr="00C44DD6">
        <w:rPr>
          <w:noProof/>
        </w:rPr>
        <w:tab/>
      </w:r>
      <w:r w:rsidR="00CB4F9B" w:rsidRPr="00185722">
        <w:rPr>
          <w:noProof/>
        </w:rPr>
        <w:t xml:space="preserve">for smart electricity grid projects falling under the energy </w:t>
      </w:r>
      <w:r w:rsidR="00CB4F9B" w:rsidRPr="00185722">
        <w:rPr>
          <w:rFonts w:eastAsia="Times New Roman"/>
          <w:noProof/>
          <w:lang w:eastAsia="en-IE"/>
        </w:rPr>
        <w:t>infrastructure</w:t>
      </w:r>
      <w:r w:rsidR="00CB4F9B" w:rsidRPr="00185722">
        <w:rPr>
          <w:noProof/>
        </w:rPr>
        <w:t xml:space="preserve"> category set out in point (1)(g) of Annex II, the project contributes significantly to sustainability through the integration of renewable energy into the grid, and contributes to at least two of the following specific criteria:</w:t>
      </w:r>
    </w:p>
    <w:p w14:paraId="1A858525" w14:textId="77777777" w:rsidR="00CB4F9B" w:rsidRPr="00185722" w:rsidRDefault="001E6D97" w:rsidP="001E6D97">
      <w:pPr>
        <w:pStyle w:val="Point2"/>
        <w:rPr>
          <w:noProof/>
        </w:rPr>
      </w:pPr>
      <w:r>
        <w:rPr>
          <w:rFonts w:eastAsia="Times New Roman"/>
          <w:noProof/>
          <w:lang w:eastAsia="en-IE"/>
        </w:rPr>
        <w:t>(i)</w:t>
      </w:r>
      <w:r>
        <w:rPr>
          <w:rFonts w:eastAsia="Times New Roman"/>
          <w:noProof/>
          <w:lang w:eastAsia="en-IE"/>
        </w:rPr>
        <w:tab/>
      </w:r>
      <w:r w:rsidR="00CB4F9B" w:rsidRPr="00185722">
        <w:rPr>
          <w:noProof/>
        </w:rPr>
        <w:t xml:space="preserve">security of supply, including through efficiency and </w:t>
      </w:r>
      <w:r w:rsidR="00CB4F9B" w:rsidRPr="00185722">
        <w:rPr>
          <w:rFonts w:eastAsia="Times New Roman"/>
          <w:noProof/>
          <w:lang w:eastAsia="en-IE"/>
        </w:rPr>
        <w:t>interoperability</w:t>
      </w:r>
      <w:r w:rsidR="00CB4F9B" w:rsidRPr="00185722">
        <w:rPr>
          <w:noProof/>
        </w:rPr>
        <w:t xml:space="preserve"> of electricity transmission and distribution in day-to-day network operation, avoidance of congestion, and integration and involvement of network users;</w:t>
      </w:r>
    </w:p>
    <w:p w14:paraId="0F51A580" w14:textId="77777777" w:rsidR="00CB4F9B" w:rsidRPr="00185722" w:rsidRDefault="001E6D97" w:rsidP="001E6D97">
      <w:pPr>
        <w:pStyle w:val="Point2"/>
        <w:rPr>
          <w:noProof/>
        </w:rPr>
      </w:pPr>
      <w:r>
        <w:rPr>
          <w:rFonts w:eastAsia="Times New Roman"/>
          <w:noProof/>
          <w:lang w:eastAsia="en-IE"/>
        </w:rPr>
        <w:t>(ii)</w:t>
      </w:r>
      <w:r>
        <w:rPr>
          <w:rFonts w:eastAsia="Times New Roman"/>
          <w:noProof/>
          <w:lang w:eastAsia="en-IE"/>
        </w:rPr>
        <w:tab/>
      </w:r>
      <w:r w:rsidR="00CB4F9B" w:rsidRPr="00185722">
        <w:rPr>
          <w:noProof/>
        </w:rPr>
        <w:t>market integration, including through efficient system operation and use of interconnectors;</w:t>
      </w:r>
    </w:p>
    <w:p w14:paraId="4A46D6CC" w14:textId="77777777" w:rsidR="00CB4F9B" w:rsidRPr="00185722" w:rsidRDefault="001E6D97" w:rsidP="001E6D97">
      <w:pPr>
        <w:pStyle w:val="Point2"/>
        <w:rPr>
          <w:noProof/>
        </w:rPr>
      </w:pPr>
      <w:r>
        <w:rPr>
          <w:rFonts w:eastAsia="Times New Roman"/>
          <w:noProof/>
          <w:lang w:eastAsia="en-IE"/>
        </w:rPr>
        <w:t>(iii)</w:t>
      </w:r>
      <w:r>
        <w:rPr>
          <w:rFonts w:eastAsia="Times New Roman"/>
          <w:noProof/>
          <w:lang w:eastAsia="en-IE"/>
        </w:rPr>
        <w:tab/>
      </w:r>
      <w:r w:rsidR="00CB4F9B" w:rsidRPr="00185722">
        <w:rPr>
          <w:noProof/>
        </w:rPr>
        <w:t>network security, flexibility and quality of supply, including through higher uptake of innovation in balancing, flexibility markets, cybersecurity, monitoring, system control and error correction;</w:t>
      </w:r>
    </w:p>
    <w:p w14:paraId="1AAB2BE6" w14:textId="77777777" w:rsidR="00CB4F9B" w:rsidRDefault="001E6D97" w:rsidP="001E6D97">
      <w:pPr>
        <w:pStyle w:val="Point2"/>
        <w:rPr>
          <w:noProof/>
        </w:rPr>
      </w:pPr>
      <w:r>
        <w:rPr>
          <w:rFonts w:eastAsia="Times New Roman"/>
          <w:noProof/>
          <w:lang w:eastAsia="en-IE"/>
        </w:rPr>
        <w:t>(iv)</w:t>
      </w:r>
      <w:r>
        <w:rPr>
          <w:rFonts w:eastAsia="Times New Roman"/>
          <w:noProof/>
          <w:lang w:eastAsia="en-IE"/>
        </w:rPr>
        <w:tab/>
      </w:r>
      <w:r w:rsidR="00CB4F9B" w:rsidRPr="00185722">
        <w:rPr>
          <w:noProof/>
        </w:rPr>
        <w:t>smart sector integration, either in the energy system through linking various energy carriers and sectors, or in a wider way, favouring synergies and coordination between the energy, transport and telecommunication sectors;</w:t>
      </w:r>
    </w:p>
    <w:p w14:paraId="33BFDD96" w14:textId="6955165C" w:rsidR="00CB4F9B" w:rsidRPr="00CB4F9B" w:rsidRDefault="00C44DD6" w:rsidP="00C44DD6">
      <w:pPr>
        <w:pStyle w:val="Point1"/>
        <w:rPr>
          <w:noProof/>
          <w:color w:val="000000"/>
          <w:lang w:eastAsia="en-IE"/>
        </w:rPr>
      </w:pPr>
      <w:r w:rsidRPr="00C44DD6">
        <w:rPr>
          <w:noProof/>
        </w:rPr>
        <w:t>(c)</w:t>
      </w:r>
      <w:r w:rsidRPr="00C44DD6">
        <w:rPr>
          <w:noProof/>
        </w:rPr>
        <w:tab/>
      </w:r>
      <w:r w:rsidR="00CB4F9B" w:rsidRPr="00185722">
        <w:rPr>
          <w:noProof/>
          <w:lang w:eastAsia="en-IE"/>
        </w:rPr>
        <w:t>for projects falling under the infrastructure category set out in point (1</w:t>
      </w:r>
      <w:r w:rsidR="00CB4F9B" w:rsidRPr="00F070F1">
        <w:rPr>
          <w:noProof/>
          <w:lang w:eastAsia="en-IE"/>
        </w:rPr>
        <w:t>)(e)</w:t>
      </w:r>
      <w:r w:rsidR="00CB4F9B" w:rsidRPr="00185722">
        <w:rPr>
          <w:noProof/>
          <w:lang w:eastAsia="en-IE"/>
        </w:rPr>
        <w:t xml:space="preserve"> of Annex II, the project contributes to the following specific criteria: </w:t>
      </w:r>
    </w:p>
    <w:p w14:paraId="62A4A4D2" w14:textId="77777777" w:rsidR="00CB4F9B" w:rsidRPr="00185722" w:rsidRDefault="00872170" w:rsidP="00872170">
      <w:pPr>
        <w:pStyle w:val="Point2"/>
        <w:rPr>
          <w:noProof/>
          <w:color w:val="000000"/>
          <w:lang w:eastAsia="en-IE"/>
        </w:rPr>
      </w:pPr>
      <w:r w:rsidRPr="51571808">
        <w:rPr>
          <w:noProof/>
          <w:lang w:eastAsia="en-IE"/>
        </w:rPr>
        <w:t>(i)</w:t>
      </w:r>
      <w:r>
        <w:rPr>
          <w:noProof/>
        </w:rPr>
        <w:tab/>
      </w:r>
      <w:r w:rsidR="00CB4F9B" w:rsidRPr="51571808">
        <w:rPr>
          <w:noProof/>
          <w:lang w:eastAsia="en-IE"/>
        </w:rPr>
        <w:t>security of supply, including by protecting assets from risks and contributing to the measures identified pursuant Articles 7 and 11 of Regulation</w:t>
      </w:r>
      <w:r w:rsidR="156ABB64" w:rsidRPr="51571808">
        <w:rPr>
          <w:noProof/>
          <w:lang w:eastAsia="en-IE"/>
        </w:rPr>
        <w:t xml:space="preserve"> (EU) 2019/941 on risk-preparedness in the electricity sector</w:t>
      </w:r>
      <w:r w:rsidR="00CB4F9B" w:rsidRPr="51571808">
        <w:rPr>
          <w:noProof/>
          <w:lang w:eastAsia="en-IE"/>
        </w:rPr>
        <w:t>;</w:t>
      </w:r>
    </w:p>
    <w:p w14:paraId="61540A9E" w14:textId="77777777" w:rsidR="00CB4F9B" w:rsidRDefault="00872170" w:rsidP="00872170">
      <w:pPr>
        <w:pStyle w:val="Point2"/>
        <w:rPr>
          <w:noProof/>
          <w:lang w:eastAsia="en-IE"/>
        </w:rPr>
      </w:pPr>
      <w:r w:rsidRPr="51571808">
        <w:rPr>
          <w:noProof/>
          <w:lang w:eastAsia="en-IE"/>
        </w:rPr>
        <w:t>(ii)</w:t>
      </w:r>
      <w:r>
        <w:rPr>
          <w:noProof/>
        </w:rPr>
        <w:tab/>
      </w:r>
      <w:r w:rsidR="00CB4F9B" w:rsidRPr="51571808">
        <w:rPr>
          <w:noProof/>
          <w:lang w:eastAsia="en-IE"/>
        </w:rPr>
        <w:t>network security, including through measures facilitating a higher degree of physical security and cybersecurity, monitoring, and system control;</w:t>
      </w:r>
    </w:p>
    <w:p w14:paraId="702832AD" w14:textId="5065B81D" w:rsidR="00CB4F9B" w:rsidRPr="00185722" w:rsidRDefault="00C44DD6" w:rsidP="00C44DD6">
      <w:pPr>
        <w:pStyle w:val="Point1"/>
        <w:rPr>
          <w:noProof/>
          <w:lang w:eastAsia="en-IE"/>
        </w:rPr>
      </w:pPr>
      <w:r w:rsidRPr="00C44DD6">
        <w:rPr>
          <w:noProof/>
        </w:rPr>
        <w:t>(d)</w:t>
      </w:r>
      <w:r w:rsidRPr="00C44DD6">
        <w:rPr>
          <w:noProof/>
        </w:rPr>
        <w:tab/>
      </w:r>
      <w:r w:rsidR="00CB4F9B" w:rsidRPr="51571808">
        <w:rPr>
          <w:noProof/>
        </w:rPr>
        <w:t>for carbon dioxide transport and storage projects falling under the energy infrastructure categories set out in point (4) of Annex II, the project contributes significantly to sustainability through the reduction of carbon dioxide emissions in the connected industrial installations and contributes to all of the following specific criteria:</w:t>
      </w:r>
    </w:p>
    <w:p w14:paraId="512D0A89" w14:textId="77777777" w:rsidR="00CB4F9B" w:rsidRPr="00185722" w:rsidRDefault="00872170" w:rsidP="00872170">
      <w:pPr>
        <w:pStyle w:val="Point2"/>
        <w:rPr>
          <w:noProof/>
        </w:rPr>
      </w:pPr>
      <w:r>
        <w:rPr>
          <w:rFonts w:eastAsia="Times New Roman"/>
          <w:noProof/>
          <w:lang w:eastAsia="en-IE"/>
        </w:rPr>
        <w:t>(i)</w:t>
      </w:r>
      <w:r>
        <w:rPr>
          <w:rFonts w:eastAsia="Times New Roman"/>
          <w:noProof/>
          <w:lang w:eastAsia="en-IE"/>
        </w:rPr>
        <w:tab/>
      </w:r>
      <w:r w:rsidR="00CB4F9B" w:rsidRPr="00185722">
        <w:rPr>
          <w:noProof/>
        </w:rPr>
        <w:t>avoiding carbon dioxide emissions while maintaining security of supply;</w:t>
      </w:r>
    </w:p>
    <w:p w14:paraId="47FA14FE" w14:textId="77777777" w:rsidR="00CB4F9B" w:rsidRPr="00185722" w:rsidRDefault="00872170" w:rsidP="00872170">
      <w:pPr>
        <w:pStyle w:val="Point2"/>
        <w:rPr>
          <w:noProof/>
        </w:rPr>
      </w:pPr>
      <w:r>
        <w:rPr>
          <w:rFonts w:eastAsia="Times New Roman"/>
          <w:noProof/>
          <w:lang w:eastAsia="en-IE"/>
        </w:rPr>
        <w:t>(ii)</w:t>
      </w:r>
      <w:r>
        <w:rPr>
          <w:rFonts w:eastAsia="Times New Roman"/>
          <w:noProof/>
          <w:lang w:eastAsia="en-IE"/>
        </w:rPr>
        <w:tab/>
      </w:r>
      <w:r w:rsidR="00CB4F9B" w:rsidRPr="00185722">
        <w:rPr>
          <w:noProof/>
        </w:rPr>
        <w:t>increasing the resilience and security of transport and storage of carbon dioxide;</w:t>
      </w:r>
    </w:p>
    <w:p w14:paraId="60042B57" w14:textId="77777777" w:rsidR="00CB4F9B" w:rsidRDefault="00872170" w:rsidP="00872170">
      <w:pPr>
        <w:pStyle w:val="Point2"/>
        <w:rPr>
          <w:noProof/>
        </w:rPr>
      </w:pPr>
      <w:r>
        <w:rPr>
          <w:rFonts w:eastAsia="Times New Roman"/>
          <w:noProof/>
          <w:lang w:eastAsia="en-IE"/>
        </w:rPr>
        <w:t>(iii)</w:t>
      </w:r>
      <w:r>
        <w:rPr>
          <w:rFonts w:eastAsia="Times New Roman"/>
          <w:noProof/>
          <w:lang w:eastAsia="en-IE"/>
        </w:rPr>
        <w:tab/>
      </w:r>
      <w:r w:rsidR="00CB4F9B" w:rsidRPr="00185722">
        <w:rPr>
          <w:noProof/>
        </w:rPr>
        <w:t>the efficient use of resources, by enabling the connection of multiple carbon dioxide sources and storage sites via common infrastructure and minimising environmental burden and risks;</w:t>
      </w:r>
    </w:p>
    <w:p w14:paraId="1AFF84FF" w14:textId="42765348" w:rsidR="00CB4F9B" w:rsidRPr="00185722" w:rsidRDefault="00C44DD6" w:rsidP="00C44DD6">
      <w:pPr>
        <w:pStyle w:val="Point1"/>
        <w:rPr>
          <w:noProof/>
        </w:rPr>
      </w:pPr>
      <w:r w:rsidRPr="00C44DD6">
        <w:rPr>
          <w:noProof/>
        </w:rPr>
        <w:t>(e)</w:t>
      </w:r>
      <w:r w:rsidRPr="00C44DD6">
        <w:rPr>
          <w:noProof/>
        </w:rPr>
        <w:tab/>
      </w:r>
      <w:r w:rsidR="00CB4F9B" w:rsidRPr="00185722">
        <w:rPr>
          <w:noProof/>
        </w:rPr>
        <w:t>for hydrogen projects falling under the energy infrastructure categories set out in point (</w:t>
      </w:r>
      <w:r w:rsidR="00CB4F9B" w:rsidRPr="006677B2">
        <w:rPr>
          <w:rFonts w:eastAsia="Times New Roman"/>
          <w:noProof/>
          <w:lang w:eastAsia="en-IE"/>
        </w:rPr>
        <w:t>2</w:t>
      </w:r>
      <w:r w:rsidR="00CB4F9B" w:rsidRPr="00185722">
        <w:rPr>
          <w:noProof/>
        </w:rPr>
        <w:t>) of Annex II,</w:t>
      </w:r>
      <w:r w:rsidR="00CB4F9B" w:rsidRPr="006677B2">
        <w:rPr>
          <w:rFonts w:eastAsia="Times New Roman"/>
          <w:noProof/>
          <w:lang w:eastAsia="en-IE"/>
        </w:rPr>
        <w:t xml:space="preserve"> </w:t>
      </w:r>
      <w:r w:rsidR="00CB4F9B" w:rsidRPr="00185722">
        <w:rPr>
          <w:noProof/>
        </w:rPr>
        <w:t xml:space="preserve"> the project contributes significantly to sustainability, including by reducing greenhouse gas emissions, by enhancing the deployment of renewable or low carbon hydrogen, with an emphasis on hydrogen from renewable sources in particular in end-use applications, such as hard-to-abate sectors, in which more energy efficient solutions are not feasible, and supporting variable renewable power generation by offering flexibility, storage solutions, or both, and the project contributes significantly to at least one of the following specific criteria:</w:t>
      </w:r>
    </w:p>
    <w:p w14:paraId="579DDCB0" w14:textId="77777777" w:rsidR="00CB4F9B" w:rsidRPr="00185722" w:rsidRDefault="00872170" w:rsidP="00872170">
      <w:pPr>
        <w:pStyle w:val="Point2"/>
        <w:rPr>
          <w:noProof/>
        </w:rPr>
      </w:pPr>
      <w:r>
        <w:rPr>
          <w:rFonts w:eastAsia="Times New Roman"/>
          <w:noProof/>
          <w:lang w:eastAsia="en-IE"/>
        </w:rPr>
        <w:t>(i)</w:t>
      </w:r>
      <w:r>
        <w:rPr>
          <w:rFonts w:eastAsia="Times New Roman"/>
          <w:noProof/>
          <w:lang w:eastAsia="en-IE"/>
        </w:rPr>
        <w:tab/>
      </w:r>
      <w:r w:rsidR="00CB4F9B" w:rsidRPr="00185722">
        <w:rPr>
          <w:noProof/>
        </w:rPr>
        <w:t xml:space="preserve">market integration, including by connecting existing or emerging hydrogen networks of Member States, or otherwise contributing to the emergence of an Union-wide network for the transport and storage of hydrogen, and ensuring </w:t>
      </w:r>
      <w:r w:rsidR="00CB4F9B" w:rsidRPr="00185722">
        <w:rPr>
          <w:rFonts w:eastAsia="Times New Roman"/>
          <w:noProof/>
          <w:lang w:eastAsia="en-IE"/>
        </w:rPr>
        <w:t>interoperability</w:t>
      </w:r>
      <w:r w:rsidR="00CB4F9B" w:rsidRPr="00185722">
        <w:rPr>
          <w:noProof/>
        </w:rPr>
        <w:t xml:space="preserve"> of connected systems;</w:t>
      </w:r>
    </w:p>
    <w:p w14:paraId="5E2832AA" w14:textId="77777777" w:rsidR="00CB4F9B" w:rsidRPr="00185722" w:rsidRDefault="00872170" w:rsidP="00872170">
      <w:pPr>
        <w:pStyle w:val="Point2"/>
        <w:rPr>
          <w:noProof/>
        </w:rPr>
      </w:pPr>
      <w:r>
        <w:rPr>
          <w:rFonts w:eastAsia="Times New Roman"/>
          <w:noProof/>
          <w:lang w:eastAsia="en-IE"/>
        </w:rPr>
        <w:t>(ii)</w:t>
      </w:r>
      <w:r>
        <w:rPr>
          <w:rFonts w:eastAsia="Times New Roman"/>
          <w:noProof/>
          <w:lang w:eastAsia="en-IE"/>
        </w:rPr>
        <w:tab/>
      </w:r>
      <w:r w:rsidR="00CB4F9B" w:rsidRPr="00185722">
        <w:rPr>
          <w:noProof/>
        </w:rPr>
        <w:t>security of supply and flexibility, including through appropriate connections and facilitating secure and reliable system operation;</w:t>
      </w:r>
    </w:p>
    <w:p w14:paraId="472C7EB8" w14:textId="77777777" w:rsidR="00CB4F9B" w:rsidRDefault="00872170" w:rsidP="00872170">
      <w:pPr>
        <w:pStyle w:val="Point2"/>
        <w:rPr>
          <w:noProof/>
        </w:rPr>
      </w:pPr>
      <w:r>
        <w:rPr>
          <w:rFonts w:eastAsia="Times New Roman"/>
          <w:noProof/>
          <w:lang w:eastAsia="en-IE"/>
        </w:rPr>
        <w:t>(iii)</w:t>
      </w:r>
      <w:r>
        <w:rPr>
          <w:rFonts w:eastAsia="Times New Roman"/>
          <w:noProof/>
          <w:lang w:eastAsia="en-IE"/>
        </w:rPr>
        <w:tab/>
      </w:r>
      <w:r w:rsidR="00CB4F9B" w:rsidRPr="00185722">
        <w:rPr>
          <w:noProof/>
        </w:rPr>
        <w:t>competition, including by allowing access to multiple supply sources and network users on a transparent and non-discriminatory basis;</w:t>
      </w:r>
    </w:p>
    <w:p w14:paraId="11064651" w14:textId="00AB30A8" w:rsidR="00CB4F9B" w:rsidRPr="00185722" w:rsidRDefault="00C44DD6" w:rsidP="00C44DD6">
      <w:pPr>
        <w:pStyle w:val="Point1"/>
        <w:rPr>
          <w:noProof/>
        </w:rPr>
      </w:pPr>
      <w:r w:rsidRPr="00C44DD6">
        <w:rPr>
          <w:noProof/>
        </w:rPr>
        <w:t>(f)</w:t>
      </w:r>
      <w:r w:rsidRPr="00C44DD6">
        <w:rPr>
          <w:noProof/>
        </w:rPr>
        <w:tab/>
      </w:r>
      <w:r w:rsidR="00CB4F9B" w:rsidRPr="00185722">
        <w:rPr>
          <w:noProof/>
        </w:rPr>
        <w:t>for electrolysers falling under the energy infrastructure category set out in point (3) of Annex II, the project contributes significantly to all of the following specific criteria:</w:t>
      </w:r>
    </w:p>
    <w:p w14:paraId="38C4535D" w14:textId="77777777" w:rsidR="00CB4F9B" w:rsidRPr="00185722" w:rsidRDefault="00872170" w:rsidP="00872170">
      <w:pPr>
        <w:pStyle w:val="Point2"/>
        <w:rPr>
          <w:noProof/>
        </w:rPr>
      </w:pPr>
      <w:r>
        <w:rPr>
          <w:rFonts w:eastAsia="Times New Roman"/>
          <w:noProof/>
          <w:lang w:eastAsia="en-IE"/>
        </w:rPr>
        <w:t>(i)</w:t>
      </w:r>
      <w:r>
        <w:rPr>
          <w:rFonts w:eastAsia="Times New Roman"/>
          <w:noProof/>
          <w:lang w:eastAsia="en-IE"/>
        </w:rPr>
        <w:tab/>
      </w:r>
      <w:r w:rsidR="00CB4F9B" w:rsidRPr="00185722">
        <w:rPr>
          <w:noProof/>
        </w:rPr>
        <w:t>sustainability, including by reducing greenhouse gas emissions and enhancing the deployment of renewable or low-carbon hydrogen in particular from renewable sources, as well as synthetic fuels of those origins;</w:t>
      </w:r>
    </w:p>
    <w:p w14:paraId="5EBEEAA1" w14:textId="77777777" w:rsidR="00CB4F9B" w:rsidRPr="00185722" w:rsidRDefault="00872170" w:rsidP="00872170">
      <w:pPr>
        <w:pStyle w:val="Point2"/>
        <w:rPr>
          <w:noProof/>
        </w:rPr>
      </w:pPr>
      <w:r>
        <w:rPr>
          <w:rFonts w:eastAsia="Times New Roman"/>
          <w:noProof/>
          <w:lang w:eastAsia="en-IE"/>
        </w:rPr>
        <w:t>(ii)</w:t>
      </w:r>
      <w:r>
        <w:rPr>
          <w:rFonts w:eastAsia="Times New Roman"/>
          <w:noProof/>
          <w:lang w:eastAsia="en-IE"/>
        </w:rPr>
        <w:tab/>
      </w:r>
      <w:r w:rsidR="00CB4F9B" w:rsidRPr="00185722">
        <w:rPr>
          <w:noProof/>
        </w:rPr>
        <w:t>security of supply, including by contributing to secure, efficient and reliable system operation, or by offering storage, flexibility solutions, or both, such as demand side response and balancing services;</w:t>
      </w:r>
    </w:p>
    <w:p w14:paraId="5D3C0624" w14:textId="77777777" w:rsidR="00CB4F9B" w:rsidRDefault="00872170" w:rsidP="00872170">
      <w:pPr>
        <w:pStyle w:val="Point2"/>
        <w:rPr>
          <w:rFonts w:eastAsia="Times New Roman"/>
          <w:noProof/>
          <w:lang w:eastAsia="en-IE"/>
        </w:rPr>
      </w:pPr>
      <w:r>
        <w:rPr>
          <w:rFonts w:eastAsia="Times New Roman"/>
          <w:noProof/>
          <w:lang w:eastAsia="en-IE"/>
        </w:rPr>
        <w:t>(iii)</w:t>
      </w:r>
      <w:r>
        <w:rPr>
          <w:rFonts w:eastAsia="Times New Roman"/>
          <w:noProof/>
          <w:lang w:eastAsia="en-IE"/>
        </w:rPr>
        <w:tab/>
      </w:r>
      <w:r w:rsidR="00CB4F9B" w:rsidRPr="00185722">
        <w:rPr>
          <w:noProof/>
        </w:rPr>
        <w:t>enabling flexibility services such as demand response and storage by facilitating smart energy sector integration through the creation of links to other energy carriers and sectors</w:t>
      </w:r>
      <w:r w:rsidR="00CB4F9B" w:rsidRPr="00185722">
        <w:rPr>
          <w:rFonts w:eastAsia="Times New Roman"/>
          <w:noProof/>
          <w:lang w:eastAsia="en-IE"/>
        </w:rPr>
        <w:t>.</w:t>
      </w:r>
    </w:p>
    <w:p w14:paraId="62C4833E" w14:textId="3C360D5B" w:rsidR="00CB4F9B" w:rsidRPr="00185722" w:rsidRDefault="00C44DD6" w:rsidP="00C44DD6">
      <w:pPr>
        <w:pStyle w:val="ManualNumPar1"/>
        <w:rPr>
          <w:noProof/>
        </w:rPr>
      </w:pPr>
      <w:r w:rsidRPr="00C44DD6">
        <w:rPr>
          <w:noProof/>
        </w:rPr>
        <w:t>4.</w:t>
      </w:r>
      <w:r w:rsidRPr="00C44DD6">
        <w:rPr>
          <w:noProof/>
        </w:rPr>
        <w:tab/>
      </w:r>
      <w:r w:rsidR="00CB4F9B" w:rsidRPr="00185722">
        <w:rPr>
          <w:noProof/>
        </w:rPr>
        <w:t>For projects falling under the energy infrastructure categories set out in Annex II, the criteria set out in paragraph 3 of this Article shall be assessed in accordance with the indicators set out in points (3) to (8) of Annex IV.</w:t>
      </w:r>
    </w:p>
    <w:p w14:paraId="27EBDE81" w14:textId="3C4EF5BC" w:rsidR="00CB4F9B" w:rsidRPr="00185722" w:rsidRDefault="00C44DD6" w:rsidP="00C44DD6">
      <w:pPr>
        <w:pStyle w:val="ManualNumPar1"/>
        <w:rPr>
          <w:noProof/>
        </w:rPr>
      </w:pPr>
      <w:r w:rsidRPr="00C44DD6">
        <w:rPr>
          <w:noProof/>
        </w:rPr>
        <w:t>5.</w:t>
      </w:r>
      <w:r w:rsidRPr="00C44DD6">
        <w:rPr>
          <w:noProof/>
        </w:rPr>
        <w:tab/>
      </w:r>
      <w:r w:rsidR="00CB4F9B" w:rsidRPr="00185722">
        <w:rPr>
          <w:noProof/>
        </w:rPr>
        <w:t>In order to facilitate the assessment of all projects that could be eligible as projects of common interest and that could be included in a regional list, each Group shall assess each project’s contribution to the implementation of the same energy infrastructure priority corridor or area in a transparent and objective manner</w:t>
      </w:r>
      <w:r w:rsidR="00CB4F9B" w:rsidRPr="004B1132">
        <w:rPr>
          <w:noProof/>
        </w:rPr>
        <w:t xml:space="preserve">. </w:t>
      </w:r>
      <w:r w:rsidR="00CB4F9B" w:rsidRPr="00F816C6">
        <w:rPr>
          <w:noProof/>
        </w:rPr>
        <w:t>Each</w:t>
      </w:r>
      <w:r w:rsidR="00CB4F9B" w:rsidRPr="004B1132">
        <w:rPr>
          <w:noProof/>
        </w:rPr>
        <w:t xml:space="preserve"> Group </w:t>
      </w:r>
      <w:r w:rsidR="00CB4F9B" w:rsidRPr="00185722">
        <w:rPr>
          <w:noProof/>
        </w:rPr>
        <w:t xml:space="preserve">shall determine its assessment method on the basis of the aggregated contribution to the criteria referred to in paragraph 3. </w:t>
      </w:r>
      <w:r w:rsidR="00CB4F9B" w:rsidRPr="00185722">
        <w:rPr>
          <w:rFonts w:eastAsia="Times New Roman"/>
          <w:noProof/>
          <w:lang w:eastAsia="en-IE"/>
        </w:rPr>
        <w:t xml:space="preserve"> </w:t>
      </w:r>
      <w:r w:rsidR="00CB4F9B" w:rsidRPr="00185722">
        <w:rPr>
          <w:noProof/>
        </w:rPr>
        <w:t xml:space="preserve">That assessment shall lead to a ranking of projects for internal use of the Group. Neither the regional list nor the Union list shall contain any ranking, nor shall the ranking be used for any subsequent purpose except as </w:t>
      </w:r>
      <w:r w:rsidR="001203DB">
        <w:rPr>
          <w:noProof/>
        </w:rPr>
        <w:t>referred to</w:t>
      </w:r>
      <w:r w:rsidR="001203DB" w:rsidRPr="00185722">
        <w:rPr>
          <w:noProof/>
        </w:rPr>
        <w:t xml:space="preserve"> </w:t>
      </w:r>
      <w:r w:rsidR="00CB4F9B" w:rsidRPr="00185722">
        <w:rPr>
          <w:noProof/>
        </w:rPr>
        <w:t>in Section 2, point (</w:t>
      </w:r>
      <w:r w:rsidR="005A6E9C" w:rsidRPr="00185722">
        <w:rPr>
          <w:noProof/>
        </w:rPr>
        <w:t>1</w:t>
      </w:r>
      <w:r w:rsidR="005A6E9C">
        <w:rPr>
          <w:noProof/>
        </w:rPr>
        <w:t>5</w:t>
      </w:r>
      <w:r w:rsidR="00CB4F9B" w:rsidRPr="00185722">
        <w:rPr>
          <w:noProof/>
        </w:rPr>
        <w:t>), of Annex III.</w:t>
      </w:r>
    </w:p>
    <w:p w14:paraId="1EC3D3CE" w14:textId="77777777" w:rsidR="00CB4F9B" w:rsidRPr="00C66F6B" w:rsidRDefault="00CB4F9B" w:rsidP="006677B2">
      <w:pPr>
        <w:pStyle w:val="Text1"/>
        <w:rPr>
          <w:noProof/>
        </w:rPr>
      </w:pPr>
      <w:r w:rsidRPr="00C66F6B">
        <w:rPr>
          <w:noProof/>
        </w:rPr>
        <w:t xml:space="preserve">In assessing projects, </w:t>
      </w:r>
      <w:r w:rsidRPr="00C66F6B">
        <w:rPr>
          <w:rStyle w:val="Bodytext1"/>
          <w:noProof/>
          <w:sz w:val="24"/>
          <w:szCs w:val="22"/>
        </w:rPr>
        <w:t xml:space="preserve">in order to ensure a consistent assessment approach among the Groups, </w:t>
      </w:r>
      <w:r w:rsidRPr="00C66F6B">
        <w:rPr>
          <w:noProof/>
        </w:rPr>
        <w:t>each Group shall give due consideration to:</w:t>
      </w:r>
    </w:p>
    <w:p w14:paraId="59A1509D" w14:textId="09131666" w:rsidR="00CB4F9B" w:rsidRPr="00CB4F9B" w:rsidRDefault="00C44DD6" w:rsidP="00C44DD6">
      <w:pPr>
        <w:pStyle w:val="Point1"/>
        <w:rPr>
          <w:noProof/>
        </w:rPr>
      </w:pPr>
      <w:r w:rsidRPr="00C44DD6">
        <w:rPr>
          <w:noProof/>
        </w:rPr>
        <w:t>(a)</w:t>
      </w:r>
      <w:r w:rsidRPr="00C44DD6">
        <w:rPr>
          <w:noProof/>
        </w:rPr>
        <w:tab/>
      </w:r>
      <w:r w:rsidR="00CB4F9B" w:rsidRPr="00CB4F9B">
        <w:rPr>
          <w:noProof/>
        </w:rPr>
        <w:t>the urgency and the contribution of each proposed project in order to meet the Union’s targets for energy and climate and its 2050 climate neutrality objective, market integration, competition, sustainability, and security of supply;</w:t>
      </w:r>
    </w:p>
    <w:p w14:paraId="1C9E7B84" w14:textId="1F6BE3E9" w:rsidR="00CB4F9B" w:rsidRPr="00185722" w:rsidRDefault="00C44DD6" w:rsidP="00C44DD6">
      <w:pPr>
        <w:pStyle w:val="Point1"/>
        <w:rPr>
          <w:noProof/>
        </w:rPr>
      </w:pPr>
      <w:r w:rsidRPr="00C44DD6">
        <w:rPr>
          <w:noProof/>
        </w:rPr>
        <w:t>(b)</w:t>
      </w:r>
      <w:r w:rsidRPr="00C44DD6">
        <w:rPr>
          <w:noProof/>
        </w:rPr>
        <w:tab/>
      </w:r>
      <w:r w:rsidR="00CB4F9B" w:rsidRPr="00185722">
        <w:rPr>
          <w:noProof/>
        </w:rPr>
        <w:t>the complementarity of each proposed project with other proposed projects, including competing or potentially competing projects;</w:t>
      </w:r>
    </w:p>
    <w:p w14:paraId="06F540B0" w14:textId="653AE4E4" w:rsidR="00CB4F9B" w:rsidRPr="00185722" w:rsidRDefault="00C44DD6" w:rsidP="00C44DD6">
      <w:pPr>
        <w:pStyle w:val="Point1"/>
        <w:rPr>
          <w:noProof/>
        </w:rPr>
      </w:pPr>
      <w:r w:rsidRPr="00C44DD6">
        <w:rPr>
          <w:noProof/>
        </w:rPr>
        <w:t>(c)</w:t>
      </w:r>
      <w:r w:rsidRPr="00C44DD6">
        <w:rPr>
          <w:noProof/>
        </w:rPr>
        <w:tab/>
      </w:r>
      <w:r w:rsidR="00CB4F9B" w:rsidRPr="00185722">
        <w:rPr>
          <w:noProof/>
        </w:rPr>
        <w:t>possible synergies with priority corridors and thematic areas identified under trans-European networks for transport and telecommunications;</w:t>
      </w:r>
    </w:p>
    <w:p w14:paraId="09BF493A" w14:textId="3E768E39" w:rsidR="00CB4F9B" w:rsidRPr="00185722" w:rsidRDefault="00C44DD6" w:rsidP="00C44DD6">
      <w:pPr>
        <w:pStyle w:val="Point1"/>
        <w:rPr>
          <w:noProof/>
        </w:rPr>
      </w:pPr>
      <w:r w:rsidRPr="00C44DD6">
        <w:rPr>
          <w:noProof/>
        </w:rPr>
        <w:t>(d)</w:t>
      </w:r>
      <w:r w:rsidRPr="00C44DD6">
        <w:rPr>
          <w:noProof/>
        </w:rPr>
        <w:tab/>
      </w:r>
      <w:r w:rsidR="00CB4F9B" w:rsidRPr="00185722">
        <w:rPr>
          <w:noProof/>
        </w:rPr>
        <w:t>for proposed projects that are, at the time of the assessment, projects on the Union list, the progress of their implementation and their compliance with the reporting and transparency obligations</w:t>
      </w:r>
      <w:r w:rsidR="00CB4F9B" w:rsidRPr="006677B2">
        <w:rPr>
          <w:rFonts w:eastAsia="Times New Roman"/>
          <w:noProof/>
          <w:lang w:eastAsia="en-IE"/>
        </w:rPr>
        <w:t xml:space="preserve"> provided by this Regulation;</w:t>
      </w:r>
    </w:p>
    <w:p w14:paraId="0A68ECC6" w14:textId="3B86D3C2" w:rsidR="00CB4F9B" w:rsidRPr="00185722" w:rsidRDefault="00C44DD6" w:rsidP="00C44DD6">
      <w:pPr>
        <w:pStyle w:val="Point1"/>
        <w:rPr>
          <w:noProof/>
          <w:lang w:eastAsia="en-IE"/>
        </w:rPr>
      </w:pPr>
      <w:r w:rsidRPr="00C44DD6">
        <w:rPr>
          <w:noProof/>
        </w:rPr>
        <w:t>(e)</w:t>
      </w:r>
      <w:r w:rsidRPr="00C44DD6">
        <w:rPr>
          <w:noProof/>
        </w:rPr>
        <w:tab/>
      </w:r>
      <w:r w:rsidR="00CB4F9B" w:rsidRPr="00185722">
        <w:rPr>
          <w:noProof/>
          <w:lang w:eastAsia="en-IE"/>
        </w:rPr>
        <w:t xml:space="preserve">any third country direct or indirect ownership as beneficiary, shareholder or ultimate beneficiary </w:t>
      </w:r>
      <w:r w:rsidR="00B20ADF">
        <w:rPr>
          <w:noProof/>
          <w:lang w:eastAsia="en-IE"/>
        </w:rPr>
        <w:t xml:space="preserve">as project promoter </w:t>
      </w:r>
      <w:r w:rsidR="00CB4F9B" w:rsidRPr="00185722">
        <w:rPr>
          <w:noProof/>
          <w:lang w:eastAsia="en-IE"/>
        </w:rPr>
        <w:t>in any of the proposed projects.</w:t>
      </w:r>
    </w:p>
    <w:p w14:paraId="76500BF8" w14:textId="77777777" w:rsidR="00C66F6B" w:rsidRPr="00185722" w:rsidRDefault="00C66F6B" w:rsidP="006677B2">
      <w:pPr>
        <w:pStyle w:val="Text1"/>
        <w:rPr>
          <w:noProof/>
        </w:rPr>
      </w:pPr>
      <w:r w:rsidRPr="00185722">
        <w:rPr>
          <w:noProof/>
        </w:rPr>
        <w:t xml:space="preserve">As regards smart electricity grids falling under the energy infrastructure </w:t>
      </w:r>
      <w:r w:rsidRPr="00185722">
        <w:rPr>
          <w:rFonts w:eastAsia="Times New Roman"/>
          <w:noProof/>
          <w:lang w:eastAsia="en-IE"/>
        </w:rPr>
        <w:t>category</w:t>
      </w:r>
      <w:r w:rsidRPr="00185722">
        <w:rPr>
          <w:noProof/>
        </w:rPr>
        <w:t xml:space="preserve"> set out in point (1)(g) of </w:t>
      </w:r>
      <w:r w:rsidRPr="004B1132">
        <w:rPr>
          <w:noProof/>
        </w:rPr>
        <w:t>Annex II</w:t>
      </w:r>
      <w:r w:rsidRPr="004B1132">
        <w:rPr>
          <w:rFonts w:eastAsia="Times New Roman"/>
          <w:noProof/>
          <w:lang w:eastAsia="en-IE"/>
        </w:rPr>
        <w:t xml:space="preserve">, and for projects falling under </w:t>
      </w:r>
      <w:r w:rsidRPr="004B1132">
        <w:rPr>
          <w:noProof/>
        </w:rPr>
        <w:t xml:space="preserve">the energy infrastructure </w:t>
      </w:r>
      <w:r w:rsidRPr="004B1132">
        <w:rPr>
          <w:rFonts w:eastAsia="Times New Roman"/>
          <w:noProof/>
          <w:lang w:eastAsia="en-IE"/>
        </w:rPr>
        <w:t>categories</w:t>
      </w:r>
      <w:r w:rsidRPr="004B1132">
        <w:rPr>
          <w:noProof/>
        </w:rPr>
        <w:t xml:space="preserve"> set out in point (1)(e)</w:t>
      </w:r>
      <w:r w:rsidR="002D0154">
        <w:rPr>
          <w:noProof/>
        </w:rPr>
        <w:t xml:space="preserve"> of Annex II</w:t>
      </w:r>
      <w:r w:rsidRPr="004B1132">
        <w:rPr>
          <w:noProof/>
        </w:rPr>
        <w:t>, ranking</w:t>
      </w:r>
      <w:r w:rsidRPr="00185722">
        <w:rPr>
          <w:noProof/>
        </w:rPr>
        <w:t xml:space="preserve"> shall be carried out for those projects that affect the same two Member States, and due consideration shall also be given to the number of users affected by the project, the annual energy consumption and the share of generation from non-dispatchable resources in the area covered by those users.</w:t>
      </w:r>
    </w:p>
    <w:p w14:paraId="77E81117" w14:textId="77777777" w:rsidR="00631B78" w:rsidRPr="00185722" w:rsidRDefault="00631B78" w:rsidP="00631B78">
      <w:pPr>
        <w:pStyle w:val="Titrearticle"/>
        <w:rPr>
          <w:noProof/>
        </w:rPr>
      </w:pPr>
      <w:r w:rsidRPr="00185722">
        <w:rPr>
          <w:noProof/>
        </w:rPr>
        <w:t>Article 5</w:t>
      </w:r>
      <w:bookmarkStart w:id="9" w:name="bookmark30"/>
      <w:bookmarkEnd w:id="9"/>
    </w:p>
    <w:p w14:paraId="1CE4A40E" w14:textId="77777777" w:rsidR="00631B78" w:rsidRPr="00631B78" w:rsidRDefault="00631B78" w:rsidP="00631B78">
      <w:pPr>
        <w:pStyle w:val="Titrearticle"/>
        <w:rPr>
          <w:b/>
          <w:bCs/>
          <w:noProof/>
        </w:rPr>
      </w:pPr>
      <w:r w:rsidRPr="00631B78">
        <w:rPr>
          <w:b/>
          <w:bCs/>
          <w:noProof/>
        </w:rPr>
        <w:t>Implementation and monitoring of projects on the Union list</w:t>
      </w:r>
    </w:p>
    <w:p w14:paraId="0A767AF1" w14:textId="5BBEA32D" w:rsidR="00631B78" w:rsidRPr="00185722" w:rsidRDefault="00C44DD6" w:rsidP="00C44DD6">
      <w:pPr>
        <w:pStyle w:val="ManualNumPar1"/>
        <w:rPr>
          <w:noProof/>
        </w:rPr>
      </w:pPr>
      <w:r w:rsidRPr="00C44DD6">
        <w:rPr>
          <w:noProof/>
        </w:rPr>
        <w:t>1.</w:t>
      </w:r>
      <w:r w:rsidRPr="00C44DD6">
        <w:rPr>
          <w:noProof/>
        </w:rPr>
        <w:tab/>
      </w:r>
      <w:r w:rsidR="00631B78">
        <w:rPr>
          <w:noProof/>
        </w:rPr>
        <w:t>Project promoters shall draw up an implementation plan for projects on the Union list</w:t>
      </w:r>
      <w:r w:rsidR="00631B78" w:rsidRPr="003A63CF">
        <w:rPr>
          <w:noProof/>
          <w:color w:val="000000" w:themeColor="text1"/>
        </w:rPr>
        <w:t xml:space="preserve"> within two months of their inclusion on the Union list, with </w:t>
      </w:r>
      <w:r w:rsidR="00631B78">
        <w:rPr>
          <w:noProof/>
        </w:rPr>
        <w:t xml:space="preserve">a timetable </w:t>
      </w:r>
      <w:r w:rsidR="00631B78" w:rsidRPr="003A63CF">
        <w:rPr>
          <w:rFonts w:eastAsia="Times New Roman"/>
          <w:noProof/>
          <w:color w:val="000000" w:themeColor="text1"/>
          <w:lang w:eastAsia="en-IE"/>
        </w:rPr>
        <w:t>including</w:t>
      </w:r>
      <w:r w:rsidR="00631B78">
        <w:rPr>
          <w:noProof/>
        </w:rPr>
        <w:t xml:space="preserve"> all of the following:</w:t>
      </w:r>
    </w:p>
    <w:p w14:paraId="7E571875" w14:textId="1564EC01" w:rsidR="00631B78" w:rsidRPr="003A63CF" w:rsidRDefault="00C44DD6" w:rsidP="00C44DD6">
      <w:pPr>
        <w:pStyle w:val="Point1"/>
        <w:rPr>
          <w:noProof/>
          <w:color w:val="000000"/>
        </w:rPr>
      </w:pPr>
      <w:r w:rsidRPr="00C44DD6">
        <w:rPr>
          <w:noProof/>
        </w:rPr>
        <w:t>(a)</w:t>
      </w:r>
      <w:r w:rsidRPr="00C44DD6">
        <w:rPr>
          <w:noProof/>
        </w:rPr>
        <w:tab/>
      </w:r>
      <w:r w:rsidR="00631B78">
        <w:rPr>
          <w:noProof/>
        </w:rPr>
        <w:t xml:space="preserve">feasibility and design studies including </w:t>
      </w:r>
      <w:r w:rsidR="00631B78" w:rsidRPr="003A63CF">
        <w:rPr>
          <w:rFonts w:eastAsia="Times New Roman"/>
          <w:noProof/>
          <w:lang w:eastAsia="en-IE"/>
        </w:rPr>
        <w:t xml:space="preserve">risk assessment studies as regards climate adaptation and physical and cyber security, building on the requirements of </w:t>
      </w:r>
      <w:r w:rsidR="65B7B0CD" w:rsidRPr="51571808">
        <w:rPr>
          <w:noProof/>
          <w:lang w:eastAsia="en-IE"/>
        </w:rPr>
        <w:t>Directive</w:t>
      </w:r>
      <w:r w:rsidR="006F3944">
        <w:rPr>
          <w:noProof/>
          <w:lang w:eastAsia="en-IE"/>
        </w:rPr>
        <w:t>s</w:t>
      </w:r>
      <w:r w:rsidR="65B7B0CD" w:rsidRPr="51571808">
        <w:rPr>
          <w:noProof/>
          <w:lang w:eastAsia="en-IE"/>
        </w:rPr>
        <w:t xml:space="preserve"> (EU) 2022/2557 </w:t>
      </w:r>
      <w:r w:rsidR="00631B78" w:rsidRPr="51571808">
        <w:rPr>
          <w:noProof/>
          <w:lang w:eastAsia="en-IE"/>
        </w:rPr>
        <w:t xml:space="preserve">and </w:t>
      </w:r>
      <w:r w:rsidR="3572E153" w:rsidRPr="51571808">
        <w:rPr>
          <w:noProof/>
          <w:lang w:eastAsia="en-IE"/>
        </w:rPr>
        <w:t>(EU) 2022/2555</w:t>
      </w:r>
      <w:r w:rsidR="00631B78" w:rsidRPr="51571808">
        <w:rPr>
          <w:noProof/>
          <w:lang w:eastAsia="en-IE"/>
        </w:rPr>
        <w:t>, where applicable, as well as</w:t>
      </w:r>
      <w:r w:rsidR="00631B78" w:rsidRPr="003A63CF">
        <w:rPr>
          <w:noProof/>
          <w:color w:val="000000" w:themeColor="text1"/>
        </w:rPr>
        <w:t xml:space="preserve"> </w:t>
      </w:r>
      <w:r w:rsidR="00631B78">
        <w:rPr>
          <w:noProof/>
        </w:rPr>
        <w:t>compliance with environmental legislation</w:t>
      </w:r>
      <w:r w:rsidR="00631B78" w:rsidRPr="003A63CF">
        <w:rPr>
          <w:rFonts w:eastAsia="Times New Roman"/>
          <w:noProof/>
          <w:color w:val="000000" w:themeColor="text1"/>
          <w:lang w:eastAsia="en-IE"/>
        </w:rPr>
        <w:t>,</w:t>
      </w:r>
      <w:r w:rsidR="00631B78" w:rsidRPr="003A63CF">
        <w:rPr>
          <w:noProof/>
          <w:color w:val="000000" w:themeColor="text1"/>
        </w:rPr>
        <w:t xml:space="preserve"> and </w:t>
      </w:r>
      <w:r w:rsidR="00631B78">
        <w:rPr>
          <w:noProof/>
        </w:rPr>
        <w:t xml:space="preserve">with the </w:t>
      </w:r>
      <w:r w:rsidR="00631B78" w:rsidRPr="003A63CF">
        <w:rPr>
          <w:rFonts w:eastAsia="Times New Roman"/>
          <w:noProof/>
          <w:lang w:eastAsia="en-IE"/>
        </w:rPr>
        <w:t xml:space="preserve"> ‘</w:t>
      </w:r>
      <w:r w:rsidR="00631B78" w:rsidRPr="003A63CF">
        <w:rPr>
          <w:rFonts w:eastAsia="Times New Roman"/>
          <w:noProof/>
          <w:color w:val="000000" w:themeColor="text1"/>
          <w:lang w:eastAsia="en-IE"/>
        </w:rPr>
        <w:t xml:space="preserve">do </w:t>
      </w:r>
      <w:r w:rsidR="00631B78">
        <w:rPr>
          <w:noProof/>
        </w:rPr>
        <w:t>no significant harm’ principle;</w:t>
      </w:r>
    </w:p>
    <w:p w14:paraId="6E524772" w14:textId="4B04E228" w:rsidR="00631B78" w:rsidRPr="00185722" w:rsidRDefault="00C44DD6" w:rsidP="00C44DD6">
      <w:pPr>
        <w:pStyle w:val="Point1"/>
        <w:rPr>
          <w:noProof/>
        </w:rPr>
      </w:pPr>
      <w:r w:rsidRPr="00C44DD6">
        <w:rPr>
          <w:noProof/>
        </w:rPr>
        <w:t>(b)</w:t>
      </w:r>
      <w:r w:rsidRPr="00C44DD6">
        <w:rPr>
          <w:noProof/>
        </w:rPr>
        <w:tab/>
      </w:r>
      <w:r w:rsidR="00631B78" w:rsidRPr="00185722">
        <w:rPr>
          <w:noProof/>
        </w:rPr>
        <w:t>approval by the national regulatory authority or by any other authority concerned;</w:t>
      </w:r>
    </w:p>
    <w:p w14:paraId="658BE5DC" w14:textId="65AD78EC" w:rsidR="00631B78" w:rsidRPr="00185722" w:rsidRDefault="00C44DD6" w:rsidP="00C44DD6">
      <w:pPr>
        <w:pStyle w:val="Point1"/>
        <w:rPr>
          <w:noProof/>
        </w:rPr>
      </w:pPr>
      <w:r w:rsidRPr="00C44DD6">
        <w:rPr>
          <w:noProof/>
        </w:rPr>
        <w:t>(c)</w:t>
      </w:r>
      <w:r w:rsidRPr="00C44DD6">
        <w:rPr>
          <w:noProof/>
        </w:rPr>
        <w:tab/>
      </w:r>
      <w:r w:rsidR="00631B78" w:rsidRPr="00185722">
        <w:rPr>
          <w:noProof/>
        </w:rPr>
        <w:t>construction and commissioning;</w:t>
      </w:r>
    </w:p>
    <w:p w14:paraId="42FE1618" w14:textId="3EFF5D5C" w:rsidR="00CB4F9B" w:rsidRPr="00886A47" w:rsidRDefault="00C44DD6" w:rsidP="00C44DD6">
      <w:pPr>
        <w:pStyle w:val="Point1"/>
        <w:rPr>
          <w:noProof/>
        </w:rPr>
      </w:pPr>
      <w:r w:rsidRPr="00C44DD6">
        <w:rPr>
          <w:noProof/>
        </w:rPr>
        <w:t>(d)</w:t>
      </w:r>
      <w:r w:rsidRPr="00C44DD6">
        <w:rPr>
          <w:noProof/>
        </w:rPr>
        <w:tab/>
      </w:r>
      <w:r w:rsidR="00631B78" w:rsidRPr="00185722">
        <w:rPr>
          <w:noProof/>
        </w:rPr>
        <w:t>the permit</w:t>
      </w:r>
      <w:r w:rsidR="00B95351">
        <w:rPr>
          <w:noProof/>
        </w:rPr>
        <w:t>-</w:t>
      </w:r>
      <w:r w:rsidR="00631B78" w:rsidRPr="00185722">
        <w:rPr>
          <w:noProof/>
        </w:rPr>
        <w:t>granting process referred to in Article 10(</w:t>
      </w:r>
      <w:r w:rsidR="00AF0D51">
        <w:rPr>
          <w:noProof/>
        </w:rPr>
        <w:t>9</w:t>
      </w:r>
      <w:r w:rsidR="00631B78" w:rsidRPr="00185722">
        <w:rPr>
          <w:noProof/>
        </w:rPr>
        <w:t>), point (</w:t>
      </w:r>
      <w:r w:rsidR="002A68BD">
        <w:rPr>
          <w:noProof/>
        </w:rPr>
        <w:t>c).</w:t>
      </w:r>
    </w:p>
    <w:p w14:paraId="28A26326" w14:textId="291252CD" w:rsidR="00886A47" w:rsidRPr="006677B2" w:rsidRDefault="00C44DD6" w:rsidP="00C44DD6">
      <w:pPr>
        <w:pStyle w:val="ManualNumPar1"/>
        <w:rPr>
          <w:noProof/>
        </w:rPr>
      </w:pPr>
      <w:r w:rsidRPr="00C44DD6">
        <w:rPr>
          <w:noProof/>
        </w:rPr>
        <w:t>2.</w:t>
      </w:r>
      <w:r w:rsidRPr="00C44DD6">
        <w:rPr>
          <w:noProof/>
        </w:rPr>
        <w:tab/>
      </w:r>
      <w:r w:rsidR="00886A47" w:rsidRPr="006677B2">
        <w:rPr>
          <w:noProof/>
        </w:rPr>
        <w:t>TSOs, DSOs, HNOs and other operators shall cooperate with each other in order to facilitate the development of projects on the Union list in their area.</w:t>
      </w:r>
    </w:p>
    <w:p w14:paraId="78C266C4" w14:textId="78DBF351" w:rsidR="00886A47" w:rsidRPr="006677B2" w:rsidRDefault="00C44DD6" w:rsidP="00C44DD6">
      <w:pPr>
        <w:pStyle w:val="ManualNumPar1"/>
        <w:rPr>
          <w:noProof/>
        </w:rPr>
      </w:pPr>
      <w:r w:rsidRPr="00C44DD6">
        <w:rPr>
          <w:noProof/>
        </w:rPr>
        <w:t>3.</w:t>
      </w:r>
      <w:r w:rsidRPr="00C44DD6">
        <w:rPr>
          <w:noProof/>
        </w:rPr>
        <w:tab/>
      </w:r>
      <w:r w:rsidR="00886A47" w:rsidRPr="006677B2">
        <w:rPr>
          <w:noProof/>
        </w:rPr>
        <w:t>The</w:t>
      </w:r>
      <w:r w:rsidR="00CD531F">
        <w:rPr>
          <w:noProof/>
        </w:rPr>
        <w:t xml:space="preserve"> </w:t>
      </w:r>
      <w:r w:rsidR="00CD531F" w:rsidRPr="00500A9D">
        <w:rPr>
          <w:noProof/>
        </w:rPr>
        <w:t>Agency for the Cooperation of Energy Regulators</w:t>
      </w:r>
      <w:r w:rsidR="00CD531F">
        <w:rPr>
          <w:noProof/>
        </w:rPr>
        <w:t xml:space="preserve"> (‘the</w:t>
      </w:r>
      <w:r w:rsidR="00886A47" w:rsidRPr="006677B2">
        <w:rPr>
          <w:noProof/>
        </w:rPr>
        <w:t xml:space="preserve"> Agency</w:t>
      </w:r>
      <w:r w:rsidR="00CD531F">
        <w:rPr>
          <w:noProof/>
        </w:rPr>
        <w:t>’)</w:t>
      </w:r>
      <w:r w:rsidR="00886A47" w:rsidRPr="006677B2">
        <w:rPr>
          <w:noProof/>
        </w:rPr>
        <w:t xml:space="preserve"> and the Groups concerned shall monitor the progress achieved in implementing the projects on the Union list and, where necessary, make recommendations to facilitate their implementation. The Groups may request additional information in accordance with paragraphs 4, 5 and 6, convene meetings with the relevant parties and invite the Commission to verify the information provided on site.</w:t>
      </w:r>
    </w:p>
    <w:p w14:paraId="54ED75B9" w14:textId="210FDE9D" w:rsidR="00886A47" w:rsidRPr="00185722" w:rsidRDefault="00C44DD6" w:rsidP="00C44DD6">
      <w:pPr>
        <w:pStyle w:val="ManualNumPar1"/>
        <w:rPr>
          <w:noProof/>
        </w:rPr>
      </w:pPr>
      <w:r w:rsidRPr="00C44DD6">
        <w:rPr>
          <w:noProof/>
        </w:rPr>
        <w:t>4.</w:t>
      </w:r>
      <w:r w:rsidRPr="00C44DD6">
        <w:rPr>
          <w:noProof/>
        </w:rPr>
        <w:tab/>
      </w:r>
      <w:r w:rsidR="00886A47" w:rsidRPr="006677B2">
        <w:rPr>
          <w:noProof/>
        </w:rPr>
        <w:t>By 31 December of the</w:t>
      </w:r>
      <w:r w:rsidR="00886A47" w:rsidRPr="00185722">
        <w:rPr>
          <w:noProof/>
        </w:rPr>
        <w:t xml:space="preserve"> year </w:t>
      </w:r>
      <w:r w:rsidR="00886A47" w:rsidRPr="00185722">
        <w:rPr>
          <w:noProof/>
          <w:lang w:eastAsia="en-IE"/>
        </w:rPr>
        <w:t>in which</w:t>
      </w:r>
      <w:r w:rsidR="00886A47" w:rsidRPr="00185722">
        <w:rPr>
          <w:noProof/>
        </w:rPr>
        <w:t xml:space="preserve"> the Union list</w:t>
      </w:r>
      <w:r w:rsidR="00886A47" w:rsidRPr="00185722">
        <w:rPr>
          <w:noProof/>
          <w:lang w:eastAsia="en-IE"/>
        </w:rPr>
        <w:t xml:space="preserve"> where the project is included enters into force and starts to produce effects, and every </w:t>
      </w:r>
      <w:r w:rsidR="00C366E8">
        <w:rPr>
          <w:noProof/>
          <w:lang w:eastAsia="en-IE"/>
        </w:rPr>
        <w:t xml:space="preserve">subsequent </w:t>
      </w:r>
      <w:r w:rsidR="00886A47" w:rsidRPr="00185722">
        <w:rPr>
          <w:noProof/>
          <w:lang w:eastAsia="en-IE"/>
        </w:rPr>
        <w:t>year</w:t>
      </w:r>
      <w:r w:rsidR="00886A47" w:rsidRPr="00185722">
        <w:rPr>
          <w:noProof/>
        </w:rPr>
        <w:t xml:space="preserve">, project promoters shall submit </w:t>
      </w:r>
      <w:r w:rsidR="00886A47" w:rsidRPr="00185722">
        <w:rPr>
          <w:noProof/>
          <w:lang w:eastAsia="en-IE"/>
        </w:rPr>
        <w:t>a</w:t>
      </w:r>
      <w:r w:rsidR="00886A47" w:rsidRPr="00185722">
        <w:rPr>
          <w:noProof/>
        </w:rPr>
        <w:t xml:space="preserve"> report for each project </w:t>
      </w:r>
      <w:r w:rsidR="00886A47" w:rsidRPr="00185722">
        <w:rPr>
          <w:noProof/>
          <w:lang w:eastAsia="en-IE"/>
        </w:rPr>
        <w:t>of common interest and project of mutual interest they promote</w:t>
      </w:r>
      <w:r w:rsidR="00886A47" w:rsidRPr="00185722">
        <w:rPr>
          <w:noProof/>
        </w:rPr>
        <w:t xml:space="preserve">, to the national competent authority referred to in </w:t>
      </w:r>
      <w:r w:rsidR="00886A47" w:rsidRPr="0009376D">
        <w:rPr>
          <w:noProof/>
        </w:rPr>
        <w:t>Article 8(1).</w:t>
      </w:r>
    </w:p>
    <w:p w14:paraId="34CA1240" w14:textId="77777777" w:rsidR="00886A47" w:rsidRPr="00185722" w:rsidRDefault="00886A47" w:rsidP="006677B2">
      <w:pPr>
        <w:pStyle w:val="Text1"/>
        <w:rPr>
          <w:noProof/>
        </w:rPr>
      </w:pPr>
      <w:r w:rsidRPr="00185722">
        <w:rPr>
          <w:noProof/>
        </w:rPr>
        <w:t>That report shall include details of:</w:t>
      </w:r>
    </w:p>
    <w:p w14:paraId="472AE523" w14:textId="5F217199" w:rsidR="00886A47" w:rsidRPr="00886A47" w:rsidRDefault="00C44DD6" w:rsidP="00C44DD6">
      <w:pPr>
        <w:pStyle w:val="Point1"/>
        <w:rPr>
          <w:noProof/>
        </w:rPr>
      </w:pPr>
      <w:r w:rsidRPr="00C44DD6">
        <w:rPr>
          <w:noProof/>
        </w:rPr>
        <w:t>(a)</w:t>
      </w:r>
      <w:r w:rsidRPr="00C44DD6">
        <w:rPr>
          <w:noProof/>
        </w:rPr>
        <w:tab/>
      </w:r>
      <w:r w:rsidR="00886A47" w:rsidRPr="00886A47">
        <w:rPr>
          <w:noProof/>
        </w:rPr>
        <w:t xml:space="preserve">the progress achieved in the development, construction and </w:t>
      </w:r>
      <w:r w:rsidR="00886A47" w:rsidRPr="00A81E70">
        <w:rPr>
          <w:rFonts w:eastAsia="Times New Roman"/>
          <w:noProof/>
          <w:color w:val="000000" w:themeColor="text1"/>
          <w:lang w:eastAsia="en-IE"/>
        </w:rPr>
        <w:t>commissioning</w:t>
      </w:r>
      <w:r w:rsidR="00886A47" w:rsidRPr="00886A47">
        <w:rPr>
          <w:noProof/>
        </w:rPr>
        <w:t xml:space="preserve"> of the project</w:t>
      </w:r>
      <w:r w:rsidR="00886A47" w:rsidRPr="00A81E70">
        <w:rPr>
          <w:rFonts w:eastAsia="Times New Roman"/>
          <w:noProof/>
          <w:color w:val="000000" w:themeColor="text1"/>
          <w:lang w:eastAsia="en-IE"/>
        </w:rPr>
        <w:t xml:space="preserve"> as </w:t>
      </w:r>
      <w:r w:rsidR="001203DB" w:rsidRPr="00A81E70">
        <w:rPr>
          <w:rFonts w:eastAsia="Times New Roman"/>
          <w:noProof/>
          <w:color w:val="000000" w:themeColor="text1"/>
          <w:lang w:eastAsia="en-IE"/>
        </w:rPr>
        <w:t xml:space="preserve">set out </w:t>
      </w:r>
      <w:r w:rsidR="00886A47" w:rsidRPr="00A81E70">
        <w:rPr>
          <w:rFonts w:eastAsia="Times New Roman"/>
          <w:noProof/>
          <w:color w:val="000000" w:themeColor="text1"/>
          <w:lang w:eastAsia="en-IE"/>
        </w:rPr>
        <w:t xml:space="preserve">in the implementation plan </w:t>
      </w:r>
      <w:r w:rsidR="0072348C">
        <w:rPr>
          <w:rFonts w:eastAsia="Times New Roman"/>
          <w:noProof/>
          <w:color w:val="000000" w:themeColor="text1"/>
          <w:lang w:eastAsia="en-IE"/>
        </w:rPr>
        <w:t>referred to in</w:t>
      </w:r>
      <w:r w:rsidR="00886A47" w:rsidRPr="00A81E70">
        <w:rPr>
          <w:rFonts w:eastAsia="Times New Roman"/>
          <w:noProof/>
          <w:color w:val="000000" w:themeColor="text1"/>
          <w:lang w:eastAsia="en-IE"/>
        </w:rPr>
        <w:t xml:space="preserve"> </w:t>
      </w:r>
      <w:r w:rsidR="58EF5F62" w:rsidRPr="00A81E70">
        <w:rPr>
          <w:rFonts w:eastAsia="Times New Roman"/>
          <w:noProof/>
          <w:color w:val="000000" w:themeColor="text1"/>
          <w:lang w:eastAsia="en-IE"/>
        </w:rPr>
        <w:t>paragraph 1 of this Article</w:t>
      </w:r>
      <w:r w:rsidR="00886A47" w:rsidRPr="00A81E70">
        <w:rPr>
          <w:rFonts w:eastAsia="Times New Roman"/>
          <w:noProof/>
          <w:color w:val="000000" w:themeColor="text1"/>
          <w:lang w:eastAsia="en-IE"/>
        </w:rPr>
        <w:t>,</w:t>
      </w:r>
      <w:r w:rsidR="00886A47" w:rsidRPr="00886A47">
        <w:rPr>
          <w:noProof/>
        </w:rPr>
        <w:t xml:space="preserve"> in particular with regard to the permit</w:t>
      </w:r>
      <w:r w:rsidR="00B95351">
        <w:rPr>
          <w:noProof/>
        </w:rPr>
        <w:t>-</w:t>
      </w:r>
      <w:r w:rsidR="00886A47" w:rsidRPr="00886A47">
        <w:rPr>
          <w:noProof/>
        </w:rPr>
        <w:t xml:space="preserve">granting process and the consultation procedure, as well as compliance with environmental legislation, with the principle that the project does ‘no significant harm’ to the environment, </w:t>
      </w:r>
      <w:r w:rsidR="00886A47" w:rsidRPr="00A81E70">
        <w:rPr>
          <w:noProof/>
          <w:color w:val="000000" w:themeColor="text1"/>
        </w:rPr>
        <w:t>climate adaptation measures taken</w:t>
      </w:r>
      <w:r w:rsidR="00886A47" w:rsidRPr="00A81E70">
        <w:rPr>
          <w:rFonts w:eastAsia="Times New Roman"/>
          <w:noProof/>
          <w:color w:val="000000" w:themeColor="text1"/>
          <w:lang w:eastAsia="en-IE"/>
        </w:rPr>
        <w:t>, and mitigation measures taken resulting from the risks assessed as regards the project under Article 5(1)</w:t>
      </w:r>
      <w:r w:rsidR="00600B1F">
        <w:rPr>
          <w:rFonts w:eastAsia="Times New Roman"/>
          <w:noProof/>
          <w:color w:val="000000" w:themeColor="text1"/>
          <w:lang w:eastAsia="en-IE"/>
        </w:rPr>
        <w:t xml:space="preserve">, point </w:t>
      </w:r>
      <w:r w:rsidR="00886A47" w:rsidRPr="00A81E70">
        <w:rPr>
          <w:rFonts w:eastAsia="Times New Roman"/>
          <w:noProof/>
          <w:color w:val="000000" w:themeColor="text1"/>
          <w:lang w:eastAsia="en-IE"/>
        </w:rPr>
        <w:t>(</w:t>
      </w:r>
      <w:r w:rsidR="00515252" w:rsidRPr="00A81E70">
        <w:rPr>
          <w:rFonts w:eastAsia="Times New Roman"/>
          <w:noProof/>
          <w:color w:val="000000" w:themeColor="text1"/>
          <w:lang w:eastAsia="en-IE"/>
        </w:rPr>
        <w:t>a</w:t>
      </w:r>
      <w:r w:rsidR="00886A47" w:rsidRPr="00A81E70">
        <w:rPr>
          <w:rFonts w:eastAsia="Times New Roman"/>
          <w:noProof/>
          <w:color w:val="000000" w:themeColor="text1"/>
          <w:lang w:eastAsia="en-IE"/>
        </w:rPr>
        <w:t>)</w:t>
      </w:r>
      <w:r w:rsidR="005063E0">
        <w:rPr>
          <w:rFonts w:eastAsia="Times New Roman"/>
          <w:noProof/>
          <w:color w:val="000000" w:themeColor="text1"/>
          <w:lang w:eastAsia="en-IE"/>
        </w:rPr>
        <w:t>,</w:t>
      </w:r>
      <w:r w:rsidR="00886A47" w:rsidRPr="00A81E70">
        <w:rPr>
          <w:rFonts w:eastAsia="Times New Roman"/>
          <w:noProof/>
          <w:color w:val="000000" w:themeColor="text1"/>
          <w:lang w:eastAsia="en-IE"/>
        </w:rPr>
        <w:t xml:space="preserve"> where relevant and building on the requirements of </w:t>
      </w:r>
      <w:r w:rsidR="00DA4B03" w:rsidRPr="51571808">
        <w:rPr>
          <w:noProof/>
          <w:lang w:eastAsia="en-IE"/>
        </w:rPr>
        <w:t>Directive</w:t>
      </w:r>
      <w:r w:rsidR="005063E0">
        <w:rPr>
          <w:noProof/>
          <w:lang w:eastAsia="en-IE"/>
        </w:rPr>
        <w:t>s</w:t>
      </w:r>
      <w:r w:rsidR="00DA4B03" w:rsidRPr="51571808">
        <w:rPr>
          <w:noProof/>
          <w:lang w:eastAsia="en-IE"/>
        </w:rPr>
        <w:t xml:space="preserve"> (EU) 2022/2557 and (EU) 2022/2555 </w:t>
      </w:r>
      <w:r w:rsidR="005063E0">
        <w:rPr>
          <w:rFonts w:eastAsia="Times New Roman"/>
          <w:noProof/>
          <w:color w:val="000000" w:themeColor="text1"/>
          <w:lang w:eastAsia="en-IE"/>
        </w:rPr>
        <w:t xml:space="preserve"> </w:t>
      </w:r>
      <w:r w:rsidR="00886A47" w:rsidRPr="00A81E70">
        <w:rPr>
          <w:rFonts w:eastAsia="Times New Roman"/>
          <w:noProof/>
          <w:color w:val="000000" w:themeColor="text1"/>
          <w:lang w:eastAsia="en-IE"/>
        </w:rPr>
        <w:t xml:space="preserve">where applicable;   </w:t>
      </w:r>
    </w:p>
    <w:p w14:paraId="53A538EB" w14:textId="5D5D4B5F" w:rsidR="00886A47" w:rsidRPr="00185722" w:rsidRDefault="00C44DD6" w:rsidP="00C44DD6">
      <w:pPr>
        <w:pStyle w:val="Point1"/>
        <w:rPr>
          <w:noProof/>
        </w:rPr>
      </w:pPr>
      <w:r w:rsidRPr="00C44DD6">
        <w:rPr>
          <w:noProof/>
        </w:rPr>
        <w:t>(b)</w:t>
      </w:r>
      <w:r w:rsidRPr="00C44DD6">
        <w:rPr>
          <w:noProof/>
        </w:rPr>
        <w:tab/>
      </w:r>
      <w:r w:rsidR="00886A47" w:rsidRPr="00185722">
        <w:rPr>
          <w:noProof/>
        </w:rPr>
        <w:t>where relevant, delays compared to the implementation plan, the reasons for such delays and other difficulties encountered;</w:t>
      </w:r>
    </w:p>
    <w:p w14:paraId="04857AF9" w14:textId="0B2674D8" w:rsidR="00886A47" w:rsidRDefault="00C44DD6" w:rsidP="00C44DD6">
      <w:pPr>
        <w:pStyle w:val="Point1"/>
        <w:rPr>
          <w:noProof/>
        </w:rPr>
      </w:pPr>
      <w:r w:rsidRPr="00C44DD6">
        <w:rPr>
          <w:noProof/>
        </w:rPr>
        <w:t>(c)</w:t>
      </w:r>
      <w:r w:rsidRPr="00C44DD6">
        <w:rPr>
          <w:noProof/>
        </w:rPr>
        <w:tab/>
      </w:r>
      <w:r w:rsidR="00886A47" w:rsidRPr="00185722">
        <w:rPr>
          <w:noProof/>
        </w:rPr>
        <w:t xml:space="preserve">where relevant, a revised </w:t>
      </w:r>
      <w:r w:rsidR="00886A47" w:rsidRPr="00872170">
        <w:rPr>
          <w:rFonts w:eastAsia="Times New Roman"/>
          <w:noProof/>
          <w:lang w:eastAsia="en-IE"/>
        </w:rPr>
        <w:t xml:space="preserve">implementation </w:t>
      </w:r>
      <w:r w:rsidR="00886A47" w:rsidRPr="00185722">
        <w:rPr>
          <w:noProof/>
        </w:rPr>
        <w:t>plan aiming to overcome the delays.</w:t>
      </w:r>
    </w:p>
    <w:p w14:paraId="0FCB4FA4" w14:textId="600717BC" w:rsidR="00886A47" w:rsidRDefault="00C44DD6" w:rsidP="00C44DD6">
      <w:pPr>
        <w:pStyle w:val="ManualNumPar1"/>
        <w:rPr>
          <w:noProof/>
        </w:rPr>
      </w:pPr>
      <w:r w:rsidRPr="00C44DD6">
        <w:rPr>
          <w:noProof/>
        </w:rPr>
        <w:t>5.</w:t>
      </w:r>
      <w:r w:rsidRPr="00C44DD6">
        <w:rPr>
          <w:noProof/>
        </w:rPr>
        <w:tab/>
      </w:r>
      <w:r w:rsidR="00886A47" w:rsidRPr="00185722">
        <w:rPr>
          <w:noProof/>
        </w:rPr>
        <w:t xml:space="preserve">By 28 of February of each year following the </w:t>
      </w:r>
      <w:r w:rsidR="00886A47" w:rsidRPr="00185722">
        <w:rPr>
          <w:rFonts w:eastAsia="Times New Roman"/>
          <w:noProof/>
          <w:lang w:eastAsia="en-IE"/>
        </w:rPr>
        <w:t xml:space="preserve">submission </w:t>
      </w:r>
      <w:r w:rsidR="67DE8D57" w:rsidRPr="3A07E499">
        <w:rPr>
          <w:rFonts w:eastAsia="Times New Roman"/>
          <w:noProof/>
          <w:lang w:eastAsia="en-IE"/>
        </w:rPr>
        <w:t>by</w:t>
      </w:r>
      <w:r w:rsidR="67DE8D57" w:rsidRPr="5063A5D8">
        <w:rPr>
          <w:rFonts w:eastAsia="Times New Roman"/>
          <w:noProof/>
          <w:lang w:eastAsia="en-IE"/>
        </w:rPr>
        <w:t xml:space="preserve"> the </w:t>
      </w:r>
      <w:r w:rsidR="67DE8D57" w:rsidRPr="2FA84F3C">
        <w:rPr>
          <w:rFonts w:eastAsia="Times New Roman"/>
          <w:noProof/>
          <w:lang w:eastAsia="en-IE"/>
        </w:rPr>
        <w:t xml:space="preserve">project promoter </w:t>
      </w:r>
      <w:r w:rsidR="00886A47" w:rsidRPr="2FA84F3C">
        <w:rPr>
          <w:rFonts w:eastAsia="Times New Roman"/>
          <w:noProof/>
          <w:lang w:eastAsia="en-IE"/>
        </w:rPr>
        <w:t>of</w:t>
      </w:r>
      <w:r w:rsidR="00886A47" w:rsidRPr="00185722">
        <w:rPr>
          <w:noProof/>
        </w:rPr>
        <w:t xml:space="preserve"> the report referred in paragraph </w:t>
      </w:r>
      <w:r w:rsidR="00886A47" w:rsidRPr="00185722">
        <w:rPr>
          <w:rFonts w:eastAsia="Times New Roman"/>
          <w:noProof/>
          <w:lang w:eastAsia="en-IE"/>
        </w:rPr>
        <w:t>4 of</w:t>
      </w:r>
      <w:r w:rsidR="00886A47" w:rsidRPr="00185722">
        <w:rPr>
          <w:noProof/>
        </w:rPr>
        <w:t xml:space="preserve"> this Article, the competent authorities referred to in Article 8(1) shall submit to the Agency and to the relevant Group the report referred to in paragraph 4 of this Article supplemented with information on the progress and, where relevant, on delays in the implementation </w:t>
      </w:r>
      <w:r w:rsidR="00886A47" w:rsidRPr="00185722">
        <w:rPr>
          <w:rFonts w:eastAsia="Times New Roman"/>
          <w:noProof/>
          <w:lang w:eastAsia="en-IE"/>
        </w:rPr>
        <w:t>and permit</w:t>
      </w:r>
      <w:r w:rsidR="00B95351">
        <w:rPr>
          <w:rFonts w:eastAsia="Times New Roman"/>
          <w:noProof/>
          <w:lang w:eastAsia="en-IE"/>
        </w:rPr>
        <w:t>-</w:t>
      </w:r>
      <w:r w:rsidR="00886A47" w:rsidRPr="00185722">
        <w:rPr>
          <w:rFonts w:eastAsia="Times New Roman"/>
          <w:noProof/>
          <w:lang w:eastAsia="en-IE"/>
        </w:rPr>
        <w:t xml:space="preserve">granting processes </w:t>
      </w:r>
      <w:r w:rsidR="00886A47" w:rsidRPr="00185722">
        <w:rPr>
          <w:noProof/>
        </w:rPr>
        <w:t xml:space="preserve">of projects on the Union list located </w:t>
      </w:r>
      <w:r w:rsidR="00CA5E12">
        <w:rPr>
          <w:noProof/>
        </w:rPr>
        <w:t>in</w:t>
      </w:r>
      <w:r w:rsidR="00886A47" w:rsidRPr="00185722">
        <w:rPr>
          <w:noProof/>
        </w:rPr>
        <w:t xml:space="preserve"> their respective territory</w:t>
      </w:r>
      <w:r w:rsidR="00886A47" w:rsidRPr="00185722">
        <w:rPr>
          <w:rFonts w:eastAsia="Times New Roman"/>
          <w:noProof/>
          <w:lang w:eastAsia="en-IE"/>
        </w:rPr>
        <w:t>, including</w:t>
      </w:r>
      <w:r w:rsidR="00886A47" w:rsidRPr="00185722">
        <w:rPr>
          <w:noProof/>
        </w:rPr>
        <w:t xml:space="preserve"> the reasons for such delays. The contribution of competent authorities to the report shall be clearly marked and drafted without modifying the text </w:t>
      </w:r>
      <w:r w:rsidR="00886A47" w:rsidRPr="00185722">
        <w:rPr>
          <w:rFonts w:eastAsia="Times New Roman"/>
          <w:noProof/>
          <w:lang w:eastAsia="en-IE"/>
        </w:rPr>
        <w:t>of the report provided</w:t>
      </w:r>
      <w:r w:rsidR="00886A47" w:rsidRPr="00185722">
        <w:rPr>
          <w:noProof/>
        </w:rPr>
        <w:t xml:space="preserve"> by project promoters.</w:t>
      </w:r>
    </w:p>
    <w:p w14:paraId="05BB0E5D" w14:textId="4923086D" w:rsidR="00886A47" w:rsidRDefault="00C44DD6" w:rsidP="00C44DD6">
      <w:pPr>
        <w:pStyle w:val="ManualNumPar1"/>
        <w:rPr>
          <w:rFonts w:eastAsia="Times New Roman"/>
          <w:noProof/>
          <w:lang w:eastAsia="en-IE"/>
        </w:rPr>
      </w:pPr>
      <w:r w:rsidRPr="00C44DD6">
        <w:rPr>
          <w:noProof/>
        </w:rPr>
        <w:t>6.</w:t>
      </w:r>
      <w:r w:rsidRPr="00C44DD6">
        <w:rPr>
          <w:noProof/>
        </w:rPr>
        <w:tab/>
      </w:r>
      <w:r w:rsidR="00886A47" w:rsidRPr="00185722">
        <w:rPr>
          <w:noProof/>
        </w:rPr>
        <w:t xml:space="preserve">By 30 April of each year in which a new Union list should be adopted, the Agency shall submit to the Groups a consolidated report for the projects on the Union list that are subject to the competence of national regulatory authorities, evaluating the progress achieved and expected changes in project costs, and, where appropriate, make </w:t>
      </w:r>
      <w:r w:rsidR="00886A47" w:rsidRPr="00185722">
        <w:rPr>
          <w:rFonts w:eastAsia="Times New Roman"/>
          <w:noProof/>
          <w:lang w:eastAsia="en-IE"/>
        </w:rPr>
        <w:t>recommendations</w:t>
      </w:r>
      <w:r w:rsidR="00886A47" w:rsidRPr="00185722">
        <w:rPr>
          <w:noProof/>
        </w:rPr>
        <w:t xml:space="preserve"> on how to overcome the delays and difficulties encountered. That consolidated report shall also </w:t>
      </w:r>
      <w:r w:rsidR="00886A47" w:rsidRPr="00185722">
        <w:rPr>
          <w:rFonts w:eastAsia="Times New Roman"/>
          <w:noProof/>
          <w:lang w:eastAsia="en-IE"/>
        </w:rPr>
        <w:t>evaluate</w:t>
      </w:r>
      <w:r w:rsidR="00886A47" w:rsidRPr="00185722">
        <w:rPr>
          <w:rFonts w:eastAsia="Times New Roman"/>
          <w:noProof/>
          <w:color w:val="000000" w:themeColor="text1"/>
          <w:lang w:eastAsia="en-IE"/>
        </w:rPr>
        <w:t xml:space="preserve"> the </w:t>
      </w:r>
      <w:r w:rsidR="20AB4E27" w:rsidRPr="62C3BB85">
        <w:rPr>
          <w:rFonts w:eastAsia="Times New Roman"/>
          <w:noProof/>
          <w:color w:val="000000" w:themeColor="text1"/>
          <w:lang w:eastAsia="en-IE"/>
        </w:rPr>
        <w:t>implementation of</w:t>
      </w:r>
      <w:r w:rsidR="20AB4E27" w:rsidRPr="23D34D96">
        <w:rPr>
          <w:rFonts w:eastAsia="Times New Roman"/>
          <w:noProof/>
          <w:color w:val="000000" w:themeColor="text1"/>
          <w:lang w:eastAsia="en-IE"/>
        </w:rPr>
        <w:t xml:space="preserve"> </w:t>
      </w:r>
      <w:r w:rsidR="00886A47" w:rsidRPr="62C3BB85">
        <w:rPr>
          <w:rFonts w:eastAsia="Times New Roman"/>
          <w:noProof/>
          <w:color w:val="000000" w:themeColor="text1"/>
          <w:lang w:eastAsia="en-IE"/>
        </w:rPr>
        <w:t>Article</w:t>
      </w:r>
      <w:r w:rsidR="00886A47" w:rsidRPr="00185722">
        <w:rPr>
          <w:rFonts w:eastAsia="Times New Roman"/>
          <w:noProof/>
          <w:color w:val="000000" w:themeColor="text1"/>
          <w:lang w:eastAsia="en-IE"/>
        </w:rPr>
        <w:t xml:space="preserve"> 3(6) and (7) as regards projects of common interest and projects of mutual interest.</w:t>
      </w:r>
      <w:r w:rsidR="00886A47" w:rsidRPr="00185722">
        <w:rPr>
          <w:rFonts w:eastAsia="Times New Roman"/>
          <w:noProof/>
          <w:lang w:eastAsia="en-IE"/>
        </w:rPr>
        <w:t xml:space="preserve"> </w:t>
      </w:r>
    </w:p>
    <w:p w14:paraId="7422B9B5" w14:textId="77777777" w:rsidR="00886A47" w:rsidRPr="00185722" w:rsidRDefault="00886A47" w:rsidP="005F7DB1">
      <w:pPr>
        <w:pStyle w:val="Text1"/>
        <w:rPr>
          <w:noProof/>
        </w:rPr>
      </w:pPr>
      <w:r w:rsidRPr="00185722">
        <w:rPr>
          <w:noProof/>
        </w:rPr>
        <w:t xml:space="preserve">In duly justified cases, the Agency may request additional information </w:t>
      </w:r>
      <w:r w:rsidR="004752AD">
        <w:rPr>
          <w:noProof/>
        </w:rPr>
        <w:t>from competent authorities</w:t>
      </w:r>
      <w:r w:rsidRPr="00185722">
        <w:rPr>
          <w:noProof/>
        </w:rPr>
        <w:t xml:space="preserve"> necessary for carrying out its tasks set out in this paragraph.</w:t>
      </w:r>
    </w:p>
    <w:p w14:paraId="733B503C" w14:textId="5ACB6D0A" w:rsidR="00886A47" w:rsidRDefault="00C44DD6" w:rsidP="00C44DD6">
      <w:pPr>
        <w:pStyle w:val="ManualNumPar1"/>
        <w:rPr>
          <w:noProof/>
        </w:rPr>
      </w:pPr>
      <w:r w:rsidRPr="00C44DD6">
        <w:rPr>
          <w:noProof/>
        </w:rPr>
        <w:t>7.</w:t>
      </w:r>
      <w:r w:rsidRPr="00C44DD6">
        <w:rPr>
          <w:noProof/>
        </w:rPr>
        <w:tab/>
      </w:r>
      <w:r w:rsidR="00886A47" w:rsidRPr="00185722">
        <w:rPr>
          <w:noProof/>
        </w:rPr>
        <w:t>Where the commissioning of a project on the Union list is delayed when compared to the implementation plan, other than for overriding reasons beyond the control of the project promoter, the following measures shall apply:</w:t>
      </w:r>
    </w:p>
    <w:p w14:paraId="4581F4D3" w14:textId="27253E15" w:rsidR="00886A47" w:rsidRPr="00185722" w:rsidRDefault="00C44DD6" w:rsidP="00C44DD6">
      <w:pPr>
        <w:pStyle w:val="Point1"/>
        <w:rPr>
          <w:noProof/>
        </w:rPr>
      </w:pPr>
      <w:r w:rsidRPr="00C44DD6">
        <w:rPr>
          <w:noProof/>
        </w:rPr>
        <w:t>(a)</w:t>
      </w:r>
      <w:r w:rsidRPr="00C44DD6">
        <w:rPr>
          <w:noProof/>
        </w:rPr>
        <w:tab/>
      </w:r>
      <w:r w:rsidR="00886A47" w:rsidRPr="00185722">
        <w:rPr>
          <w:noProof/>
        </w:rPr>
        <w:t xml:space="preserve">in so far as measures referred to in Article </w:t>
      </w:r>
      <w:r w:rsidR="62516DDE">
        <w:rPr>
          <w:noProof/>
        </w:rPr>
        <w:t>55</w:t>
      </w:r>
      <w:r w:rsidR="00886A47" w:rsidRPr="00185722">
        <w:rPr>
          <w:noProof/>
        </w:rPr>
        <w:t>(7), point</w:t>
      </w:r>
      <w:r w:rsidR="00E36AB8">
        <w:rPr>
          <w:noProof/>
        </w:rPr>
        <w:t>s</w:t>
      </w:r>
      <w:r w:rsidR="00886A47" w:rsidRPr="00185722">
        <w:rPr>
          <w:noProof/>
        </w:rPr>
        <w:t xml:space="preserve"> (a), (b) or (c)</w:t>
      </w:r>
      <w:r w:rsidR="00E36AB8">
        <w:rPr>
          <w:noProof/>
        </w:rPr>
        <w:t>,</w:t>
      </w:r>
      <w:r w:rsidR="00886A47" w:rsidRPr="00185722">
        <w:rPr>
          <w:noProof/>
        </w:rPr>
        <w:t xml:space="preserve"> of </w:t>
      </w:r>
      <w:r w:rsidR="00886A47" w:rsidRPr="00665AA9">
        <w:rPr>
          <w:noProof/>
        </w:rPr>
        <w:t>Directive</w:t>
      </w:r>
      <w:r w:rsidR="00665AA9" w:rsidRPr="00665AA9">
        <w:rPr>
          <w:noProof/>
        </w:rPr>
        <w:t xml:space="preserve"> (EU)</w:t>
      </w:r>
      <w:r w:rsidR="00886A47" w:rsidRPr="00665AA9">
        <w:rPr>
          <w:noProof/>
        </w:rPr>
        <w:t xml:space="preserve"> 20</w:t>
      </w:r>
      <w:r w:rsidR="7D33C4C5" w:rsidRPr="00665AA9">
        <w:rPr>
          <w:noProof/>
        </w:rPr>
        <w:t>24/1788</w:t>
      </w:r>
      <w:r w:rsidR="00886A47" w:rsidRPr="00665AA9">
        <w:rPr>
          <w:noProof/>
        </w:rPr>
        <w:t xml:space="preserve"> and</w:t>
      </w:r>
      <w:r w:rsidR="00886A47" w:rsidRPr="00185722">
        <w:rPr>
          <w:noProof/>
        </w:rPr>
        <w:t xml:space="preserve"> Article 51(7), point</w:t>
      </w:r>
      <w:r w:rsidR="00F374E7">
        <w:rPr>
          <w:noProof/>
        </w:rPr>
        <w:t>s</w:t>
      </w:r>
      <w:r w:rsidR="00886A47" w:rsidRPr="00185722">
        <w:rPr>
          <w:noProof/>
        </w:rPr>
        <w:t xml:space="preserve"> (a), (b) or (c)</w:t>
      </w:r>
      <w:r w:rsidR="00F374E7">
        <w:rPr>
          <w:noProof/>
        </w:rPr>
        <w:t>,</w:t>
      </w:r>
      <w:r w:rsidR="00886A47" w:rsidRPr="00185722">
        <w:rPr>
          <w:noProof/>
        </w:rPr>
        <w:t xml:space="preserve"> of Directive (EU) 2019/944 are applicable in accordance with respective national law, national regulatory authorities shall ensure that the investment is carried </w:t>
      </w:r>
      <w:r w:rsidR="00886A47" w:rsidRPr="007F4F6D">
        <w:rPr>
          <w:noProof/>
        </w:rPr>
        <w:t>out;</w:t>
      </w:r>
    </w:p>
    <w:p w14:paraId="259A1334" w14:textId="07D23AC5" w:rsidR="00886A47" w:rsidRPr="00185722" w:rsidRDefault="00C44DD6" w:rsidP="00C44DD6">
      <w:pPr>
        <w:pStyle w:val="Point1"/>
        <w:rPr>
          <w:noProof/>
        </w:rPr>
      </w:pPr>
      <w:r w:rsidRPr="00C44DD6">
        <w:rPr>
          <w:noProof/>
        </w:rPr>
        <w:t>(b)</w:t>
      </w:r>
      <w:r w:rsidRPr="00C44DD6">
        <w:rPr>
          <w:noProof/>
        </w:rPr>
        <w:tab/>
      </w:r>
      <w:r w:rsidR="3A60EDD7">
        <w:rPr>
          <w:noProof/>
        </w:rPr>
        <w:t>where</w:t>
      </w:r>
      <w:r w:rsidR="00886A47" w:rsidRPr="00185722">
        <w:rPr>
          <w:noProof/>
        </w:rPr>
        <w:t xml:space="preserve"> the measures of national regulatory authorities pursuant to point (a) </w:t>
      </w:r>
      <w:r w:rsidR="17DB66A1">
        <w:rPr>
          <w:noProof/>
        </w:rPr>
        <w:t xml:space="preserve">of this paragraph </w:t>
      </w:r>
      <w:r w:rsidR="00886A47" w:rsidRPr="00185722">
        <w:rPr>
          <w:noProof/>
        </w:rPr>
        <w:t xml:space="preserve">are not applicable, the project promoter shall, within </w:t>
      </w:r>
      <w:bookmarkStart w:id="10" w:name="_Hlk204607849"/>
      <w:r w:rsidR="00886A47" w:rsidRPr="00185722">
        <w:rPr>
          <w:rFonts w:eastAsia="Times New Roman"/>
          <w:noProof/>
          <w:lang w:eastAsia="en-IE"/>
        </w:rPr>
        <w:t>12</w:t>
      </w:r>
      <w:r w:rsidR="00886A47" w:rsidRPr="00185722">
        <w:rPr>
          <w:noProof/>
        </w:rPr>
        <w:t xml:space="preserve"> months of the date of commissioning set out in the implementation plan, </w:t>
      </w:r>
      <w:bookmarkEnd w:id="10"/>
      <w:r w:rsidR="00886A47" w:rsidRPr="00185722">
        <w:rPr>
          <w:noProof/>
        </w:rPr>
        <w:t>choose a third party to finance or construct all or part of the project;</w:t>
      </w:r>
    </w:p>
    <w:p w14:paraId="22DF6F7C" w14:textId="3A632013" w:rsidR="00886A47" w:rsidRPr="00185722" w:rsidRDefault="00C44DD6" w:rsidP="00C44DD6">
      <w:pPr>
        <w:pStyle w:val="Point1"/>
        <w:rPr>
          <w:noProof/>
        </w:rPr>
      </w:pPr>
      <w:r w:rsidRPr="00C44DD6">
        <w:rPr>
          <w:noProof/>
        </w:rPr>
        <w:t>(c)</w:t>
      </w:r>
      <w:r w:rsidRPr="00C44DD6">
        <w:rPr>
          <w:noProof/>
        </w:rPr>
        <w:tab/>
      </w:r>
      <w:r w:rsidR="5DA27778">
        <w:rPr>
          <w:noProof/>
        </w:rPr>
        <w:t>where</w:t>
      </w:r>
      <w:r w:rsidR="00886A47" w:rsidRPr="00185722">
        <w:rPr>
          <w:noProof/>
        </w:rPr>
        <w:t xml:space="preserve"> a third party is not chosen in accordance with point (b), the Member State or, </w:t>
      </w:r>
      <w:r w:rsidR="009E6975" w:rsidRPr="00185722">
        <w:rPr>
          <w:noProof/>
        </w:rPr>
        <w:t>whe</w:t>
      </w:r>
      <w:r w:rsidR="009E6975">
        <w:rPr>
          <w:noProof/>
        </w:rPr>
        <w:t>re</w:t>
      </w:r>
      <w:r w:rsidR="009E6975" w:rsidRPr="00185722">
        <w:rPr>
          <w:noProof/>
        </w:rPr>
        <w:t xml:space="preserve"> </w:t>
      </w:r>
      <w:r w:rsidR="00886A47" w:rsidRPr="00185722">
        <w:rPr>
          <w:noProof/>
        </w:rPr>
        <w:t>the Member State has so provided, the national regulatory authority may, within two months of the expiry of the period referred to in point (b), designate a third party to finance or construct the project which the project promoter shall accept;</w:t>
      </w:r>
    </w:p>
    <w:p w14:paraId="70C4A75C" w14:textId="2B5D6E74" w:rsidR="00886A47" w:rsidRPr="00185722" w:rsidRDefault="00C44DD6" w:rsidP="00C44DD6">
      <w:pPr>
        <w:pStyle w:val="Point1"/>
        <w:rPr>
          <w:noProof/>
        </w:rPr>
      </w:pPr>
      <w:r w:rsidRPr="00C44DD6">
        <w:rPr>
          <w:noProof/>
        </w:rPr>
        <w:t>(d)</w:t>
      </w:r>
      <w:r w:rsidRPr="00C44DD6">
        <w:rPr>
          <w:noProof/>
        </w:rPr>
        <w:tab/>
      </w:r>
      <w:r w:rsidR="00886A47" w:rsidRPr="00185722">
        <w:rPr>
          <w:noProof/>
        </w:rPr>
        <w:t xml:space="preserve">where the delay compared to the date of commissioning in the implementation plan exceeds </w:t>
      </w:r>
      <w:r w:rsidR="00995CB6">
        <w:rPr>
          <w:rFonts w:eastAsia="Times New Roman"/>
          <w:noProof/>
          <w:color w:val="000000" w:themeColor="text1"/>
          <w:lang w:eastAsia="en-IE"/>
        </w:rPr>
        <w:t>2</w:t>
      </w:r>
      <w:r w:rsidR="001F74F6">
        <w:rPr>
          <w:rFonts w:eastAsia="Times New Roman"/>
          <w:noProof/>
          <w:color w:val="000000" w:themeColor="text1"/>
          <w:lang w:eastAsia="en-IE"/>
        </w:rPr>
        <w:t>6</w:t>
      </w:r>
      <w:r w:rsidR="00886A47" w:rsidRPr="00185722">
        <w:rPr>
          <w:noProof/>
          <w:color w:val="000000" w:themeColor="text1"/>
        </w:rPr>
        <w:t xml:space="preserve"> </w:t>
      </w:r>
      <w:r w:rsidR="00886A47" w:rsidRPr="00185722">
        <w:rPr>
          <w:noProof/>
        </w:rPr>
        <w:t>months, the Commission, subject to the agreement and with the full cooperation of the Member States concerned, may launch a call for proposals open to any third party capable of becoming a project promoter to build the project in accordance with an agreed timetable;</w:t>
      </w:r>
    </w:p>
    <w:p w14:paraId="435560EB" w14:textId="571A69E6" w:rsidR="00886A47" w:rsidRPr="00185722" w:rsidRDefault="00C44DD6" w:rsidP="00C44DD6">
      <w:pPr>
        <w:pStyle w:val="Point1"/>
        <w:rPr>
          <w:noProof/>
        </w:rPr>
      </w:pPr>
      <w:r w:rsidRPr="00C44DD6">
        <w:rPr>
          <w:noProof/>
        </w:rPr>
        <w:t>(e)</w:t>
      </w:r>
      <w:r w:rsidRPr="00C44DD6">
        <w:rPr>
          <w:noProof/>
        </w:rPr>
        <w:tab/>
      </w:r>
      <w:r w:rsidR="00886A47" w:rsidRPr="00185722">
        <w:rPr>
          <w:noProof/>
        </w:rPr>
        <w:t>where measures referred to in point (c) or (d) are applied, the system operator in whose area the investment is located shall</w:t>
      </w:r>
      <w:r w:rsidR="00264699">
        <w:rPr>
          <w:noProof/>
        </w:rPr>
        <w:t>:</w:t>
      </w:r>
      <w:r w:rsidR="00886A47" w:rsidRPr="00185722">
        <w:rPr>
          <w:noProof/>
        </w:rPr>
        <w:t xml:space="preserve"> provide the implementing operators or investors or third party with all the information </w:t>
      </w:r>
      <w:r w:rsidR="00662D96">
        <w:rPr>
          <w:noProof/>
        </w:rPr>
        <w:t>required</w:t>
      </w:r>
      <w:r w:rsidR="00886A47" w:rsidRPr="00185722">
        <w:rPr>
          <w:noProof/>
        </w:rPr>
        <w:t xml:space="preserve"> to realise the investment</w:t>
      </w:r>
      <w:r w:rsidR="0094091B">
        <w:rPr>
          <w:noProof/>
        </w:rPr>
        <w:t>;</w:t>
      </w:r>
      <w:r w:rsidR="00886A47" w:rsidRPr="00185722">
        <w:rPr>
          <w:noProof/>
        </w:rPr>
        <w:t xml:space="preserve"> connect new assets to the transmission network</w:t>
      </w:r>
      <w:r w:rsidR="0094091B">
        <w:rPr>
          <w:noProof/>
        </w:rPr>
        <w:t>;</w:t>
      </w:r>
      <w:r w:rsidR="00886A47" w:rsidRPr="00185722">
        <w:rPr>
          <w:noProof/>
        </w:rPr>
        <w:t xml:space="preserve"> or, where applicable, the distribution network and shall generally make its best efforts to facilitate the implementation of the investment and the secure, reliable and efficient operation and maintenance of the project on the Union list.</w:t>
      </w:r>
    </w:p>
    <w:p w14:paraId="3D73F1CF" w14:textId="6EDAB338" w:rsidR="00886A47" w:rsidRDefault="00C44DD6" w:rsidP="00C44DD6">
      <w:pPr>
        <w:pStyle w:val="ManualNumPar1"/>
        <w:rPr>
          <w:noProof/>
        </w:rPr>
      </w:pPr>
      <w:r w:rsidRPr="00C44DD6">
        <w:rPr>
          <w:noProof/>
        </w:rPr>
        <w:t>8.</w:t>
      </w:r>
      <w:r w:rsidRPr="00C44DD6">
        <w:rPr>
          <w:noProof/>
        </w:rPr>
        <w:tab/>
      </w:r>
      <w:r w:rsidR="00886A47" w:rsidRPr="00185722">
        <w:rPr>
          <w:noProof/>
        </w:rPr>
        <w:t>A project on the Union list may be removed from the Union list in accordance with the procedure set out in Article 3(4) if its inclusion in that list was based on incorrect information which was a determining factor for that inclusion, or the project does not comply with Union law.</w:t>
      </w:r>
    </w:p>
    <w:p w14:paraId="24107542" w14:textId="310D8601" w:rsidR="00886A47" w:rsidRPr="00185722" w:rsidRDefault="00C44DD6" w:rsidP="00C44DD6">
      <w:pPr>
        <w:pStyle w:val="ManualNumPar1"/>
        <w:rPr>
          <w:noProof/>
        </w:rPr>
      </w:pPr>
      <w:r w:rsidRPr="00C44DD6">
        <w:rPr>
          <w:noProof/>
        </w:rPr>
        <w:t>9.</w:t>
      </w:r>
      <w:r w:rsidRPr="00C44DD6">
        <w:rPr>
          <w:noProof/>
        </w:rPr>
        <w:tab/>
      </w:r>
      <w:r w:rsidR="00886A47" w:rsidRPr="00185722">
        <w:rPr>
          <w:noProof/>
        </w:rPr>
        <w:t xml:space="preserve">Projects which are no longer on the Union list </w:t>
      </w:r>
      <w:r w:rsidR="00886A47" w:rsidRPr="007B72FE">
        <w:rPr>
          <w:noProof/>
        </w:rPr>
        <w:t>shall lose all rights and obligations linked to</w:t>
      </w:r>
      <w:r w:rsidR="00886A47" w:rsidRPr="00185722">
        <w:rPr>
          <w:noProof/>
        </w:rPr>
        <w:t xml:space="preserve"> the status of project of common interest or project of mutual interest provided for in this Regulation.</w:t>
      </w:r>
    </w:p>
    <w:p w14:paraId="266F1D66" w14:textId="77777777" w:rsidR="00886A47" w:rsidRDefault="00886A47" w:rsidP="006677B2">
      <w:pPr>
        <w:pStyle w:val="Text1"/>
        <w:rPr>
          <w:noProof/>
        </w:rPr>
      </w:pPr>
      <w:r w:rsidRPr="00185722">
        <w:rPr>
          <w:noProof/>
        </w:rPr>
        <w:t>However, a project which is no longer on the Union list but for which an application file has been accepted for examination by the competent authority shall maintain the rights and obligations laid down in Chapter III, except where the project has been removed from the Union list for the reasons set out in paragraph 8 of this Article.</w:t>
      </w:r>
    </w:p>
    <w:p w14:paraId="0FC7A348" w14:textId="3F04AA7E" w:rsidR="00886A47" w:rsidRDefault="00C44DD6" w:rsidP="00C44DD6">
      <w:pPr>
        <w:pStyle w:val="ManualNumPar1"/>
        <w:rPr>
          <w:noProof/>
        </w:rPr>
      </w:pPr>
      <w:r w:rsidRPr="00C44DD6">
        <w:rPr>
          <w:noProof/>
        </w:rPr>
        <w:t>10.</w:t>
      </w:r>
      <w:r w:rsidRPr="00C44DD6">
        <w:rPr>
          <w:noProof/>
        </w:rPr>
        <w:tab/>
      </w:r>
      <w:r w:rsidR="00886A47" w:rsidRPr="00185722">
        <w:rPr>
          <w:noProof/>
        </w:rPr>
        <w:t>This Article shall be without prejudice to any Union financial assistance granted to any project on the Union list prior to its removal from the Union list.</w:t>
      </w:r>
    </w:p>
    <w:p w14:paraId="78CFB0BC" w14:textId="77777777" w:rsidR="00886A47" w:rsidRPr="00185722" w:rsidRDefault="00886A47" w:rsidP="00886A47">
      <w:pPr>
        <w:pStyle w:val="Titrearticle"/>
        <w:rPr>
          <w:noProof/>
        </w:rPr>
      </w:pPr>
      <w:r w:rsidRPr="00185722">
        <w:rPr>
          <w:noProof/>
          <w:lang w:eastAsia="en-IE"/>
        </w:rPr>
        <w:t>Article 6</w:t>
      </w:r>
      <w:bookmarkStart w:id="11" w:name="bookmark33"/>
      <w:bookmarkEnd w:id="11"/>
    </w:p>
    <w:p w14:paraId="52BC033F" w14:textId="77777777" w:rsidR="00886A47" w:rsidRPr="00886A47" w:rsidRDefault="00886A47" w:rsidP="00886A47">
      <w:pPr>
        <w:pStyle w:val="Titrearticle"/>
        <w:rPr>
          <w:b/>
          <w:bCs/>
          <w:noProof/>
        </w:rPr>
      </w:pPr>
      <w:r w:rsidRPr="00886A47">
        <w:rPr>
          <w:b/>
          <w:bCs/>
          <w:noProof/>
        </w:rPr>
        <w:t>European coordinators</w:t>
      </w:r>
    </w:p>
    <w:p w14:paraId="11D577E8" w14:textId="3E46D921" w:rsidR="00886A47" w:rsidRPr="00185722" w:rsidRDefault="00C44DD6" w:rsidP="00C44DD6">
      <w:pPr>
        <w:pStyle w:val="ManualNumPar1"/>
        <w:rPr>
          <w:noProof/>
        </w:rPr>
      </w:pPr>
      <w:r w:rsidRPr="00C44DD6">
        <w:rPr>
          <w:noProof/>
        </w:rPr>
        <w:t>1.</w:t>
      </w:r>
      <w:r w:rsidRPr="00C44DD6">
        <w:rPr>
          <w:noProof/>
        </w:rPr>
        <w:tab/>
      </w:r>
      <w:r w:rsidR="00886A47" w:rsidRPr="00185722">
        <w:rPr>
          <w:noProof/>
        </w:rPr>
        <w:t>Where a project of common interest</w:t>
      </w:r>
      <w:r w:rsidR="00037801">
        <w:rPr>
          <w:noProof/>
        </w:rPr>
        <w:t xml:space="preserve"> or a project of mutual interest</w:t>
      </w:r>
      <w:r w:rsidR="00886A47" w:rsidRPr="00185722">
        <w:rPr>
          <w:noProof/>
        </w:rPr>
        <w:t xml:space="preserve"> encounters significant </w:t>
      </w:r>
      <w:r w:rsidR="00886A47" w:rsidRPr="00A81E70">
        <w:rPr>
          <w:rFonts w:eastAsia="Times New Roman"/>
          <w:noProof/>
          <w:lang w:eastAsia="en-IE"/>
        </w:rPr>
        <w:t>implementation</w:t>
      </w:r>
      <w:r w:rsidR="00886A47" w:rsidRPr="00185722">
        <w:rPr>
          <w:noProof/>
        </w:rPr>
        <w:t xml:space="preserve"> difficulties, the Commission may designate, in agreement with the Member States concerned, a European coordinator for a period of up to one year, </w:t>
      </w:r>
      <w:r w:rsidR="007315AF">
        <w:rPr>
          <w:rFonts w:eastAsia="Times New Roman"/>
          <w:noProof/>
          <w:lang w:eastAsia="en-IE"/>
        </w:rPr>
        <w:t>renewable twice</w:t>
      </w:r>
      <w:r w:rsidR="00886A47" w:rsidRPr="00185722">
        <w:rPr>
          <w:noProof/>
        </w:rPr>
        <w:t>.</w:t>
      </w:r>
    </w:p>
    <w:p w14:paraId="4565C7F6" w14:textId="56EC31FF" w:rsidR="00886A47" w:rsidRPr="00185722" w:rsidRDefault="00C44DD6" w:rsidP="00C44DD6">
      <w:pPr>
        <w:pStyle w:val="ManualNumPar1"/>
        <w:rPr>
          <w:noProof/>
        </w:rPr>
      </w:pPr>
      <w:r w:rsidRPr="00C44DD6">
        <w:rPr>
          <w:noProof/>
        </w:rPr>
        <w:t>2.</w:t>
      </w:r>
      <w:r w:rsidRPr="00C44DD6">
        <w:rPr>
          <w:noProof/>
        </w:rPr>
        <w:tab/>
      </w:r>
      <w:r w:rsidR="00886A47" w:rsidRPr="00886A47">
        <w:rPr>
          <w:rFonts w:eastAsia="Times New Roman"/>
          <w:noProof/>
          <w:lang w:eastAsia="en-IE"/>
        </w:rPr>
        <w:t> </w:t>
      </w:r>
      <w:r w:rsidR="00886A47" w:rsidRPr="00185722">
        <w:rPr>
          <w:noProof/>
        </w:rPr>
        <w:t>The European coordinator shall:</w:t>
      </w:r>
    </w:p>
    <w:p w14:paraId="6CB5098C" w14:textId="6D32F4F4" w:rsidR="00886A47" w:rsidRDefault="00C44DD6" w:rsidP="00C44DD6">
      <w:pPr>
        <w:pStyle w:val="Point1"/>
        <w:rPr>
          <w:noProof/>
        </w:rPr>
      </w:pPr>
      <w:r w:rsidRPr="00C44DD6">
        <w:rPr>
          <w:noProof/>
        </w:rPr>
        <w:t>(a)</w:t>
      </w:r>
      <w:r w:rsidRPr="00C44DD6">
        <w:rPr>
          <w:noProof/>
        </w:rPr>
        <w:tab/>
      </w:r>
      <w:r w:rsidR="00886A47">
        <w:rPr>
          <w:noProof/>
        </w:rPr>
        <w:t xml:space="preserve">promote the projects, for which </w:t>
      </w:r>
      <w:r w:rsidR="00EB39A7">
        <w:rPr>
          <w:noProof/>
        </w:rPr>
        <w:t>they have</w:t>
      </w:r>
      <w:r w:rsidR="00886A47">
        <w:rPr>
          <w:noProof/>
        </w:rPr>
        <w:t xml:space="preserve"> been designated as a European coordinator</w:t>
      </w:r>
      <w:r w:rsidR="001010BE">
        <w:rPr>
          <w:noProof/>
        </w:rPr>
        <w:t>,</w:t>
      </w:r>
      <w:r w:rsidR="00886A47">
        <w:rPr>
          <w:noProof/>
        </w:rPr>
        <w:t xml:space="preserve"> and the cross-border dialogue between the project promoters and all stakeholders concerned;</w:t>
      </w:r>
    </w:p>
    <w:p w14:paraId="783C3040" w14:textId="53E0ABFD" w:rsidR="00886A47" w:rsidRDefault="00C44DD6" w:rsidP="00C44DD6">
      <w:pPr>
        <w:pStyle w:val="Point1"/>
        <w:rPr>
          <w:noProof/>
        </w:rPr>
      </w:pPr>
      <w:r w:rsidRPr="00C44DD6">
        <w:rPr>
          <w:noProof/>
        </w:rPr>
        <w:t>(b)</w:t>
      </w:r>
      <w:r w:rsidRPr="00C44DD6">
        <w:rPr>
          <w:noProof/>
        </w:rPr>
        <w:tab/>
      </w:r>
      <w:r w:rsidR="00886A47">
        <w:rPr>
          <w:noProof/>
        </w:rPr>
        <w:t xml:space="preserve">assist </w:t>
      </w:r>
      <w:r w:rsidR="007E044A">
        <w:rPr>
          <w:noProof/>
        </w:rPr>
        <w:t xml:space="preserve">and coordinate </w:t>
      </w:r>
      <w:r w:rsidR="00886A47">
        <w:rPr>
          <w:noProof/>
        </w:rPr>
        <w:t>all parties as necessary in consulting the stakeholders concerned, discussing alternative routing, where appropriate, and obtaining necessary permits for the projects;</w:t>
      </w:r>
    </w:p>
    <w:p w14:paraId="3813F2C6" w14:textId="1E3434F7" w:rsidR="00886A47" w:rsidRDefault="00C44DD6" w:rsidP="00C44DD6">
      <w:pPr>
        <w:pStyle w:val="Point1"/>
        <w:rPr>
          <w:noProof/>
        </w:rPr>
      </w:pPr>
      <w:r w:rsidRPr="00C44DD6">
        <w:rPr>
          <w:noProof/>
        </w:rPr>
        <w:t>(c)</w:t>
      </w:r>
      <w:r w:rsidRPr="00C44DD6">
        <w:rPr>
          <w:noProof/>
        </w:rPr>
        <w:tab/>
      </w:r>
      <w:r w:rsidR="00886A47">
        <w:rPr>
          <w:noProof/>
        </w:rPr>
        <w:t>where appropriate, advise project promoters on the financing of the project;</w:t>
      </w:r>
    </w:p>
    <w:p w14:paraId="70556294" w14:textId="5F215E86" w:rsidR="00886A47" w:rsidRDefault="00C44DD6" w:rsidP="00C44DD6">
      <w:pPr>
        <w:pStyle w:val="Point1"/>
        <w:rPr>
          <w:noProof/>
        </w:rPr>
      </w:pPr>
      <w:r w:rsidRPr="00C44DD6">
        <w:rPr>
          <w:noProof/>
        </w:rPr>
        <w:t>(d)</w:t>
      </w:r>
      <w:r w:rsidRPr="00C44DD6">
        <w:rPr>
          <w:noProof/>
        </w:rPr>
        <w:tab/>
      </w:r>
      <w:r w:rsidR="00886A47">
        <w:rPr>
          <w:noProof/>
        </w:rPr>
        <w:t>ensure that appropriate support and strategic direction by the Member States concerned are provided for the preparation and implementation of the projects;</w:t>
      </w:r>
    </w:p>
    <w:p w14:paraId="16B3C101" w14:textId="2BC92872" w:rsidR="00886A47" w:rsidRPr="00886A47" w:rsidRDefault="00C44DD6" w:rsidP="00C44DD6">
      <w:pPr>
        <w:pStyle w:val="Point1"/>
        <w:rPr>
          <w:noProof/>
        </w:rPr>
      </w:pPr>
      <w:r w:rsidRPr="00C44DD6">
        <w:rPr>
          <w:noProof/>
        </w:rPr>
        <w:t>(e)</w:t>
      </w:r>
      <w:r w:rsidRPr="00C44DD6">
        <w:rPr>
          <w:noProof/>
        </w:rPr>
        <w:tab/>
      </w:r>
      <w:r w:rsidR="00DE6EA3">
        <w:rPr>
          <w:noProof/>
        </w:rPr>
        <w:t>s</w:t>
      </w:r>
      <w:r w:rsidR="00686D7A">
        <w:rPr>
          <w:noProof/>
        </w:rPr>
        <w:t xml:space="preserve">tarting from </w:t>
      </w:r>
      <w:r w:rsidR="00CF7046">
        <w:rPr>
          <w:noProof/>
        </w:rPr>
        <w:t>the date of their designation</w:t>
      </w:r>
      <w:r w:rsidR="00DE6EA3">
        <w:rPr>
          <w:noProof/>
        </w:rPr>
        <w:t xml:space="preserve"> </w:t>
      </w:r>
      <w:r w:rsidR="00886A47">
        <w:rPr>
          <w:noProof/>
        </w:rPr>
        <w:t>submit every year, and, where appropriate, upon completion of their mandate, a report to the Commission on the progress of the projects and on any difficulties and obstacles which are likely to significantly delay the commissioning date of the projects</w:t>
      </w:r>
      <w:r w:rsidR="000979D4">
        <w:rPr>
          <w:noProof/>
        </w:rPr>
        <w:t>; w</w:t>
      </w:r>
      <w:r w:rsidR="000979D4" w:rsidRPr="000979D4">
        <w:rPr>
          <w:noProof/>
        </w:rPr>
        <w:t>here appropriate, the report shall make recommendations to overcome obstacles and difficulties</w:t>
      </w:r>
      <w:r w:rsidR="00886A47">
        <w:rPr>
          <w:noProof/>
        </w:rPr>
        <w:t>.</w:t>
      </w:r>
    </w:p>
    <w:p w14:paraId="08FFF2F2" w14:textId="77777777" w:rsidR="00AA41D2" w:rsidRDefault="00AA41D2" w:rsidP="005F7DB1">
      <w:pPr>
        <w:pStyle w:val="Text1"/>
        <w:rPr>
          <w:noProof/>
        </w:rPr>
      </w:pPr>
      <w:r w:rsidRPr="00185722">
        <w:rPr>
          <w:noProof/>
        </w:rPr>
        <w:t xml:space="preserve">The Commission shall transmit the report of the European coordinator referred to in point (e) </w:t>
      </w:r>
      <w:r w:rsidR="00F64663">
        <w:rPr>
          <w:noProof/>
        </w:rPr>
        <w:t>of the first subparagraph</w:t>
      </w:r>
      <w:r w:rsidRPr="00185722">
        <w:rPr>
          <w:noProof/>
        </w:rPr>
        <w:t xml:space="preserve"> to the European Parliament and the Groups concerned.</w:t>
      </w:r>
    </w:p>
    <w:p w14:paraId="5E17EE80" w14:textId="6CEF1A19" w:rsidR="005F7DB1" w:rsidRPr="005F7DB1" w:rsidRDefault="00C44DD6" w:rsidP="00C44DD6">
      <w:pPr>
        <w:pStyle w:val="ManualNumPar1"/>
        <w:rPr>
          <w:noProof/>
        </w:rPr>
      </w:pPr>
      <w:r w:rsidRPr="00C44DD6">
        <w:rPr>
          <w:noProof/>
        </w:rPr>
        <w:t>3.</w:t>
      </w:r>
      <w:r w:rsidRPr="00C44DD6">
        <w:rPr>
          <w:noProof/>
        </w:rPr>
        <w:tab/>
      </w:r>
      <w:r w:rsidR="005F7DB1" w:rsidRPr="005F7DB1">
        <w:rPr>
          <w:noProof/>
        </w:rPr>
        <w:t xml:space="preserve">The European coordinator shall be chosen following an open, non-discriminatory and transparent process and on the basis of a candidate’s experience with regard to the specific tasks </w:t>
      </w:r>
      <w:r w:rsidR="00820F37">
        <w:rPr>
          <w:noProof/>
        </w:rPr>
        <w:t xml:space="preserve">they have been </w:t>
      </w:r>
      <w:r w:rsidR="005F7DB1" w:rsidRPr="005F7DB1">
        <w:rPr>
          <w:noProof/>
        </w:rPr>
        <w:t>assigned for the projects concerned.</w:t>
      </w:r>
    </w:p>
    <w:p w14:paraId="5725945E" w14:textId="266ADEB9" w:rsidR="00AA41D2" w:rsidRPr="00185722" w:rsidRDefault="00C44DD6" w:rsidP="00C44DD6">
      <w:pPr>
        <w:pStyle w:val="ManualNumPar1"/>
        <w:rPr>
          <w:noProof/>
        </w:rPr>
      </w:pPr>
      <w:r w:rsidRPr="00C44DD6">
        <w:rPr>
          <w:noProof/>
        </w:rPr>
        <w:t>4.</w:t>
      </w:r>
      <w:r w:rsidRPr="00C44DD6">
        <w:rPr>
          <w:noProof/>
        </w:rPr>
        <w:tab/>
      </w:r>
      <w:r w:rsidR="00AA41D2" w:rsidRPr="00185722">
        <w:rPr>
          <w:noProof/>
        </w:rPr>
        <w:t>The decision designating the European coordinator shall specify the terms of reference, detailing the duration of the mandate, the specific tasks and corresponding deadlines, and the methodology to be followed. The coordination effort shall be proportionate to the complexity and estimated costs of the projects.</w:t>
      </w:r>
    </w:p>
    <w:p w14:paraId="57B9BB41" w14:textId="5A05AA80" w:rsidR="00AA41D2" w:rsidRPr="00185722" w:rsidRDefault="00C44DD6" w:rsidP="00C44DD6">
      <w:pPr>
        <w:pStyle w:val="ManualNumPar1"/>
        <w:rPr>
          <w:noProof/>
        </w:rPr>
      </w:pPr>
      <w:r w:rsidRPr="00C44DD6">
        <w:rPr>
          <w:noProof/>
        </w:rPr>
        <w:t>5.</w:t>
      </w:r>
      <w:r w:rsidRPr="00C44DD6">
        <w:rPr>
          <w:noProof/>
        </w:rPr>
        <w:tab/>
      </w:r>
      <w:r w:rsidR="00AA41D2" w:rsidRPr="00185722">
        <w:rPr>
          <w:noProof/>
        </w:rPr>
        <w:t>The Member States concerned shall fully cooperate with the European coordinator in the execution of the tasks referred to in paragraphs 2 and 4.</w:t>
      </w:r>
    </w:p>
    <w:p w14:paraId="0B51960A" w14:textId="77777777" w:rsidR="00AA41D2" w:rsidRPr="00AA41D2" w:rsidRDefault="00AA41D2" w:rsidP="00AA41D2">
      <w:pPr>
        <w:pStyle w:val="ChapterTitle"/>
        <w:rPr>
          <w:b w:val="0"/>
          <w:bCs/>
          <w:noProof/>
        </w:rPr>
      </w:pPr>
      <w:bookmarkStart w:id="12" w:name="bookmark36"/>
      <w:r w:rsidRPr="00AA41D2">
        <w:rPr>
          <w:b w:val="0"/>
          <w:bCs/>
          <w:noProof/>
        </w:rPr>
        <w:t>CHAPTER III</w:t>
      </w:r>
      <w:bookmarkEnd w:id="12"/>
    </w:p>
    <w:p w14:paraId="53F5C6E9" w14:textId="77777777" w:rsidR="00AA41D2" w:rsidRPr="00185722" w:rsidRDefault="00AA41D2" w:rsidP="00AA41D2">
      <w:pPr>
        <w:pStyle w:val="ChapterTitle"/>
        <w:rPr>
          <w:noProof/>
        </w:rPr>
      </w:pPr>
      <w:r w:rsidRPr="00185722">
        <w:rPr>
          <w:noProof/>
        </w:rPr>
        <w:t>Permit</w:t>
      </w:r>
      <w:r w:rsidR="00B95351">
        <w:rPr>
          <w:noProof/>
        </w:rPr>
        <w:t>-</w:t>
      </w:r>
      <w:r w:rsidRPr="00185722">
        <w:rPr>
          <w:noProof/>
        </w:rPr>
        <w:t>granting and public participation</w:t>
      </w:r>
    </w:p>
    <w:p w14:paraId="16DCCB36" w14:textId="77777777" w:rsidR="00AA41D2" w:rsidRPr="00185722" w:rsidRDefault="00AA41D2" w:rsidP="00AA41D2">
      <w:pPr>
        <w:pStyle w:val="Titrearticle"/>
        <w:rPr>
          <w:noProof/>
          <w:lang w:eastAsia="en-IE"/>
        </w:rPr>
      </w:pPr>
      <w:bookmarkStart w:id="13" w:name="bookmark39"/>
      <w:bookmarkEnd w:id="13"/>
      <w:r w:rsidRPr="00185722">
        <w:rPr>
          <w:noProof/>
          <w:lang w:eastAsia="en-IE"/>
        </w:rPr>
        <w:t>Article 7</w:t>
      </w:r>
    </w:p>
    <w:p w14:paraId="2F6CA60B" w14:textId="77777777" w:rsidR="00AA41D2" w:rsidRPr="00AA41D2" w:rsidRDefault="00AA41D2" w:rsidP="00AA41D2">
      <w:pPr>
        <w:pStyle w:val="Titrearticle"/>
        <w:rPr>
          <w:b/>
          <w:bCs/>
          <w:noProof/>
          <w:lang w:eastAsia="en-IE"/>
        </w:rPr>
      </w:pPr>
      <w:r w:rsidRPr="00AA41D2">
        <w:rPr>
          <w:b/>
          <w:bCs/>
          <w:noProof/>
          <w:lang w:eastAsia="en-IE"/>
        </w:rPr>
        <w:t>Priority status of projects on the Union list</w:t>
      </w:r>
    </w:p>
    <w:p w14:paraId="762ABC26" w14:textId="720C3978" w:rsidR="00AA41D2" w:rsidRPr="00185722" w:rsidRDefault="00C44DD6" w:rsidP="00C44DD6">
      <w:pPr>
        <w:pStyle w:val="ManualNumPar1"/>
        <w:rPr>
          <w:noProof/>
          <w:lang w:eastAsia="en-IE"/>
        </w:rPr>
      </w:pPr>
      <w:r w:rsidRPr="00C44DD6">
        <w:rPr>
          <w:noProof/>
        </w:rPr>
        <w:t>1.</w:t>
      </w:r>
      <w:r w:rsidRPr="00C44DD6">
        <w:rPr>
          <w:noProof/>
        </w:rPr>
        <w:tab/>
      </w:r>
      <w:r w:rsidR="00601E42" w:rsidRPr="00601E42">
        <w:rPr>
          <w:noProof/>
          <w:lang w:eastAsia="en-IE"/>
        </w:rPr>
        <w:t>The Union list shall establish, for the purposes of any decisions issued in the permit</w:t>
      </w:r>
      <w:r w:rsidR="00B95351">
        <w:rPr>
          <w:noProof/>
          <w:lang w:eastAsia="en-IE"/>
        </w:rPr>
        <w:t>-</w:t>
      </w:r>
      <w:r w:rsidR="00601E42" w:rsidRPr="00601E42">
        <w:rPr>
          <w:noProof/>
          <w:lang w:eastAsia="en-IE"/>
        </w:rPr>
        <w:t>granting process, the necessity of projects on the Union list from an energy policy and climate perspective</w:t>
      </w:r>
      <w:r w:rsidR="0036493E">
        <w:rPr>
          <w:noProof/>
          <w:lang w:eastAsia="en-IE"/>
        </w:rPr>
        <w:t>,</w:t>
      </w:r>
      <w:r w:rsidR="00601E42" w:rsidRPr="00601E42">
        <w:rPr>
          <w:noProof/>
          <w:lang w:eastAsia="en-IE"/>
        </w:rPr>
        <w:t xml:space="preserve"> without prejudice to the exact location, routing or technology of the project</w:t>
      </w:r>
      <w:r w:rsidR="00AA41D2" w:rsidRPr="00AA41D2">
        <w:rPr>
          <w:noProof/>
          <w:lang w:eastAsia="en-IE"/>
        </w:rPr>
        <w:t>.</w:t>
      </w:r>
    </w:p>
    <w:p w14:paraId="6080FAEF" w14:textId="77777777" w:rsidR="00AA41D2" w:rsidRPr="00185722" w:rsidRDefault="00087F1D" w:rsidP="005F7DB1">
      <w:pPr>
        <w:pStyle w:val="Text1"/>
        <w:rPr>
          <w:noProof/>
          <w:lang w:eastAsia="en-IE"/>
        </w:rPr>
      </w:pPr>
      <w:r w:rsidRPr="00087F1D">
        <w:rPr>
          <w:noProof/>
          <w:lang w:eastAsia="en-IE"/>
        </w:rPr>
        <w:t>Th</w:t>
      </w:r>
      <w:r w:rsidR="00B449AD">
        <w:rPr>
          <w:noProof/>
          <w:lang w:eastAsia="en-IE"/>
        </w:rPr>
        <w:t>e</w:t>
      </w:r>
      <w:r w:rsidRPr="00087F1D">
        <w:rPr>
          <w:noProof/>
          <w:lang w:eastAsia="en-IE"/>
        </w:rPr>
        <w:t xml:space="preserve"> </w:t>
      </w:r>
      <w:r w:rsidR="00EC4C3F">
        <w:rPr>
          <w:noProof/>
          <w:lang w:eastAsia="en-IE"/>
        </w:rPr>
        <w:t>first sub</w:t>
      </w:r>
      <w:r w:rsidRPr="00087F1D">
        <w:rPr>
          <w:noProof/>
          <w:lang w:eastAsia="en-IE"/>
        </w:rPr>
        <w:t>paragraph shall not apply to competing projects or to projects that have not reached a sufficient degree of maturity to provide a project specific cost-benefit analysis as referred to in Section 2, point (1)(d), of Annex III</w:t>
      </w:r>
      <w:r w:rsidR="00AA41D2" w:rsidRPr="00185722">
        <w:rPr>
          <w:noProof/>
          <w:lang w:eastAsia="en-IE"/>
        </w:rPr>
        <w:t>.</w:t>
      </w:r>
    </w:p>
    <w:p w14:paraId="4F2789DA" w14:textId="3A6FE761" w:rsidR="00AA41D2" w:rsidRPr="00185722" w:rsidRDefault="00C44DD6" w:rsidP="00C44DD6">
      <w:pPr>
        <w:pStyle w:val="ManualNumPar1"/>
        <w:rPr>
          <w:noProof/>
          <w:lang w:eastAsia="en-IE"/>
        </w:rPr>
      </w:pPr>
      <w:r w:rsidRPr="00C44DD6">
        <w:rPr>
          <w:noProof/>
        </w:rPr>
        <w:t>2.</w:t>
      </w:r>
      <w:r w:rsidRPr="00C44DD6">
        <w:rPr>
          <w:noProof/>
        </w:rPr>
        <w:tab/>
      </w:r>
      <w:r w:rsidR="00144C9D" w:rsidRPr="00144C9D">
        <w:rPr>
          <w:noProof/>
          <w:lang w:eastAsia="en-IE"/>
        </w:rPr>
        <w:t>For the purpose of ensuring efficient administrative processing of the application files related to projects on the Union list, project promoters and all authorities concerned shall ensure that those files are treated in the most rapid way possible in accordance with Union and national law</w:t>
      </w:r>
      <w:r w:rsidR="00AA41D2" w:rsidRPr="4C97927A">
        <w:rPr>
          <w:noProof/>
          <w:lang w:eastAsia="en-IE"/>
        </w:rPr>
        <w:t>.</w:t>
      </w:r>
    </w:p>
    <w:p w14:paraId="3AE040AB" w14:textId="6393DC1B" w:rsidR="00AA41D2" w:rsidRPr="00185722" w:rsidRDefault="00C44DD6" w:rsidP="00C44DD6">
      <w:pPr>
        <w:pStyle w:val="ManualNumPar1"/>
        <w:rPr>
          <w:noProof/>
          <w:lang w:eastAsia="en-IE"/>
        </w:rPr>
      </w:pPr>
      <w:r w:rsidRPr="00C44DD6">
        <w:rPr>
          <w:noProof/>
        </w:rPr>
        <w:t>3.</w:t>
      </w:r>
      <w:r w:rsidRPr="00C44DD6">
        <w:rPr>
          <w:noProof/>
        </w:rPr>
        <w:tab/>
      </w:r>
      <w:r w:rsidR="00D727E9" w:rsidRPr="00D727E9">
        <w:rPr>
          <w:noProof/>
          <w:lang w:eastAsia="en-IE"/>
        </w:rPr>
        <w:t>Projects on the Union list shall have the status of the highest national significance possible, where such a status exists in national law</w:t>
      </w:r>
      <w:r w:rsidR="00D727E9" w:rsidRPr="00185722">
        <w:rPr>
          <w:noProof/>
        </w:rPr>
        <w:t xml:space="preserve"> </w:t>
      </w:r>
      <w:r w:rsidR="00D727E9" w:rsidRPr="00D727E9">
        <w:rPr>
          <w:noProof/>
          <w:lang w:eastAsia="en-IE"/>
        </w:rPr>
        <w:t>and be treated as such in the permit</w:t>
      </w:r>
      <w:r w:rsidR="00240FC7">
        <w:rPr>
          <w:noProof/>
          <w:lang w:eastAsia="en-IE"/>
        </w:rPr>
        <w:t>-</w:t>
      </w:r>
      <w:r w:rsidR="00D727E9" w:rsidRPr="00D727E9">
        <w:rPr>
          <w:noProof/>
          <w:lang w:eastAsia="en-IE"/>
        </w:rPr>
        <w:t>granting process, including those relating to environmental assessments, in spatial planning, and in obtaining rights of way and expropriation of necessary land</w:t>
      </w:r>
      <w:r w:rsidR="00AA41D2" w:rsidRPr="00185722">
        <w:rPr>
          <w:noProof/>
          <w:lang w:eastAsia="en-IE"/>
        </w:rPr>
        <w:t>.</w:t>
      </w:r>
    </w:p>
    <w:p w14:paraId="481DBD1B" w14:textId="4E4C638C" w:rsidR="00AA41D2" w:rsidRPr="00185722" w:rsidRDefault="00C44DD6" w:rsidP="00C44DD6">
      <w:pPr>
        <w:pStyle w:val="ManualNumPar1"/>
        <w:rPr>
          <w:noProof/>
          <w:lang w:eastAsia="en-IE"/>
        </w:rPr>
      </w:pPr>
      <w:r w:rsidRPr="00C44DD6">
        <w:rPr>
          <w:noProof/>
        </w:rPr>
        <w:t>4.</w:t>
      </w:r>
      <w:r w:rsidRPr="00C44DD6">
        <w:rPr>
          <w:noProof/>
        </w:rPr>
        <w:tab/>
      </w:r>
      <w:r w:rsidR="006D7B6A" w:rsidRPr="006D7B6A">
        <w:rPr>
          <w:noProof/>
          <w:lang w:eastAsia="en-IE"/>
        </w:rPr>
        <w:t>All dispute resolution procedures, litigation, appeals and judicial remedies related to projects on the Union list in front of any national courts, tribunals, panels, including mediation or arbitration, where they exist in national law, shall be treated as urgent, if and to the extent to which national law provides for such urgency procedures</w:t>
      </w:r>
      <w:r w:rsidR="00AA41D2" w:rsidRPr="00185722">
        <w:rPr>
          <w:noProof/>
          <w:lang w:eastAsia="en-IE"/>
        </w:rPr>
        <w:t>.</w:t>
      </w:r>
    </w:p>
    <w:p w14:paraId="37EC9E9C" w14:textId="2A81BD6A" w:rsidR="00AA41D2" w:rsidRPr="00185722" w:rsidRDefault="00C44DD6" w:rsidP="00C44DD6">
      <w:pPr>
        <w:pStyle w:val="ManualNumPar1"/>
        <w:rPr>
          <w:noProof/>
          <w:lang w:eastAsia="en-IE"/>
        </w:rPr>
      </w:pPr>
      <w:r w:rsidRPr="00C44DD6">
        <w:rPr>
          <w:noProof/>
        </w:rPr>
        <w:t>5.</w:t>
      </w:r>
      <w:r w:rsidRPr="00C44DD6">
        <w:rPr>
          <w:noProof/>
        </w:rPr>
        <w:tab/>
      </w:r>
      <w:r w:rsidR="00A1217F" w:rsidRPr="00A1217F">
        <w:rPr>
          <w:noProof/>
          <w:lang w:eastAsia="en-IE"/>
        </w:rPr>
        <w:t xml:space="preserve">With regard to the environmental impacts addressed in Article 6(4) of Directive 92/43/EEC and Article 4(7) of Directive 2000/60/EC, provided that all the conditions set out in those Directives are </w:t>
      </w:r>
      <w:r w:rsidR="00A1217F" w:rsidRPr="0059492E">
        <w:rPr>
          <w:noProof/>
          <w:lang w:eastAsia="en-IE"/>
        </w:rPr>
        <w:t xml:space="preserve">fulfilled, projects on the Union list falling under the infrastructure categories </w:t>
      </w:r>
      <w:r w:rsidR="00265B68">
        <w:rPr>
          <w:noProof/>
          <w:lang w:eastAsia="en-IE"/>
        </w:rPr>
        <w:t>referred to</w:t>
      </w:r>
      <w:r w:rsidR="00265B68" w:rsidRPr="0059492E">
        <w:rPr>
          <w:noProof/>
          <w:lang w:eastAsia="en-IE"/>
        </w:rPr>
        <w:t xml:space="preserve"> </w:t>
      </w:r>
      <w:r w:rsidR="00A1217F" w:rsidRPr="004D60A9">
        <w:rPr>
          <w:noProof/>
          <w:lang w:eastAsia="en-IE"/>
        </w:rPr>
        <w:t xml:space="preserve">in </w:t>
      </w:r>
      <w:r w:rsidR="00E67C9D" w:rsidRPr="004D60A9">
        <w:rPr>
          <w:noProof/>
          <w:lang w:eastAsia="en-IE"/>
        </w:rPr>
        <w:t>points (2), (3), and (4)</w:t>
      </w:r>
      <w:r w:rsidR="00E67C9D" w:rsidRPr="0059492E">
        <w:rPr>
          <w:noProof/>
          <w:lang w:eastAsia="en-IE"/>
        </w:rPr>
        <w:t xml:space="preserve"> </w:t>
      </w:r>
      <w:r w:rsidR="00E67C9D">
        <w:rPr>
          <w:noProof/>
          <w:lang w:eastAsia="en-IE"/>
        </w:rPr>
        <w:t xml:space="preserve">of </w:t>
      </w:r>
      <w:r w:rsidR="00A1217F" w:rsidRPr="004D60A9">
        <w:rPr>
          <w:noProof/>
          <w:lang w:eastAsia="en-IE"/>
        </w:rPr>
        <w:t xml:space="preserve">Annex II </w:t>
      </w:r>
      <w:r w:rsidR="008D1749">
        <w:rPr>
          <w:noProof/>
          <w:lang w:eastAsia="en-IE"/>
        </w:rPr>
        <w:t>to</w:t>
      </w:r>
      <w:r w:rsidR="005D38B7">
        <w:rPr>
          <w:noProof/>
          <w:lang w:eastAsia="en-IE"/>
        </w:rPr>
        <w:t xml:space="preserve"> this Regulation</w:t>
      </w:r>
      <w:r w:rsidR="008D1749">
        <w:rPr>
          <w:noProof/>
          <w:lang w:eastAsia="en-IE"/>
        </w:rPr>
        <w:t xml:space="preserve"> </w:t>
      </w:r>
      <w:r w:rsidR="00A1217F" w:rsidRPr="0059492E">
        <w:rPr>
          <w:noProof/>
          <w:lang w:eastAsia="en-IE"/>
        </w:rPr>
        <w:t>shall</w:t>
      </w:r>
      <w:r w:rsidR="00A1217F" w:rsidRPr="00A1217F">
        <w:rPr>
          <w:noProof/>
          <w:lang w:eastAsia="en-IE"/>
        </w:rPr>
        <w:t xml:space="preserve"> be considered as being of public interest from an energy policy perspective, and may be considered as having an overriding public interest</w:t>
      </w:r>
      <w:r w:rsidR="00AA41D2" w:rsidRPr="00185722">
        <w:rPr>
          <w:noProof/>
          <w:lang w:eastAsia="en-IE"/>
        </w:rPr>
        <w:t>.</w:t>
      </w:r>
    </w:p>
    <w:p w14:paraId="0B8D8C6F" w14:textId="1A2C4639" w:rsidR="00AA41D2" w:rsidRPr="00185722" w:rsidRDefault="74F6451F" w:rsidP="005F7DB1">
      <w:pPr>
        <w:pStyle w:val="Text1"/>
        <w:rPr>
          <w:noProof/>
          <w:lang w:eastAsia="en-IE"/>
        </w:rPr>
      </w:pPr>
      <w:r w:rsidRPr="73942DB6">
        <w:rPr>
          <w:noProof/>
          <w:lang w:eastAsia="en-IE"/>
        </w:rPr>
        <w:t xml:space="preserve">Where the opinion of the Commission is required in accordance with </w:t>
      </w:r>
      <w:r w:rsidR="6F65E6C3" w:rsidRPr="73942DB6">
        <w:rPr>
          <w:noProof/>
          <w:lang w:eastAsia="en-IE"/>
        </w:rPr>
        <w:t>Article 6(4)</w:t>
      </w:r>
      <w:r w:rsidRPr="73942DB6">
        <w:rPr>
          <w:noProof/>
          <w:lang w:eastAsia="en-IE"/>
        </w:rPr>
        <w:t xml:space="preserve"> </w:t>
      </w:r>
      <w:r w:rsidR="6F65E6C3" w:rsidRPr="73942DB6">
        <w:rPr>
          <w:noProof/>
          <w:lang w:eastAsia="en-IE"/>
        </w:rPr>
        <w:t>of</w:t>
      </w:r>
      <w:r w:rsidRPr="73942DB6">
        <w:rPr>
          <w:noProof/>
          <w:lang w:eastAsia="en-IE"/>
        </w:rPr>
        <w:t xml:space="preserve"> Directive 92/43/EEC, the Commission and the national competent authority referred to in Article </w:t>
      </w:r>
      <w:r w:rsidR="664BE0BF" w:rsidRPr="73942DB6">
        <w:rPr>
          <w:noProof/>
          <w:lang w:eastAsia="en-IE"/>
        </w:rPr>
        <w:t xml:space="preserve">8 </w:t>
      </w:r>
      <w:r w:rsidRPr="73942DB6">
        <w:rPr>
          <w:noProof/>
          <w:lang w:eastAsia="en-IE"/>
        </w:rPr>
        <w:t>of this Regulation shall ensure that the decision with regard to the overriding public interest of a project is taken within the time limits set in Article 10(1) and (2) of this Regulation</w:t>
      </w:r>
      <w:r w:rsidR="43C6B037" w:rsidRPr="73942DB6">
        <w:rPr>
          <w:rStyle w:val="Bodytext1"/>
          <w:rFonts w:ascii="inherit" w:hAnsi="inherit"/>
          <w:noProof/>
          <w:lang w:val="en-US" w:bidi="en-US"/>
        </w:rPr>
        <w:t>.</w:t>
      </w:r>
    </w:p>
    <w:p w14:paraId="505135EC" w14:textId="77777777" w:rsidR="00886A47" w:rsidRDefault="004928C2" w:rsidP="005F7DB1">
      <w:pPr>
        <w:pStyle w:val="Text1"/>
        <w:rPr>
          <w:noProof/>
          <w:lang w:eastAsia="en-IE"/>
        </w:rPr>
      </w:pPr>
      <w:r w:rsidRPr="004928C2">
        <w:rPr>
          <w:noProof/>
          <w:lang w:eastAsia="en-IE"/>
        </w:rPr>
        <w:t>Th</w:t>
      </w:r>
      <w:r w:rsidR="00B449AD">
        <w:rPr>
          <w:noProof/>
          <w:lang w:eastAsia="en-IE"/>
        </w:rPr>
        <w:t>e first and second sub</w:t>
      </w:r>
      <w:r w:rsidRPr="004928C2">
        <w:rPr>
          <w:noProof/>
          <w:lang w:eastAsia="en-IE"/>
        </w:rPr>
        <w:t>paragraph</w:t>
      </w:r>
      <w:r w:rsidR="00B449AD">
        <w:rPr>
          <w:noProof/>
          <w:lang w:eastAsia="en-IE"/>
        </w:rPr>
        <w:t>s</w:t>
      </w:r>
      <w:r w:rsidRPr="004928C2">
        <w:rPr>
          <w:noProof/>
          <w:lang w:eastAsia="en-IE"/>
        </w:rPr>
        <w:t xml:space="preserve"> shall not apply to competing projects or to projects that have not reached a sufficient degree of maturity to provide a project specific cost-benefit analysis as referred to in Section 2, point (1)(d), of Annex III</w:t>
      </w:r>
      <w:r w:rsidR="00AA41D2" w:rsidRPr="00185722">
        <w:rPr>
          <w:noProof/>
          <w:lang w:eastAsia="en-IE"/>
        </w:rPr>
        <w:t>.</w:t>
      </w:r>
    </w:p>
    <w:p w14:paraId="568E7008" w14:textId="0D73B209" w:rsidR="00EB2BE0" w:rsidRDefault="00C44DD6" w:rsidP="00C44DD6">
      <w:pPr>
        <w:pStyle w:val="ManualNumPar1"/>
        <w:rPr>
          <w:noProof/>
          <w:lang w:eastAsia="en-IE"/>
        </w:rPr>
      </w:pPr>
      <w:r w:rsidRPr="00C44DD6">
        <w:rPr>
          <w:noProof/>
        </w:rPr>
        <w:t>6.</w:t>
      </w:r>
      <w:r w:rsidRPr="00C44DD6">
        <w:rPr>
          <w:noProof/>
        </w:rPr>
        <w:tab/>
      </w:r>
      <w:r w:rsidR="043947A1" w:rsidRPr="02B5BF9B">
        <w:rPr>
          <w:noProof/>
          <w:lang w:eastAsia="en-IE"/>
        </w:rPr>
        <w:t>U</w:t>
      </w:r>
      <w:r w:rsidR="53E32D4B" w:rsidRPr="02B5BF9B">
        <w:rPr>
          <w:noProof/>
          <w:lang w:eastAsia="en-IE"/>
        </w:rPr>
        <w:t>ntil climate neutrality is achieved</w:t>
      </w:r>
      <w:r w:rsidR="2E9B0605">
        <w:rPr>
          <w:noProof/>
        </w:rPr>
        <w:t xml:space="preserve"> </w:t>
      </w:r>
      <w:r w:rsidR="2E9B0605" w:rsidRPr="02B5BF9B">
        <w:rPr>
          <w:noProof/>
          <w:lang w:eastAsia="en-IE"/>
        </w:rPr>
        <w:t>at Union level</w:t>
      </w:r>
      <w:r w:rsidR="53E32D4B" w:rsidRPr="02B5BF9B">
        <w:rPr>
          <w:noProof/>
          <w:lang w:eastAsia="en-IE"/>
        </w:rPr>
        <w:t xml:space="preserve">, in the permit-granting procedure, the planning, construction and operation of projects falling </w:t>
      </w:r>
      <w:r w:rsidR="55C4DC74" w:rsidRPr="02B5BF9B">
        <w:rPr>
          <w:noProof/>
          <w:lang w:eastAsia="en-IE"/>
        </w:rPr>
        <w:t>within</w:t>
      </w:r>
      <w:r w:rsidR="53E32D4B" w:rsidRPr="02B5BF9B">
        <w:rPr>
          <w:noProof/>
          <w:lang w:eastAsia="en-IE"/>
        </w:rPr>
        <w:t xml:space="preserve"> the infrastructure category </w:t>
      </w:r>
      <w:r w:rsidR="570D189B" w:rsidRPr="02B5BF9B">
        <w:rPr>
          <w:noProof/>
          <w:lang w:eastAsia="en-IE"/>
        </w:rPr>
        <w:t xml:space="preserve">referred to </w:t>
      </w:r>
      <w:r w:rsidR="53E32D4B" w:rsidRPr="02B5BF9B">
        <w:rPr>
          <w:noProof/>
          <w:lang w:eastAsia="en-IE"/>
        </w:rPr>
        <w:t>in Annex II point (1)</w:t>
      </w:r>
      <w:r w:rsidR="6BF7F343" w:rsidRPr="02B5BF9B">
        <w:rPr>
          <w:noProof/>
          <w:lang w:eastAsia="en-IE"/>
        </w:rPr>
        <w:t xml:space="preserve"> fall under the provision of </w:t>
      </w:r>
      <w:r w:rsidR="2E0B1B9E" w:rsidRPr="02B5BF9B">
        <w:rPr>
          <w:noProof/>
          <w:lang w:eastAsia="en-IE"/>
        </w:rPr>
        <w:t>A</w:t>
      </w:r>
      <w:r w:rsidR="6BF7F343" w:rsidRPr="02B5BF9B">
        <w:rPr>
          <w:noProof/>
          <w:lang w:eastAsia="en-IE"/>
        </w:rPr>
        <w:t>rticle 8(</w:t>
      </w:r>
      <w:r w:rsidR="3F3AA00C" w:rsidRPr="02B5BF9B">
        <w:rPr>
          <w:noProof/>
          <w:lang w:eastAsia="en-IE"/>
        </w:rPr>
        <w:t>8</w:t>
      </w:r>
      <w:r w:rsidR="6BF7F343" w:rsidRPr="02B5BF9B">
        <w:rPr>
          <w:noProof/>
          <w:lang w:eastAsia="en-IE"/>
        </w:rPr>
        <w:t xml:space="preserve">) of Directive (EU) 2019/944 and are presumed as being in the overriding public interest </w:t>
      </w:r>
      <w:r w:rsidR="777E766E" w:rsidRPr="02B5BF9B">
        <w:rPr>
          <w:noProof/>
          <w:lang w:eastAsia="en-IE"/>
        </w:rPr>
        <w:t>and serving public health and safety when balancing legal interests in individual cases for the purposes of Article 6(4) and Article 1</w:t>
      </w:r>
      <w:r w:rsidR="712F9D2C" w:rsidRPr="02B5BF9B">
        <w:rPr>
          <w:noProof/>
          <w:lang w:eastAsia="en-IE"/>
        </w:rPr>
        <w:t>6</w:t>
      </w:r>
      <w:r w:rsidR="777E766E" w:rsidRPr="02B5BF9B">
        <w:rPr>
          <w:noProof/>
          <w:lang w:eastAsia="en-IE"/>
        </w:rPr>
        <w:t>(1), point (c), of Directive 92/43/EEC, Article 4(7) of Directive 2000/60/EC and Article 9(1), point (a), of Directive 2009/147/EC</w:t>
      </w:r>
      <w:r w:rsidR="6BF7F343" w:rsidRPr="02B5BF9B">
        <w:rPr>
          <w:noProof/>
          <w:lang w:eastAsia="en-IE"/>
        </w:rPr>
        <w:t>.</w:t>
      </w:r>
      <w:r w:rsidR="054E706A">
        <w:rPr>
          <w:noProof/>
        </w:rPr>
        <w:t xml:space="preserve"> </w:t>
      </w:r>
      <w:r w:rsidR="054E706A" w:rsidRPr="02B5BF9B">
        <w:rPr>
          <w:noProof/>
          <w:lang w:eastAsia="en-IE"/>
        </w:rPr>
        <w:t>Member States may, in duly justified and specific circumstances, restrict the application</w:t>
      </w:r>
      <w:r w:rsidR="0252BB1F" w:rsidRPr="02B5BF9B">
        <w:rPr>
          <w:noProof/>
          <w:lang w:eastAsia="en-IE"/>
        </w:rPr>
        <w:t xml:space="preserve"> of </w:t>
      </w:r>
      <w:r w:rsidR="346E7845" w:rsidRPr="02B5BF9B">
        <w:rPr>
          <w:noProof/>
          <w:lang w:eastAsia="en-IE"/>
        </w:rPr>
        <w:t>the presumption</w:t>
      </w:r>
      <w:r w:rsidR="054E706A" w:rsidRPr="02B5BF9B">
        <w:rPr>
          <w:noProof/>
          <w:lang w:eastAsia="en-IE"/>
        </w:rPr>
        <w:t xml:space="preserve"> to certain parts of their territory, to certain types of technology or to projects with certain technical characteristics.</w:t>
      </w:r>
      <w:r w:rsidR="7729D2E0" w:rsidRPr="02B5BF9B">
        <w:rPr>
          <w:noProof/>
          <w:lang w:eastAsia="en-IE"/>
        </w:rPr>
        <w:t xml:space="preserve"> </w:t>
      </w:r>
    </w:p>
    <w:p w14:paraId="316CBFD2" w14:textId="77777777" w:rsidR="00AD32B2" w:rsidRDefault="146166B9">
      <w:pPr>
        <w:pStyle w:val="Text1"/>
        <w:rPr>
          <w:noProof/>
          <w:lang w:eastAsia="en-IE"/>
        </w:rPr>
      </w:pPr>
      <w:r w:rsidRPr="378AE33B">
        <w:rPr>
          <w:noProof/>
          <w:lang w:eastAsia="en-IE"/>
        </w:rPr>
        <w:t xml:space="preserve">Member States shall ensure that, in the planning and permit-granting process, the construction and operation of projects falling under the infrastructure category </w:t>
      </w:r>
      <w:r w:rsidR="6104421B" w:rsidRPr="378AE33B">
        <w:rPr>
          <w:noProof/>
          <w:lang w:eastAsia="en-IE"/>
        </w:rPr>
        <w:t xml:space="preserve">referred to </w:t>
      </w:r>
      <w:r w:rsidRPr="378AE33B">
        <w:rPr>
          <w:noProof/>
          <w:lang w:eastAsia="en-IE"/>
        </w:rPr>
        <w:t xml:space="preserve">in </w:t>
      </w:r>
      <w:r w:rsidR="00E67C9D" w:rsidRPr="378AE33B">
        <w:rPr>
          <w:noProof/>
          <w:lang w:eastAsia="en-IE"/>
        </w:rPr>
        <w:t xml:space="preserve">point (1) </w:t>
      </w:r>
      <w:r w:rsidR="00E67C9D">
        <w:rPr>
          <w:noProof/>
          <w:lang w:eastAsia="en-IE"/>
        </w:rPr>
        <w:t xml:space="preserve">of </w:t>
      </w:r>
      <w:r w:rsidRPr="378AE33B">
        <w:rPr>
          <w:noProof/>
          <w:lang w:eastAsia="en-IE"/>
        </w:rPr>
        <w:t>Annex II are given priority when balancing legal interests in individual cases for other purposes than the ones referred in the first subparagraph</w:t>
      </w:r>
      <w:r w:rsidR="00C1086F">
        <w:rPr>
          <w:noProof/>
          <w:lang w:eastAsia="en-IE"/>
        </w:rPr>
        <w:t xml:space="preserve"> </w:t>
      </w:r>
      <w:r w:rsidR="006160A0" w:rsidRPr="006160A0">
        <w:rPr>
          <w:noProof/>
          <w:lang w:eastAsia="en-IE"/>
        </w:rPr>
        <w:t>with the exception of cultural heritage on the basis of legal criteria to ensure harmonized implementation</w:t>
      </w:r>
      <w:r w:rsidR="00DA2E18">
        <w:rPr>
          <w:noProof/>
          <w:lang w:eastAsia="en-IE"/>
        </w:rPr>
        <w:t>.</w:t>
      </w:r>
    </w:p>
    <w:p w14:paraId="340797C2" w14:textId="77777777" w:rsidR="00017ABC" w:rsidRDefault="00766647" w:rsidP="00156CC0">
      <w:pPr>
        <w:pStyle w:val="Text1"/>
        <w:rPr>
          <w:noProof/>
          <w:lang w:eastAsia="en-IE"/>
        </w:rPr>
      </w:pPr>
      <w:r w:rsidRPr="00185722">
        <w:rPr>
          <w:noProof/>
          <w:lang w:eastAsia="en-IE"/>
        </w:rPr>
        <w:t>Th</w:t>
      </w:r>
      <w:r>
        <w:rPr>
          <w:noProof/>
          <w:lang w:eastAsia="en-IE"/>
        </w:rPr>
        <w:t>e first</w:t>
      </w:r>
      <w:r w:rsidRPr="00185722">
        <w:rPr>
          <w:noProof/>
          <w:lang w:eastAsia="en-IE"/>
        </w:rPr>
        <w:t xml:space="preserve"> </w:t>
      </w:r>
      <w:r w:rsidR="00C413F9">
        <w:rPr>
          <w:noProof/>
          <w:lang w:eastAsia="en-IE"/>
        </w:rPr>
        <w:t>sub</w:t>
      </w:r>
      <w:r w:rsidR="00017ABC" w:rsidRPr="00185722">
        <w:rPr>
          <w:noProof/>
          <w:lang w:eastAsia="en-IE"/>
        </w:rPr>
        <w:t>paragraph shall not apply to competing projects or to projects that have not reached a sufficient degree of maturity to provide a project specific cost-benefit analysis as referred to in Section 2, point (1)(d), of Annex III.</w:t>
      </w:r>
    </w:p>
    <w:p w14:paraId="2255B75C" w14:textId="5D908CBA" w:rsidR="00B40D1B" w:rsidRDefault="00C44DD6" w:rsidP="00C44DD6">
      <w:pPr>
        <w:pStyle w:val="ManualNumPar1"/>
        <w:rPr>
          <w:noProof/>
          <w:lang w:eastAsia="en-IE"/>
        </w:rPr>
      </w:pPr>
      <w:r w:rsidRPr="00C44DD6">
        <w:rPr>
          <w:noProof/>
        </w:rPr>
        <w:t>7.</w:t>
      </w:r>
      <w:r w:rsidRPr="00C44DD6">
        <w:rPr>
          <w:noProof/>
        </w:rPr>
        <w:tab/>
      </w:r>
      <w:r w:rsidR="006D6601" w:rsidRPr="006F1C56">
        <w:rPr>
          <w:noProof/>
          <w:lang w:eastAsia="en-IE"/>
        </w:rPr>
        <w:t>Until</w:t>
      </w:r>
      <w:r w:rsidR="00B40D1B" w:rsidRPr="006F1C56">
        <w:rPr>
          <w:noProof/>
          <w:lang w:eastAsia="en-IE"/>
        </w:rPr>
        <w:t xml:space="preserve"> climate neutrality is achieved</w:t>
      </w:r>
      <w:r w:rsidR="00DA20A7" w:rsidRPr="00DA20A7">
        <w:rPr>
          <w:noProof/>
        </w:rPr>
        <w:t xml:space="preserve"> </w:t>
      </w:r>
      <w:r w:rsidR="00DA20A7" w:rsidRPr="00DA20A7">
        <w:rPr>
          <w:noProof/>
          <w:lang w:eastAsia="en-IE"/>
        </w:rPr>
        <w:t>at Union level</w:t>
      </w:r>
      <w:r w:rsidR="00B40D1B" w:rsidRPr="006F1C56">
        <w:rPr>
          <w:noProof/>
          <w:lang w:eastAsia="en-IE"/>
        </w:rPr>
        <w:t>, with regard to projects on the Union list falling under the infrastructure</w:t>
      </w:r>
      <w:r w:rsidR="00B40D1B">
        <w:rPr>
          <w:noProof/>
          <w:lang w:eastAsia="en-IE"/>
        </w:rPr>
        <w:t xml:space="preserve"> categories </w:t>
      </w:r>
      <w:r w:rsidR="008056ED">
        <w:rPr>
          <w:noProof/>
          <w:lang w:eastAsia="en-IE"/>
        </w:rPr>
        <w:t>referred to</w:t>
      </w:r>
      <w:r w:rsidR="008056ED" w:rsidRPr="0059492E">
        <w:rPr>
          <w:noProof/>
          <w:lang w:eastAsia="en-IE"/>
        </w:rPr>
        <w:t xml:space="preserve"> </w:t>
      </w:r>
      <w:r w:rsidR="00B40D1B">
        <w:rPr>
          <w:noProof/>
          <w:lang w:eastAsia="en-IE"/>
        </w:rPr>
        <w:t xml:space="preserve">in </w:t>
      </w:r>
      <w:r w:rsidR="002069CA">
        <w:rPr>
          <w:noProof/>
          <w:lang w:eastAsia="en-IE"/>
        </w:rPr>
        <w:t xml:space="preserve">point (1) of </w:t>
      </w:r>
      <w:r w:rsidR="00B40D1B">
        <w:rPr>
          <w:noProof/>
          <w:lang w:eastAsia="en-IE"/>
        </w:rPr>
        <w:t xml:space="preserve">Annex II </w:t>
      </w:r>
      <w:r w:rsidR="00825E94">
        <w:rPr>
          <w:noProof/>
          <w:lang w:eastAsia="en-IE"/>
        </w:rPr>
        <w:t>to this Regulation</w:t>
      </w:r>
      <w:r w:rsidR="00B40D1B">
        <w:rPr>
          <w:noProof/>
          <w:lang w:eastAsia="en-IE"/>
        </w:rPr>
        <w:t xml:space="preserve"> which are expressly included in a National Development Plan that has been subject to a strategic environmental assessment in accordance with Directive 2001/42,</w:t>
      </w:r>
      <w:r w:rsidR="00FF1040">
        <w:rPr>
          <w:noProof/>
          <w:lang w:eastAsia="en-IE"/>
        </w:rPr>
        <w:t xml:space="preserve"> </w:t>
      </w:r>
      <w:r w:rsidR="005C7361" w:rsidRPr="005C7361">
        <w:rPr>
          <w:noProof/>
          <w:lang w:eastAsia="en-IE"/>
        </w:rPr>
        <w:t xml:space="preserve">and, </w:t>
      </w:r>
      <w:r w:rsidR="00711873">
        <w:rPr>
          <w:noProof/>
        </w:rPr>
        <w:t xml:space="preserve">where </w:t>
      </w:r>
      <w:r w:rsidR="005C7361" w:rsidRPr="005C7361">
        <w:rPr>
          <w:noProof/>
          <w:lang w:eastAsia="en-IE"/>
        </w:rPr>
        <w:t xml:space="preserve">it is likely to have a significant impact on Natura 2000 sites, to the appropriate assessment pursuant to Article 6(3) of Directive 92/43/EEC, </w:t>
      </w:r>
      <w:r w:rsidR="00B40D1B">
        <w:rPr>
          <w:noProof/>
          <w:lang w:eastAsia="en-IE"/>
        </w:rPr>
        <w:t xml:space="preserve">Member States </w:t>
      </w:r>
      <w:r w:rsidR="6259E04D" w:rsidRPr="636CBD55">
        <w:rPr>
          <w:noProof/>
          <w:lang w:eastAsia="en-IE"/>
        </w:rPr>
        <w:t>may</w:t>
      </w:r>
      <w:r w:rsidR="00C92EB1">
        <w:rPr>
          <w:noProof/>
          <w:lang w:eastAsia="en-IE"/>
        </w:rPr>
        <w:t xml:space="preserve">, </w:t>
      </w:r>
      <w:r w:rsidR="00C92EB1" w:rsidRPr="00FC5404">
        <w:rPr>
          <w:noProof/>
          <w:lang w:eastAsia="en-IE"/>
        </w:rPr>
        <w:t xml:space="preserve">insofar </w:t>
      </w:r>
      <w:r w:rsidR="1AAB10D9" w:rsidRPr="5351E6E4">
        <w:rPr>
          <w:noProof/>
          <w:lang w:eastAsia="en-IE"/>
        </w:rPr>
        <w:t>as the</w:t>
      </w:r>
      <w:r w:rsidR="00C92EB1" w:rsidRPr="00FC5404">
        <w:rPr>
          <w:noProof/>
          <w:lang w:eastAsia="en-IE"/>
        </w:rPr>
        <w:t xml:space="preserve"> project complies </w:t>
      </w:r>
      <w:r w:rsidR="24F43174" w:rsidRPr="2743EDE0">
        <w:rPr>
          <w:noProof/>
          <w:lang w:eastAsia="en-IE"/>
        </w:rPr>
        <w:t xml:space="preserve">with </w:t>
      </w:r>
      <w:r w:rsidR="00C92EB1" w:rsidRPr="00FC5404">
        <w:rPr>
          <w:noProof/>
          <w:lang w:eastAsia="en-IE"/>
        </w:rPr>
        <w:t>and does not go beyond the framework of the assessed National Development Plan</w:t>
      </w:r>
      <w:r w:rsidR="00A53565">
        <w:rPr>
          <w:noProof/>
          <w:lang w:eastAsia="en-IE"/>
        </w:rPr>
        <w:t>:</w:t>
      </w:r>
    </w:p>
    <w:p w14:paraId="4D67FBA5" w14:textId="1D6C449A" w:rsidR="00B40D1B" w:rsidRPr="00C93308" w:rsidRDefault="00C44DD6" w:rsidP="00C44DD6">
      <w:pPr>
        <w:pStyle w:val="Point1"/>
        <w:rPr>
          <w:noProof/>
          <w:lang w:eastAsia="en-IE"/>
        </w:rPr>
      </w:pPr>
      <w:r w:rsidRPr="00C44DD6">
        <w:rPr>
          <w:noProof/>
        </w:rPr>
        <w:t>(a)</w:t>
      </w:r>
      <w:r w:rsidRPr="00C44DD6">
        <w:rPr>
          <w:noProof/>
        </w:rPr>
        <w:tab/>
      </w:r>
      <w:r w:rsidR="00B40D1B" w:rsidRPr="00C93308">
        <w:rPr>
          <w:noProof/>
          <w:lang w:eastAsia="en-IE"/>
        </w:rPr>
        <w:t xml:space="preserve">exempt </w:t>
      </w:r>
      <w:r w:rsidR="002D65AC" w:rsidRPr="00C93308">
        <w:rPr>
          <w:noProof/>
          <w:lang w:eastAsia="en-IE"/>
        </w:rPr>
        <w:t>those</w:t>
      </w:r>
      <w:r w:rsidR="00B40D1B" w:rsidRPr="00C93308">
        <w:rPr>
          <w:noProof/>
          <w:lang w:eastAsia="en-IE"/>
        </w:rPr>
        <w:t xml:space="preserve"> projects from the environmental impact assessment under Article 2(1) of Directive 2011/92/EU, </w:t>
      </w:r>
      <w:r w:rsidR="00B40D1B" w:rsidRPr="550BBFC5">
        <w:rPr>
          <w:noProof/>
          <w:lang w:eastAsia="en-IE"/>
        </w:rPr>
        <w:t>and</w:t>
      </w:r>
      <w:r w:rsidR="00B40D1B" w:rsidRPr="00C93308">
        <w:rPr>
          <w:noProof/>
          <w:lang w:eastAsia="en-IE"/>
        </w:rPr>
        <w:t xml:space="preserve"> </w:t>
      </w:r>
    </w:p>
    <w:p w14:paraId="292DBDC3" w14:textId="12B0A30F" w:rsidR="006A4949" w:rsidRPr="000D5F4C" w:rsidRDefault="00C44DD6" w:rsidP="00C44DD6">
      <w:pPr>
        <w:pStyle w:val="Point1"/>
        <w:rPr>
          <w:noProof/>
          <w:lang w:eastAsia="en-IE"/>
        </w:rPr>
      </w:pPr>
      <w:r w:rsidRPr="00C44DD6">
        <w:rPr>
          <w:noProof/>
        </w:rPr>
        <w:t>(b)</w:t>
      </w:r>
      <w:r w:rsidRPr="00C44DD6">
        <w:rPr>
          <w:noProof/>
        </w:rPr>
        <w:tab/>
      </w:r>
      <w:r w:rsidR="00B40D1B" w:rsidRPr="550BBFC5">
        <w:rPr>
          <w:noProof/>
          <w:lang w:eastAsia="en-IE"/>
        </w:rPr>
        <w:t xml:space="preserve">exempt </w:t>
      </w:r>
      <w:r w:rsidR="002D65AC" w:rsidRPr="550BBFC5">
        <w:rPr>
          <w:noProof/>
          <w:lang w:eastAsia="en-IE"/>
        </w:rPr>
        <w:t xml:space="preserve">those </w:t>
      </w:r>
      <w:r w:rsidR="6816A8DD" w:rsidRPr="550BBFC5">
        <w:rPr>
          <w:noProof/>
          <w:lang w:eastAsia="en-IE"/>
        </w:rPr>
        <w:t>projects</w:t>
      </w:r>
      <w:r w:rsidR="00B40D1B" w:rsidRPr="550BBFC5">
        <w:rPr>
          <w:noProof/>
          <w:lang w:eastAsia="en-IE"/>
        </w:rPr>
        <w:t xml:space="preserve"> from an assessment of their implications for Natura 2000 sites pursuant to Article 6(3) of Directive 92/43/EEC</w:t>
      </w:r>
      <w:r w:rsidR="10CFF160" w:rsidRPr="550BBFC5">
        <w:rPr>
          <w:noProof/>
          <w:lang w:eastAsia="en-IE"/>
        </w:rPr>
        <w:t xml:space="preserve"> </w:t>
      </w:r>
      <w:r w:rsidR="10CFF160" w:rsidRPr="550BBFC5">
        <w:rPr>
          <w:rFonts w:eastAsia="Times New Roman"/>
          <w:noProof/>
          <w:lang w:eastAsia="en-IE"/>
        </w:rPr>
        <w:t>and from the assessment of their implications on species protection pursuant to Article 12(1) of Directive 92/43/EEC and to Article 5 of Directive 2009/147/EC</w:t>
      </w:r>
      <w:r w:rsidR="00B40D1B" w:rsidRPr="550BBFC5">
        <w:rPr>
          <w:noProof/>
          <w:lang w:eastAsia="en-IE"/>
        </w:rPr>
        <w:t>.</w:t>
      </w:r>
      <w:r w:rsidR="006A4949" w:rsidRPr="550BBFC5">
        <w:rPr>
          <w:noProof/>
          <w:lang w:eastAsia="en-IE"/>
        </w:rPr>
        <w:t xml:space="preserve"> </w:t>
      </w:r>
    </w:p>
    <w:p w14:paraId="5AD5ACFE" w14:textId="77777777" w:rsidR="00DB5999" w:rsidRDefault="00DB5999" w:rsidP="00AE58B8">
      <w:pPr>
        <w:pStyle w:val="Text1"/>
        <w:rPr>
          <w:noProof/>
        </w:rPr>
      </w:pPr>
      <w:r w:rsidRPr="00DB5999">
        <w:rPr>
          <w:noProof/>
        </w:rPr>
        <w:t xml:space="preserve">For projects located in, or crossing, Natura 2000 sites and areas designated under national protection schemes for nature and biodiversity conservation, the exemptions referred to in the first subparagraph shall only be applicable in case there are no </w:t>
      </w:r>
      <w:r w:rsidR="5369848C">
        <w:rPr>
          <w:noProof/>
        </w:rPr>
        <w:t xml:space="preserve">proportionate </w:t>
      </w:r>
      <w:r w:rsidRPr="00DB5999">
        <w:rPr>
          <w:noProof/>
        </w:rPr>
        <w:t>alternatives for their deployment, taking into account the objectives of the site. Projects referred to in Annex II point 1(c) shall exclude Natura 2000 sites and areas designated under national protection schemes</w:t>
      </w:r>
      <w:r w:rsidR="00FA0CBA">
        <w:rPr>
          <w:noProof/>
        </w:rPr>
        <w:t>.</w:t>
      </w:r>
    </w:p>
    <w:p w14:paraId="525A6D3B" w14:textId="71F9AEB7" w:rsidR="00FA0CBA" w:rsidRDefault="00C44DD6" w:rsidP="00C44DD6">
      <w:pPr>
        <w:pStyle w:val="ManualNumPar1"/>
        <w:rPr>
          <w:noProof/>
        </w:rPr>
      </w:pPr>
      <w:r w:rsidRPr="00C44DD6">
        <w:rPr>
          <w:noProof/>
        </w:rPr>
        <w:t>8.</w:t>
      </w:r>
      <w:r w:rsidRPr="00C44DD6">
        <w:rPr>
          <w:noProof/>
        </w:rPr>
        <w:tab/>
      </w:r>
      <w:r w:rsidR="00E048C1" w:rsidRPr="00E048C1">
        <w:rPr>
          <w:noProof/>
        </w:rPr>
        <w:t>Where Member States apply the exemptions under paragraph</w:t>
      </w:r>
      <w:r w:rsidR="00F14743">
        <w:rPr>
          <w:noProof/>
        </w:rPr>
        <w:t xml:space="preserve"> 7</w:t>
      </w:r>
      <w:r w:rsidR="00E048C1" w:rsidRPr="00E048C1">
        <w:rPr>
          <w:noProof/>
        </w:rPr>
        <w:t>, they shall ensure that rules on effective mitigation measures to be adopted for the projects on the Union list falling under the infrastructure categories referred to in Annex II point (1) are identified based on the National Development Plan, in order to avoid the adverse environmental impact that may arise or, where that is not possible, to significantly mitigate it. Member States shall ensure that the appropriate mitigation measures are applied in a timely manner to ensure compliance with the obligations laid down in Article 6(2) of Directive 92/43/EEC and Article 4(1), point (a)(i), of Directive 2000/60/EC of the European Parliament and of the Council and to avoid deterioration and achieve good ecological status or good ecological potential in accordance with Article 4(1), point (a), of Directive 2000/60/EC.</w:t>
      </w:r>
    </w:p>
    <w:p w14:paraId="721D4BEB" w14:textId="77777777" w:rsidR="00FA0CBA" w:rsidRDefault="00760D99" w:rsidP="00AE58B8">
      <w:pPr>
        <w:pStyle w:val="Text1"/>
        <w:rPr>
          <w:noProof/>
        </w:rPr>
      </w:pPr>
      <w:r w:rsidRPr="00760D99">
        <w:rPr>
          <w:noProof/>
        </w:rPr>
        <w:t xml:space="preserve">Compliance with the rules referred to in the first subparagraph of this paragraph and the implementation of the appropriate mitigation measures by the individual projects shall result in the presumption that projects are not in breach of the provisions mentioned in that subparagraph, without prejudice to paragraph </w:t>
      </w:r>
      <w:r>
        <w:rPr>
          <w:noProof/>
        </w:rPr>
        <w:t>1</w:t>
      </w:r>
      <w:r w:rsidR="365C26AB">
        <w:rPr>
          <w:noProof/>
        </w:rPr>
        <w:t>0</w:t>
      </w:r>
      <w:r w:rsidRPr="00760D99">
        <w:rPr>
          <w:noProof/>
        </w:rPr>
        <w:t xml:space="preserve"> of this Article.</w:t>
      </w:r>
    </w:p>
    <w:p w14:paraId="68F66E41" w14:textId="59DC42C0" w:rsidR="00F04439" w:rsidRPr="00AE58B8" w:rsidRDefault="00C44DD6" w:rsidP="00C44DD6">
      <w:pPr>
        <w:pStyle w:val="ManualNumPar1"/>
        <w:rPr>
          <w:noProof/>
        </w:rPr>
      </w:pPr>
      <w:r w:rsidRPr="00C44DD6">
        <w:rPr>
          <w:noProof/>
        </w:rPr>
        <w:t>9.</w:t>
      </w:r>
      <w:r w:rsidRPr="00C44DD6">
        <w:rPr>
          <w:noProof/>
        </w:rPr>
        <w:tab/>
      </w:r>
      <w:r w:rsidR="00777E86" w:rsidRPr="00777E86">
        <w:rPr>
          <w:noProof/>
        </w:rPr>
        <w:t xml:space="preserve">Member States shall ensure public participation regarding the National Development Plan in accordance with Articles 6 and 7 of Directive 2001/42/EC, including identifying the public affected or likely to be affected as well as the Member States that may be affected by the implementation of that Plan and the projects on the Union list falling under the infrastructure categories referred to in </w:t>
      </w:r>
      <w:r w:rsidR="002069CA" w:rsidRPr="00777E86">
        <w:rPr>
          <w:noProof/>
        </w:rPr>
        <w:t>point (1)</w:t>
      </w:r>
      <w:r w:rsidR="002069CA">
        <w:rPr>
          <w:noProof/>
        </w:rPr>
        <w:t xml:space="preserve"> of </w:t>
      </w:r>
      <w:r w:rsidR="00777E86" w:rsidRPr="00777E86">
        <w:rPr>
          <w:noProof/>
        </w:rPr>
        <w:t xml:space="preserve">Annex II </w:t>
      </w:r>
      <w:r w:rsidR="00D63408">
        <w:rPr>
          <w:noProof/>
        </w:rPr>
        <w:t>to this Regulation</w:t>
      </w:r>
      <w:r w:rsidR="00777E86" w:rsidRPr="00777E86">
        <w:rPr>
          <w:noProof/>
        </w:rPr>
        <w:t xml:space="preserve"> included in that Plan.</w:t>
      </w:r>
      <w:r w:rsidR="007366D2" w:rsidRPr="00020885">
        <w:rPr>
          <w:rStyle w:val="CommentReference"/>
          <w:noProof/>
          <w:sz w:val="24"/>
          <w:szCs w:val="22"/>
        </w:rPr>
        <w:t xml:space="preserve"> </w:t>
      </w:r>
    </w:p>
    <w:p w14:paraId="50F0A56E" w14:textId="1EE888FE" w:rsidR="00C749BB" w:rsidRDefault="00C44DD6" w:rsidP="00C44DD6">
      <w:pPr>
        <w:pStyle w:val="ManualNumPar1"/>
        <w:rPr>
          <w:noProof/>
          <w:lang w:eastAsia="en-IE"/>
        </w:rPr>
      </w:pPr>
      <w:r w:rsidRPr="00C44DD6">
        <w:rPr>
          <w:noProof/>
        </w:rPr>
        <w:t>10.</w:t>
      </w:r>
      <w:r w:rsidRPr="00C44DD6">
        <w:rPr>
          <w:noProof/>
        </w:rPr>
        <w:tab/>
      </w:r>
      <w:r w:rsidR="00C749BB" w:rsidRPr="00C749BB">
        <w:rPr>
          <w:noProof/>
          <w:lang w:eastAsia="en-IE"/>
        </w:rPr>
        <w:t xml:space="preserve">For projects for which Member States decide to apply exemptions under paragraph </w:t>
      </w:r>
      <w:r w:rsidR="00C1418C">
        <w:rPr>
          <w:noProof/>
          <w:lang w:eastAsia="en-IE"/>
        </w:rPr>
        <w:t>7</w:t>
      </w:r>
      <w:r w:rsidR="00C749BB" w:rsidRPr="00C749BB">
        <w:rPr>
          <w:noProof/>
          <w:lang w:eastAsia="en-IE"/>
        </w:rPr>
        <w:t>, the competent authorities shall carry out a screening to identify:</w:t>
      </w:r>
    </w:p>
    <w:p w14:paraId="3B07436E" w14:textId="3DFFF1B5" w:rsidR="00C1418C" w:rsidRDefault="00C44DD6" w:rsidP="00C44DD6">
      <w:pPr>
        <w:pStyle w:val="Point1"/>
        <w:rPr>
          <w:noProof/>
          <w:lang w:eastAsia="en-IE"/>
        </w:rPr>
      </w:pPr>
      <w:r w:rsidRPr="00C44DD6">
        <w:rPr>
          <w:noProof/>
        </w:rPr>
        <w:t>(a)</w:t>
      </w:r>
      <w:r w:rsidRPr="00C44DD6">
        <w:rPr>
          <w:noProof/>
        </w:rPr>
        <w:tab/>
      </w:r>
      <w:r w:rsidR="00C1418C">
        <w:rPr>
          <w:noProof/>
          <w:lang w:eastAsia="en-IE"/>
        </w:rPr>
        <w:t xml:space="preserve">if the project is likely to give rise to significant adverse effects, which were not identified during the environmental assessment of the National Development Plan carried out pursuant to Directive 2001/42/EC and, where relevant, to Directive 92/43/EEC. </w:t>
      </w:r>
    </w:p>
    <w:p w14:paraId="20B29DF7" w14:textId="20783117" w:rsidR="00C749BB" w:rsidRDefault="00C44DD6" w:rsidP="00C44DD6">
      <w:pPr>
        <w:pStyle w:val="Point1"/>
        <w:rPr>
          <w:noProof/>
          <w:lang w:eastAsia="en-IE"/>
        </w:rPr>
      </w:pPr>
      <w:r w:rsidRPr="00C44DD6">
        <w:rPr>
          <w:noProof/>
        </w:rPr>
        <w:t>(b)</w:t>
      </w:r>
      <w:r w:rsidRPr="00C44DD6">
        <w:rPr>
          <w:noProof/>
        </w:rPr>
        <w:tab/>
      </w:r>
      <w:r w:rsidR="00C1418C">
        <w:rPr>
          <w:noProof/>
          <w:lang w:eastAsia="en-IE"/>
        </w:rPr>
        <w:t>if the project falls within the scope of Article 7 of Directive 2011/92/EU and Article 2 of the Convention on environmental impact assessment in a transboundary context due to its likelihood of significant effects on the environment in another Member State or due to the request of a Member State which is likely to be significantly affected.</w:t>
      </w:r>
    </w:p>
    <w:p w14:paraId="7F62DFBF" w14:textId="77777777" w:rsidR="00C1418C" w:rsidRDefault="00C1418C" w:rsidP="00C1418C">
      <w:pPr>
        <w:pStyle w:val="Text1"/>
        <w:rPr>
          <w:noProof/>
          <w:lang w:eastAsia="en-IE"/>
        </w:rPr>
      </w:pPr>
      <w:r w:rsidRPr="00C1418C">
        <w:rPr>
          <w:noProof/>
          <w:lang w:eastAsia="en-IE"/>
        </w:rPr>
        <w:t>This screening referred to in the first subparagraph shall be finalised within 45 days from the notification of the project promoter referred to in paragraph 5 of Article 10.</w:t>
      </w:r>
    </w:p>
    <w:p w14:paraId="0F2EAC7C" w14:textId="5ED15A0B" w:rsidR="002541D9" w:rsidRPr="00AB3A5E" w:rsidRDefault="00C44DD6" w:rsidP="00C44DD6">
      <w:pPr>
        <w:pStyle w:val="ManualNumPar1"/>
        <w:rPr>
          <w:noProof/>
          <w:lang w:val="en-IE" w:eastAsia="en-IE"/>
        </w:rPr>
      </w:pPr>
      <w:r w:rsidRPr="00C44DD6">
        <w:rPr>
          <w:noProof/>
        </w:rPr>
        <w:t>11.</w:t>
      </w:r>
      <w:r w:rsidRPr="00C44DD6">
        <w:rPr>
          <w:noProof/>
        </w:rPr>
        <w:tab/>
      </w:r>
      <w:r w:rsidR="002541D9" w:rsidRPr="002541D9">
        <w:rPr>
          <w:noProof/>
          <w:lang w:val="en-IE" w:eastAsia="en-IE"/>
        </w:rPr>
        <w:t>Where a project on the territory of a Member State is likely to have significant effects on the environment of other Member States, the Member State where the project is located shall ensure the application of Article 7 of Directive 2011/92/EU and Articles 2 to 7 of the Convention on environmental impact assessment in a transboundary context.</w:t>
      </w:r>
    </w:p>
    <w:p w14:paraId="0C9BBB89" w14:textId="20A7C22F" w:rsidR="00D601E6" w:rsidRDefault="00C44DD6" w:rsidP="00C44DD6">
      <w:pPr>
        <w:pStyle w:val="ManualNumPar1"/>
        <w:rPr>
          <w:noProof/>
          <w:lang w:eastAsia="en-IE"/>
        </w:rPr>
      </w:pPr>
      <w:r w:rsidRPr="00C44DD6">
        <w:rPr>
          <w:noProof/>
        </w:rPr>
        <w:t>12.</w:t>
      </w:r>
      <w:r w:rsidRPr="00C44DD6">
        <w:rPr>
          <w:noProof/>
        </w:rPr>
        <w:tab/>
      </w:r>
      <w:r w:rsidR="005867A8" w:rsidRPr="550BBFC5">
        <w:rPr>
          <w:noProof/>
          <w:lang w:eastAsia="en-IE"/>
        </w:rPr>
        <w:t xml:space="preserve">Where the screening process identifies a project to be highly likely to give rise to significant unforeseen adverse effects as referred to in paragraph </w:t>
      </w:r>
      <w:r w:rsidR="00974467" w:rsidRPr="550BBFC5">
        <w:rPr>
          <w:noProof/>
          <w:lang w:eastAsia="en-IE"/>
        </w:rPr>
        <w:t>10</w:t>
      </w:r>
      <w:r w:rsidR="005867A8" w:rsidRPr="550BBFC5">
        <w:rPr>
          <w:noProof/>
          <w:lang w:eastAsia="en-IE"/>
        </w:rPr>
        <w:t xml:space="preserve"> of this Article, the competent authorities shall </w:t>
      </w:r>
      <w:r w:rsidR="4CF72BE8" w:rsidRPr="550BBFC5">
        <w:rPr>
          <w:noProof/>
          <w:lang w:eastAsia="en-IE"/>
        </w:rPr>
        <w:t>inform the project promoter that assessments referred to in points</w:t>
      </w:r>
      <w:r w:rsidR="4CA7EE1E" w:rsidRPr="550BBFC5">
        <w:rPr>
          <w:noProof/>
          <w:lang w:eastAsia="en-IE"/>
        </w:rPr>
        <w:t xml:space="preserve"> </w:t>
      </w:r>
      <w:r w:rsidR="4CF72BE8" w:rsidRPr="550BBFC5">
        <w:rPr>
          <w:noProof/>
          <w:lang w:eastAsia="en-IE"/>
        </w:rPr>
        <w:t>(a) and (b) of paragraph 7 of this Article are re</w:t>
      </w:r>
      <w:r w:rsidR="50DDE13E" w:rsidRPr="550BBFC5">
        <w:rPr>
          <w:noProof/>
          <w:lang w:eastAsia="en-IE"/>
        </w:rPr>
        <w:t>quired</w:t>
      </w:r>
      <w:r w:rsidR="2F8B9589" w:rsidRPr="550BBFC5">
        <w:rPr>
          <w:noProof/>
          <w:lang w:eastAsia="en-IE"/>
        </w:rPr>
        <w:t xml:space="preserve"> and</w:t>
      </w:r>
      <w:r w:rsidR="50DDE13E" w:rsidRPr="550BBFC5">
        <w:rPr>
          <w:noProof/>
          <w:lang w:eastAsia="en-IE"/>
        </w:rPr>
        <w:t xml:space="preserve"> </w:t>
      </w:r>
      <w:r w:rsidR="005867A8" w:rsidRPr="550BBFC5">
        <w:rPr>
          <w:noProof/>
          <w:lang w:eastAsia="en-IE"/>
        </w:rPr>
        <w:t>ensure that on the basis of existing data, appropriate and proportionate mitigation measures are applied for these projects to ensure compliance with Articles 12(1) of Directive 92/43/EEC and Article 5 of Directive 2009/147/EC. Where it is not possible to apply such mitigation measures, the competent authorities shall ensure that project promoters adopt appropriate compensatory measures to address those effects, which, if other proportionate compensatory measures are not available, may take the form of a monetary compensation for species protection programmes, in order to secure or improve the conservation status of the species affected.</w:t>
      </w:r>
      <w:r w:rsidR="00D601E6" w:rsidRPr="550BBFC5">
        <w:rPr>
          <w:noProof/>
          <w:lang w:eastAsia="en-IE"/>
        </w:rPr>
        <w:t xml:space="preserve"> </w:t>
      </w:r>
    </w:p>
    <w:p w14:paraId="4D7629DF" w14:textId="4ECCC4D3" w:rsidR="00803B4A" w:rsidRDefault="00C44DD6" w:rsidP="00C44DD6">
      <w:pPr>
        <w:pStyle w:val="ManualNumPar1"/>
        <w:rPr>
          <w:noProof/>
          <w:lang w:eastAsia="en-IE"/>
        </w:rPr>
      </w:pPr>
      <w:r w:rsidRPr="00C44DD6">
        <w:rPr>
          <w:noProof/>
        </w:rPr>
        <w:t>13.</w:t>
      </w:r>
      <w:r w:rsidRPr="00C44DD6">
        <w:rPr>
          <w:noProof/>
        </w:rPr>
        <w:tab/>
      </w:r>
      <w:r w:rsidR="00803B4A">
        <w:rPr>
          <w:noProof/>
          <w:lang w:eastAsia="en-IE"/>
        </w:rPr>
        <w:t xml:space="preserve">When assessing whether satisfactory alternative solutions to </w:t>
      </w:r>
      <w:r w:rsidR="00803B4A" w:rsidRPr="00803B4A">
        <w:rPr>
          <w:noProof/>
          <w:lang w:eastAsia="en-IE"/>
        </w:rPr>
        <w:t xml:space="preserve">projects on the Union list falling under the infrastructure categories referred to in </w:t>
      </w:r>
      <w:r w:rsidR="002069CA" w:rsidRPr="00803B4A">
        <w:rPr>
          <w:noProof/>
          <w:lang w:eastAsia="en-IE"/>
        </w:rPr>
        <w:t>points (2), (3) and (4)</w:t>
      </w:r>
      <w:r w:rsidR="002069CA">
        <w:rPr>
          <w:noProof/>
          <w:lang w:eastAsia="en-IE"/>
        </w:rPr>
        <w:t xml:space="preserve"> of </w:t>
      </w:r>
      <w:r w:rsidR="00803B4A" w:rsidRPr="00803B4A">
        <w:rPr>
          <w:noProof/>
          <w:lang w:eastAsia="en-IE"/>
        </w:rPr>
        <w:t xml:space="preserve">Annex II </w:t>
      </w:r>
      <w:r w:rsidR="00C84A7E">
        <w:rPr>
          <w:noProof/>
          <w:lang w:eastAsia="en-IE"/>
        </w:rPr>
        <w:t>to this Regulation</w:t>
      </w:r>
      <w:r w:rsidR="00803B4A">
        <w:rPr>
          <w:noProof/>
          <w:lang w:eastAsia="en-IE"/>
        </w:rPr>
        <w:t xml:space="preserve">, exist for the purposes of Articles 6(4) and Article 16(1) of Directive 92/43/EEC, Article 4(7), point (d), of Directive 2000/60/EC and Article 9(1) of Directive 2009/147/EC, the condition of having no satisfactory alternatives shall be fulfilled if there are no satisfactory alternative solutions capable of achieving the same objective of the project in question, in terms of </w:t>
      </w:r>
      <w:r w:rsidR="007D24F5">
        <w:rPr>
          <w:noProof/>
          <w:lang w:eastAsia="en-IE"/>
        </w:rPr>
        <w:t xml:space="preserve">the </w:t>
      </w:r>
      <w:r w:rsidR="00803B4A">
        <w:rPr>
          <w:noProof/>
          <w:lang w:eastAsia="en-IE"/>
        </w:rPr>
        <w:t>development of the same capacity through the same technology within the same or similar timeframe and without resulting in significantly higher costs.</w:t>
      </w:r>
    </w:p>
    <w:p w14:paraId="49312534" w14:textId="2CCCFB2D" w:rsidR="00803B4A" w:rsidRDefault="00C44DD6" w:rsidP="00C44DD6">
      <w:pPr>
        <w:pStyle w:val="ManualNumPar1"/>
        <w:rPr>
          <w:noProof/>
          <w:lang w:eastAsia="en-IE"/>
        </w:rPr>
      </w:pPr>
      <w:r w:rsidRPr="00C44DD6">
        <w:rPr>
          <w:noProof/>
        </w:rPr>
        <w:t>14.</w:t>
      </w:r>
      <w:r w:rsidRPr="00C44DD6">
        <w:rPr>
          <w:noProof/>
        </w:rPr>
        <w:tab/>
      </w:r>
      <w:r w:rsidR="00803B4A">
        <w:rPr>
          <w:noProof/>
          <w:lang w:eastAsia="en-IE"/>
        </w:rPr>
        <w:t xml:space="preserve">When implementing compensatory measures for </w:t>
      </w:r>
      <w:r w:rsidR="00C76E3A" w:rsidRPr="00C76E3A">
        <w:rPr>
          <w:noProof/>
          <w:lang w:eastAsia="en-IE"/>
        </w:rPr>
        <w:t xml:space="preserve">projects on the Union list falling under the infrastructure categories referred to in </w:t>
      </w:r>
      <w:r w:rsidR="002069CA" w:rsidRPr="00C76E3A">
        <w:rPr>
          <w:noProof/>
          <w:lang w:eastAsia="en-IE"/>
        </w:rPr>
        <w:t>points (2), (3) and (4)</w:t>
      </w:r>
      <w:r w:rsidR="002069CA">
        <w:rPr>
          <w:noProof/>
          <w:lang w:eastAsia="en-IE"/>
        </w:rPr>
        <w:t xml:space="preserve"> of </w:t>
      </w:r>
      <w:r w:rsidR="00C76E3A" w:rsidRPr="00C76E3A">
        <w:rPr>
          <w:noProof/>
          <w:lang w:eastAsia="en-IE"/>
        </w:rPr>
        <w:t xml:space="preserve">Annex II </w:t>
      </w:r>
      <w:r w:rsidR="001F4187">
        <w:rPr>
          <w:noProof/>
          <w:lang w:eastAsia="en-IE"/>
        </w:rPr>
        <w:t>to this Regulation</w:t>
      </w:r>
      <w:r w:rsidR="00C76E3A" w:rsidRPr="00C76E3A">
        <w:rPr>
          <w:noProof/>
          <w:lang w:eastAsia="en-IE"/>
        </w:rPr>
        <w:t xml:space="preserve"> </w:t>
      </w:r>
      <w:r w:rsidR="00803B4A">
        <w:rPr>
          <w:noProof/>
          <w:lang w:eastAsia="en-IE"/>
        </w:rPr>
        <w:t>for the purpose of Article 6(4) of Directive 92/43/EEC, Member States</w:t>
      </w:r>
      <w:r w:rsidR="00986582">
        <w:rPr>
          <w:noProof/>
          <w:lang w:eastAsia="en-IE"/>
        </w:rPr>
        <w:t xml:space="preserve"> </w:t>
      </w:r>
      <w:r w:rsidR="00986582" w:rsidRPr="430F917D">
        <w:rPr>
          <w:noProof/>
          <w:lang w:eastAsia="en-IE"/>
        </w:rPr>
        <w:t>may</w:t>
      </w:r>
      <w:r w:rsidR="00986582" w:rsidRPr="2BB41E44">
        <w:rPr>
          <w:noProof/>
          <w:lang w:eastAsia="en-IE"/>
        </w:rPr>
        <w:t xml:space="preserve">, in justified cases and where </w:t>
      </w:r>
      <w:r w:rsidR="00986582" w:rsidRPr="78ECCB41">
        <w:rPr>
          <w:noProof/>
          <w:lang w:eastAsia="en-IE"/>
        </w:rPr>
        <w:t>it can be reasonably demonstrated that the plan or</w:t>
      </w:r>
      <w:r w:rsidR="00986582" w:rsidRPr="0B924A0B">
        <w:rPr>
          <w:noProof/>
          <w:lang w:eastAsia="en-IE"/>
        </w:rPr>
        <w:t xml:space="preserve"> </w:t>
      </w:r>
      <w:r w:rsidR="00986582" w:rsidRPr="4494C0D0">
        <w:rPr>
          <w:noProof/>
          <w:lang w:eastAsia="en-IE"/>
        </w:rPr>
        <w:t xml:space="preserve">project would not irreversibly affect the ecological processes essential for maintaining the structure and functions of the site and would compromise the overall coherence of the Natura 2000 network before compensatory measures are put into place, </w:t>
      </w:r>
      <w:r w:rsidR="00803B4A">
        <w:rPr>
          <w:noProof/>
          <w:lang w:eastAsia="en-IE"/>
        </w:rPr>
        <w:t>allow for such compensatory measures to be carried out in parallel with the implementation of the project. Member States may allow</w:t>
      </w:r>
      <w:r w:rsidR="00FA157E">
        <w:rPr>
          <w:noProof/>
          <w:lang w:eastAsia="en-IE"/>
        </w:rPr>
        <w:t>,</w:t>
      </w:r>
      <w:r w:rsidR="00FA157E" w:rsidRPr="6F449AE2">
        <w:rPr>
          <w:noProof/>
          <w:lang w:eastAsia="en-IE"/>
        </w:rPr>
        <w:t xml:space="preserve"> </w:t>
      </w:r>
      <w:r w:rsidR="00FA157E" w:rsidRPr="26D7F34B">
        <w:rPr>
          <w:noProof/>
          <w:lang w:eastAsia="en-IE"/>
        </w:rPr>
        <w:t>in accordance with the precautionary principle,</w:t>
      </w:r>
      <w:r w:rsidR="00803B4A">
        <w:rPr>
          <w:noProof/>
          <w:lang w:eastAsia="en-IE"/>
        </w:rPr>
        <w:t xml:space="preserve"> for those compensatory measures to be adapted over time, depending on whether the significant negative effects are expected to arise in the short, medium or long term.</w:t>
      </w:r>
    </w:p>
    <w:p w14:paraId="7D6D29E2" w14:textId="2D6F95A7" w:rsidR="00B16D13" w:rsidRPr="00D601E6" w:rsidRDefault="00C44DD6" w:rsidP="00C44DD6">
      <w:pPr>
        <w:pStyle w:val="ManualNumPar1"/>
        <w:rPr>
          <w:noProof/>
          <w:lang w:eastAsia="en-IE"/>
        </w:rPr>
      </w:pPr>
      <w:r w:rsidRPr="00C44DD6">
        <w:rPr>
          <w:noProof/>
        </w:rPr>
        <w:t>15.</w:t>
      </w:r>
      <w:r w:rsidRPr="00C44DD6">
        <w:rPr>
          <w:noProof/>
        </w:rPr>
        <w:tab/>
      </w:r>
      <w:r w:rsidR="00C76E3A">
        <w:rPr>
          <w:noProof/>
          <w:lang w:eastAsia="en-IE"/>
        </w:rPr>
        <w:t>Regarding the assessment</w:t>
      </w:r>
      <w:r w:rsidR="001D0826">
        <w:rPr>
          <w:noProof/>
          <w:lang w:eastAsia="en-IE"/>
        </w:rPr>
        <w:t>,</w:t>
      </w:r>
      <w:r w:rsidR="00C76E3A">
        <w:rPr>
          <w:noProof/>
          <w:lang w:eastAsia="en-IE"/>
        </w:rPr>
        <w:t xml:space="preserve"> </w:t>
      </w:r>
      <w:r w:rsidR="00F82E0B" w:rsidRPr="00F82E0B">
        <w:rPr>
          <w:noProof/>
          <w:lang w:eastAsia="en-IE"/>
        </w:rPr>
        <w:t>satisfactory alternative solutions</w:t>
      </w:r>
      <w:r w:rsidR="00F82E0B">
        <w:rPr>
          <w:noProof/>
          <w:lang w:eastAsia="en-IE"/>
        </w:rPr>
        <w:t xml:space="preserve"> to</w:t>
      </w:r>
      <w:r w:rsidR="00F82E0B" w:rsidRPr="00F82E0B">
        <w:rPr>
          <w:noProof/>
        </w:rPr>
        <w:t xml:space="preserve"> </w:t>
      </w:r>
      <w:r w:rsidR="00F82E0B" w:rsidRPr="00F82E0B">
        <w:rPr>
          <w:noProof/>
          <w:lang w:eastAsia="en-IE"/>
        </w:rPr>
        <w:t xml:space="preserve">projects falling under the infrastructure category referred to in </w:t>
      </w:r>
      <w:r w:rsidR="00C776F9" w:rsidRPr="00F82E0B">
        <w:rPr>
          <w:noProof/>
          <w:lang w:eastAsia="en-IE"/>
        </w:rPr>
        <w:t>point (1)</w:t>
      </w:r>
      <w:r w:rsidR="00C776F9">
        <w:rPr>
          <w:noProof/>
          <w:lang w:eastAsia="en-IE"/>
        </w:rPr>
        <w:t xml:space="preserve"> of </w:t>
      </w:r>
      <w:r w:rsidR="00F82E0B" w:rsidRPr="00F82E0B">
        <w:rPr>
          <w:noProof/>
          <w:lang w:eastAsia="en-IE"/>
        </w:rPr>
        <w:t xml:space="preserve">Annex II </w:t>
      </w:r>
      <w:r w:rsidR="00957EA3">
        <w:rPr>
          <w:noProof/>
          <w:lang w:eastAsia="en-IE"/>
        </w:rPr>
        <w:t>to this Regulation</w:t>
      </w:r>
      <w:r w:rsidR="002A6303">
        <w:rPr>
          <w:noProof/>
          <w:lang w:eastAsia="en-IE"/>
        </w:rPr>
        <w:t xml:space="preserve"> </w:t>
      </w:r>
      <w:r w:rsidR="005B4497">
        <w:rPr>
          <w:noProof/>
          <w:lang w:eastAsia="en-IE"/>
        </w:rPr>
        <w:t xml:space="preserve">and the implementation of compensatory measures for </w:t>
      </w:r>
      <w:r w:rsidR="001D0826">
        <w:rPr>
          <w:noProof/>
          <w:lang w:eastAsia="en-IE"/>
        </w:rPr>
        <w:t xml:space="preserve">those </w:t>
      </w:r>
      <w:r w:rsidR="005B4497">
        <w:rPr>
          <w:noProof/>
          <w:lang w:eastAsia="en-IE"/>
        </w:rPr>
        <w:t>projects, Article 8a of</w:t>
      </w:r>
      <w:r w:rsidR="002B1F4A" w:rsidRPr="002B1F4A">
        <w:rPr>
          <w:noProof/>
        </w:rPr>
        <w:t xml:space="preserve"> </w:t>
      </w:r>
      <w:r w:rsidR="002B1F4A" w:rsidRPr="002B1F4A">
        <w:rPr>
          <w:noProof/>
          <w:lang w:eastAsia="en-IE"/>
        </w:rPr>
        <w:t>Directive (EU) 2019/944</w:t>
      </w:r>
      <w:r w:rsidR="002B1F4A">
        <w:rPr>
          <w:noProof/>
          <w:lang w:eastAsia="en-IE"/>
        </w:rPr>
        <w:t xml:space="preserve"> shall apply.</w:t>
      </w:r>
    </w:p>
    <w:p w14:paraId="5FECB5D1" w14:textId="77777777" w:rsidR="006A4949" w:rsidRPr="00185722" w:rsidRDefault="006A4949" w:rsidP="006A4949">
      <w:pPr>
        <w:pStyle w:val="Titrearticle"/>
        <w:rPr>
          <w:noProof/>
          <w:lang w:eastAsia="en-IE"/>
        </w:rPr>
      </w:pPr>
      <w:r w:rsidRPr="00185722">
        <w:rPr>
          <w:noProof/>
          <w:lang w:eastAsia="en-IE"/>
        </w:rPr>
        <w:t>Article 8</w:t>
      </w:r>
    </w:p>
    <w:p w14:paraId="1707F05D" w14:textId="77777777" w:rsidR="006A4949" w:rsidRPr="006A4949" w:rsidRDefault="006A4949" w:rsidP="006A4949">
      <w:pPr>
        <w:pStyle w:val="Titrearticle"/>
        <w:rPr>
          <w:b/>
          <w:bCs/>
          <w:noProof/>
          <w:lang w:eastAsia="en-IE"/>
        </w:rPr>
      </w:pPr>
      <w:r w:rsidRPr="006A4949">
        <w:rPr>
          <w:b/>
          <w:bCs/>
          <w:noProof/>
          <w:lang w:eastAsia="en-IE"/>
        </w:rPr>
        <w:t>Organisation of the permit</w:t>
      </w:r>
      <w:r w:rsidR="00240FC7">
        <w:rPr>
          <w:b/>
          <w:bCs/>
          <w:noProof/>
          <w:lang w:eastAsia="en-IE"/>
        </w:rPr>
        <w:t>-</w:t>
      </w:r>
      <w:r w:rsidRPr="006A4949">
        <w:rPr>
          <w:b/>
          <w:bCs/>
          <w:noProof/>
          <w:lang w:eastAsia="en-IE"/>
        </w:rPr>
        <w:t>granting process</w:t>
      </w:r>
    </w:p>
    <w:p w14:paraId="269CE6AB" w14:textId="1E4DE5A4" w:rsidR="006A4949" w:rsidRDefault="00C44DD6" w:rsidP="00C44DD6">
      <w:pPr>
        <w:pStyle w:val="ManualNumPar1"/>
        <w:rPr>
          <w:noProof/>
          <w:lang w:eastAsia="en-IE"/>
        </w:rPr>
      </w:pPr>
      <w:r w:rsidRPr="00C44DD6">
        <w:rPr>
          <w:noProof/>
        </w:rPr>
        <w:t>1.</w:t>
      </w:r>
      <w:r w:rsidRPr="00C44DD6">
        <w:rPr>
          <w:noProof/>
        </w:rPr>
        <w:tab/>
      </w:r>
      <w:r w:rsidR="00CF5DFC">
        <w:rPr>
          <w:noProof/>
          <w:lang w:eastAsia="en-IE"/>
        </w:rPr>
        <w:t>E</w:t>
      </w:r>
      <w:r w:rsidR="006A4949" w:rsidRPr="00185722">
        <w:rPr>
          <w:noProof/>
          <w:lang w:eastAsia="en-IE"/>
        </w:rPr>
        <w:t xml:space="preserve">ach Member State shall </w:t>
      </w:r>
      <w:r w:rsidR="00F14001">
        <w:rPr>
          <w:noProof/>
          <w:lang w:eastAsia="en-IE"/>
        </w:rPr>
        <w:t>ensure that</w:t>
      </w:r>
      <w:r w:rsidR="00F14001" w:rsidRPr="00185722">
        <w:rPr>
          <w:noProof/>
          <w:lang w:eastAsia="en-IE"/>
        </w:rPr>
        <w:t xml:space="preserve"> </w:t>
      </w:r>
      <w:r w:rsidR="006A4949" w:rsidRPr="00185722">
        <w:rPr>
          <w:noProof/>
          <w:lang w:eastAsia="en-IE"/>
        </w:rPr>
        <w:t xml:space="preserve">one </w:t>
      </w:r>
      <w:r w:rsidR="006A4949" w:rsidRPr="202D6AB8">
        <w:rPr>
          <w:noProof/>
          <w:lang w:eastAsia="en-IE"/>
        </w:rPr>
        <w:t>single</w:t>
      </w:r>
      <w:r w:rsidR="006A4949" w:rsidRPr="00185722">
        <w:rPr>
          <w:noProof/>
          <w:lang w:eastAsia="en-IE"/>
        </w:rPr>
        <w:t xml:space="preserve"> national competent authority</w:t>
      </w:r>
      <w:r w:rsidR="00F14001">
        <w:rPr>
          <w:noProof/>
          <w:lang w:eastAsia="en-IE"/>
        </w:rPr>
        <w:t xml:space="preserve"> is</w:t>
      </w:r>
      <w:r w:rsidR="006A4949" w:rsidRPr="00185722">
        <w:rPr>
          <w:noProof/>
          <w:lang w:eastAsia="en-IE"/>
        </w:rPr>
        <w:t xml:space="preserve"> responsible for:</w:t>
      </w:r>
    </w:p>
    <w:p w14:paraId="6C4A0184" w14:textId="014DBCBA" w:rsidR="00353155" w:rsidRDefault="00C44DD6" w:rsidP="00C44DD6">
      <w:pPr>
        <w:pStyle w:val="Point1"/>
        <w:rPr>
          <w:noProof/>
          <w:lang w:eastAsia="en-IE"/>
        </w:rPr>
      </w:pPr>
      <w:r w:rsidRPr="00C44DD6">
        <w:rPr>
          <w:noProof/>
        </w:rPr>
        <w:t>(a)</w:t>
      </w:r>
      <w:r w:rsidRPr="00C44DD6">
        <w:rPr>
          <w:noProof/>
        </w:rPr>
        <w:tab/>
      </w:r>
      <w:r w:rsidR="592A2BE6" w:rsidRPr="378AE33B">
        <w:rPr>
          <w:noProof/>
          <w:lang w:eastAsia="en-IE"/>
        </w:rPr>
        <w:t xml:space="preserve">acting as </w:t>
      </w:r>
      <w:r w:rsidR="00B9697E">
        <w:rPr>
          <w:noProof/>
          <w:lang w:eastAsia="en-IE"/>
        </w:rPr>
        <w:t>the</w:t>
      </w:r>
      <w:r w:rsidR="592A2BE6" w:rsidRPr="378AE33B">
        <w:rPr>
          <w:noProof/>
          <w:lang w:eastAsia="en-IE"/>
        </w:rPr>
        <w:t xml:space="preserve"> sole point of contact for project promoters in the permit</w:t>
      </w:r>
      <w:r w:rsidR="00240FC7">
        <w:rPr>
          <w:noProof/>
          <w:lang w:eastAsia="en-IE"/>
        </w:rPr>
        <w:t>-</w:t>
      </w:r>
      <w:r w:rsidR="2B203A7E" w:rsidRPr="378AE33B">
        <w:rPr>
          <w:noProof/>
          <w:lang w:eastAsia="en-IE"/>
        </w:rPr>
        <w:t>grant</w:t>
      </w:r>
      <w:r w:rsidR="592A2BE6" w:rsidRPr="378AE33B">
        <w:rPr>
          <w:noProof/>
          <w:lang w:eastAsia="en-IE"/>
        </w:rPr>
        <w:t xml:space="preserve">ing process, replying to their queries, mediating all contacts with </w:t>
      </w:r>
      <w:r w:rsidR="008F2EAE">
        <w:rPr>
          <w:noProof/>
          <w:lang w:eastAsia="en-IE"/>
        </w:rPr>
        <w:t xml:space="preserve">the </w:t>
      </w:r>
      <w:r w:rsidR="592A2BE6" w:rsidRPr="008F2EAE">
        <w:rPr>
          <w:noProof/>
          <w:lang w:eastAsia="en-IE"/>
        </w:rPr>
        <w:t>authorities concerned</w:t>
      </w:r>
      <w:r w:rsidR="008F2EAE">
        <w:rPr>
          <w:noProof/>
          <w:lang w:eastAsia="en-IE"/>
        </w:rPr>
        <w:t xml:space="preserve"> </w:t>
      </w:r>
      <w:r w:rsidR="592A2BE6" w:rsidRPr="378AE33B">
        <w:rPr>
          <w:noProof/>
          <w:lang w:eastAsia="en-IE"/>
        </w:rPr>
        <w:t>and support them with knowledge and information aiming at the fastest process possible;</w:t>
      </w:r>
    </w:p>
    <w:p w14:paraId="6E290529" w14:textId="7AB4B341" w:rsidR="00407385" w:rsidRPr="00407385" w:rsidRDefault="00C44DD6" w:rsidP="00C44DD6">
      <w:pPr>
        <w:pStyle w:val="Point1"/>
        <w:rPr>
          <w:noProof/>
          <w:lang w:eastAsia="en-IE"/>
        </w:rPr>
      </w:pPr>
      <w:r w:rsidRPr="00C44DD6">
        <w:rPr>
          <w:noProof/>
        </w:rPr>
        <w:t>(b)</w:t>
      </w:r>
      <w:r w:rsidRPr="00C44DD6">
        <w:rPr>
          <w:noProof/>
        </w:rPr>
        <w:tab/>
      </w:r>
      <w:r w:rsidR="00407385" w:rsidRPr="00407385">
        <w:rPr>
          <w:noProof/>
          <w:lang w:eastAsia="en-IE"/>
        </w:rPr>
        <w:t>receiving permitting</w:t>
      </w:r>
      <w:r w:rsidR="00810AE8">
        <w:rPr>
          <w:noProof/>
          <w:lang w:eastAsia="en-IE"/>
        </w:rPr>
        <w:t>-granting</w:t>
      </w:r>
      <w:r w:rsidR="00407385" w:rsidRPr="00407385">
        <w:rPr>
          <w:noProof/>
          <w:lang w:eastAsia="en-IE"/>
        </w:rPr>
        <w:t xml:space="preserve"> applications from </w:t>
      </w:r>
      <w:r w:rsidR="002901FB">
        <w:rPr>
          <w:noProof/>
          <w:lang w:eastAsia="en-IE"/>
        </w:rPr>
        <w:t>promoters of</w:t>
      </w:r>
      <w:r w:rsidR="00407385" w:rsidRPr="00407385">
        <w:rPr>
          <w:noProof/>
          <w:lang w:eastAsia="en-IE"/>
        </w:rPr>
        <w:t xml:space="preserve"> projects on the Union list and all relevant documents in electronic form and disseminating them across authorities concerned;</w:t>
      </w:r>
    </w:p>
    <w:p w14:paraId="36B7D86D" w14:textId="5D896356" w:rsidR="00A86034" w:rsidRPr="00A86034" w:rsidRDefault="00C44DD6" w:rsidP="00C44DD6">
      <w:pPr>
        <w:pStyle w:val="Point1"/>
        <w:rPr>
          <w:noProof/>
          <w:lang w:eastAsia="en-IE"/>
        </w:rPr>
      </w:pPr>
      <w:r w:rsidRPr="00C44DD6">
        <w:rPr>
          <w:noProof/>
        </w:rPr>
        <w:t>(c)</w:t>
      </w:r>
      <w:r w:rsidRPr="00C44DD6">
        <w:rPr>
          <w:noProof/>
        </w:rPr>
        <w:tab/>
      </w:r>
      <w:r w:rsidR="00A86034" w:rsidRPr="00A86034">
        <w:rPr>
          <w:noProof/>
          <w:lang w:eastAsia="en-IE"/>
        </w:rPr>
        <w:t>facilitating and coordinating the permit</w:t>
      </w:r>
      <w:r w:rsidR="00240FC7">
        <w:rPr>
          <w:noProof/>
          <w:lang w:eastAsia="en-IE"/>
        </w:rPr>
        <w:t>-</w:t>
      </w:r>
      <w:r w:rsidR="00A86034" w:rsidRPr="00A86034">
        <w:rPr>
          <w:noProof/>
          <w:lang w:eastAsia="en-IE"/>
        </w:rPr>
        <w:t>granting process of projects on the Union list in their territory with other authorities concerned, determining in cooperation with them, what authorisations, permits and assessments are required to complete the permit</w:t>
      </w:r>
      <w:r w:rsidR="00240FC7">
        <w:rPr>
          <w:noProof/>
          <w:lang w:eastAsia="en-IE"/>
        </w:rPr>
        <w:t>-</w:t>
      </w:r>
      <w:r w:rsidR="00A86034" w:rsidRPr="00A86034">
        <w:rPr>
          <w:noProof/>
          <w:lang w:eastAsia="en-IE"/>
        </w:rPr>
        <w:t xml:space="preserve">granting process and reach a comprehensive decision in </w:t>
      </w:r>
      <w:r w:rsidR="002C5C4B">
        <w:rPr>
          <w:noProof/>
          <w:lang w:eastAsia="en-IE"/>
        </w:rPr>
        <w:t>accordance</w:t>
      </w:r>
      <w:r w:rsidR="00A86034" w:rsidRPr="00A86034">
        <w:rPr>
          <w:noProof/>
          <w:lang w:eastAsia="en-IE"/>
        </w:rPr>
        <w:t xml:space="preserve"> with paragraph 3. This includes the scope and level of detail of the studies, assessment and documentation that project promoters are expected to produce</w:t>
      </w:r>
      <w:r w:rsidR="002F5A33">
        <w:rPr>
          <w:noProof/>
          <w:lang w:eastAsia="en-IE"/>
        </w:rPr>
        <w:t>;</w:t>
      </w:r>
    </w:p>
    <w:p w14:paraId="45F6A20B" w14:textId="1F8F7507" w:rsidR="00F54769" w:rsidRPr="00447938" w:rsidRDefault="00C44DD6" w:rsidP="00C44DD6">
      <w:pPr>
        <w:pStyle w:val="Point1"/>
        <w:rPr>
          <w:noProof/>
          <w:lang w:eastAsia="en-IE"/>
        </w:rPr>
      </w:pPr>
      <w:r w:rsidRPr="00C44DD6">
        <w:rPr>
          <w:noProof/>
        </w:rPr>
        <w:t>(d)</w:t>
      </w:r>
      <w:r w:rsidRPr="00C44DD6">
        <w:rPr>
          <w:noProof/>
        </w:rPr>
        <w:tab/>
      </w:r>
      <w:r w:rsidR="00F54769" w:rsidRPr="00F54769">
        <w:rPr>
          <w:noProof/>
          <w:lang w:eastAsia="en-IE"/>
        </w:rPr>
        <w:t>cooperating and communicating with national competent authorities of other Member States to facilitate and coordinate the permit</w:t>
      </w:r>
      <w:r w:rsidR="00240FC7">
        <w:rPr>
          <w:noProof/>
          <w:lang w:eastAsia="en-IE"/>
        </w:rPr>
        <w:t>-</w:t>
      </w:r>
      <w:r w:rsidR="00F54769" w:rsidRPr="00F54769">
        <w:rPr>
          <w:noProof/>
          <w:lang w:eastAsia="en-IE"/>
        </w:rPr>
        <w:t>granting process for projects on the Union list in their territory, and permitting authorities in third countries as regards projects of mutual interest, including</w:t>
      </w:r>
      <w:r w:rsidR="004E3B0B">
        <w:rPr>
          <w:noProof/>
          <w:lang w:eastAsia="en-IE"/>
        </w:rPr>
        <w:t>:</w:t>
      </w:r>
      <w:r w:rsidR="00F54769" w:rsidRPr="00F54769">
        <w:rPr>
          <w:noProof/>
          <w:lang w:eastAsia="en-IE"/>
        </w:rPr>
        <w:t xml:space="preserve"> aligning public consultations for cross-border projects, in </w:t>
      </w:r>
      <w:r w:rsidR="00B31FBE">
        <w:rPr>
          <w:noProof/>
          <w:lang w:eastAsia="en-IE"/>
        </w:rPr>
        <w:t>accordance</w:t>
      </w:r>
      <w:r w:rsidR="00B31FBE" w:rsidRPr="00447938">
        <w:rPr>
          <w:noProof/>
          <w:lang w:eastAsia="en-IE"/>
        </w:rPr>
        <w:t xml:space="preserve"> </w:t>
      </w:r>
      <w:r w:rsidR="00F54769" w:rsidRPr="00447938">
        <w:rPr>
          <w:noProof/>
          <w:lang w:eastAsia="en-IE"/>
        </w:rPr>
        <w:t>with Article 9(5)</w:t>
      </w:r>
      <w:r w:rsidR="004E3B0B">
        <w:rPr>
          <w:noProof/>
          <w:lang w:eastAsia="en-IE"/>
        </w:rPr>
        <w:t>;</w:t>
      </w:r>
      <w:r w:rsidR="00F54769" w:rsidRPr="00447938">
        <w:rPr>
          <w:noProof/>
          <w:lang w:eastAsia="en-IE"/>
        </w:rPr>
        <w:t xml:space="preserve"> sharing information on likely significant transboundary impacts, in </w:t>
      </w:r>
      <w:r w:rsidR="0002469E">
        <w:rPr>
          <w:rFonts w:eastAsia="Times New Roman"/>
          <w:noProof/>
        </w:rPr>
        <w:t>accordance</w:t>
      </w:r>
      <w:r w:rsidR="0002469E" w:rsidRPr="00500A9D">
        <w:rPr>
          <w:rFonts w:eastAsia="Times New Roman"/>
          <w:noProof/>
        </w:rPr>
        <w:t xml:space="preserve"> </w:t>
      </w:r>
      <w:r w:rsidR="00F54769" w:rsidRPr="00447938">
        <w:rPr>
          <w:noProof/>
          <w:lang w:eastAsia="en-IE"/>
        </w:rPr>
        <w:t>with Article 9(6)</w:t>
      </w:r>
      <w:r w:rsidR="004969F9">
        <w:rPr>
          <w:noProof/>
          <w:lang w:eastAsia="en-IE"/>
        </w:rPr>
        <w:t>;</w:t>
      </w:r>
      <w:r w:rsidR="00F54769" w:rsidRPr="00447938">
        <w:rPr>
          <w:noProof/>
          <w:lang w:eastAsia="en-IE"/>
        </w:rPr>
        <w:t xml:space="preserve"> aligning the timeline and requirements for studies, permits or authorisations to be conducted</w:t>
      </w:r>
      <w:r w:rsidR="004969F9">
        <w:rPr>
          <w:noProof/>
          <w:lang w:eastAsia="en-IE"/>
        </w:rPr>
        <w:t>;</w:t>
      </w:r>
      <w:r w:rsidR="00F54769" w:rsidRPr="00447938">
        <w:rPr>
          <w:noProof/>
          <w:lang w:eastAsia="en-IE"/>
        </w:rPr>
        <w:t xml:space="preserve"> and</w:t>
      </w:r>
      <w:r w:rsidR="00331C7A">
        <w:rPr>
          <w:noProof/>
          <w:lang w:eastAsia="en-IE"/>
        </w:rPr>
        <w:t>,</w:t>
      </w:r>
      <w:r w:rsidR="00F54769" w:rsidRPr="00447938">
        <w:rPr>
          <w:noProof/>
          <w:lang w:eastAsia="en-IE"/>
        </w:rPr>
        <w:t xml:space="preserve"> organising the pre-application procedure in </w:t>
      </w:r>
      <w:r w:rsidR="00B31FBE">
        <w:rPr>
          <w:noProof/>
          <w:lang w:eastAsia="en-IE"/>
        </w:rPr>
        <w:t>accordance</w:t>
      </w:r>
      <w:r w:rsidR="00B31FBE" w:rsidRPr="00447938">
        <w:rPr>
          <w:noProof/>
          <w:lang w:eastAsia="en-IE"/>
        </w:rPr>
        <w:t xml:space="preserve"> </w:t>
      </w:r>
      <w:r w:rsidR="00F54769" w:rsidRPr="00447938">
        <w:rPr>
          <w:noProof/>
          <w:lang w:eastAsia="en-IE"/>
        </w:rPr>
        <w:t>with Article 10(</w:t>
      </w:r>
      <w:r w:rsidR="008E5513" w:rsidRPr="00447938">
        <w:rPr>
          <w:noProof/>
          <w:lang w:eastAsia="en-IE"/>
        </w:rPr>
        <w:t>9</w:t>
      </w:r>
      <w:r w:rsidR="00F54769" w:rsidRPr="00447938">
        <w:rPr>
          <w:noProof/>
          <w:lang w:eastAsia="en-IE"/>
        </w:rPr>
        <w:t>);</w:t>
      </w:r>
    </w:p>
    <w:p w14:paraId="21B34EAC" w14:textId="70FFC758" w:rsidR="00F54769" w:rsidRPr="00350FF2" w:rsidRDefault="00C44DD6" w:rsidP="00C44DD6">
      <w:pPr>
        <w:pStyle w:val="Point1"/>
        <w:rPr>
          <w:noProof/>
          <w:lang w:eastAsia="en-IE"/>
        </w:rPr>
      </w:pPr>
      <w:r w:rsidRPr="00C44DD6">
        <w:rPr>
          <w:noProof/>
        </w:rPr>
        <w:t>(e)</w:t>
      </w:r>
      <w:r w:rsidRPr="00C44DD6">
        <w:rPr>
          <w:noProof/>
        </w:rPr>
        <w:tab/>
      </w:r>
      <w:r w:rsidR="0046044E" w:rsidRPr="0046044E">
        <w:rPr>
          <w:noProof/>
          <w:lang w:eastAsia="en-IE"/>
        </w:rPr>
        <w:t xml:space="preserve">monitoring the development and delays of projects </w:t>
      </w:r>
      <w:r w:rsidR="002557DF">
        <w:rPr>
          <w:noProof/>
          <w:lang w:eastAsia="en-IE"/>
        </w:rPr>
        <w:t>o</w:t>
      </w:r>
      <w:r w:rsidR="0046044E" w:rsidRPr="0046044E">
        <w:rPr>
          <w:noProof/>
          <w:lang w:eastAsia="en-IE"/>
        </w:rPr>
        <w:t xml:space="preserve">n the Union list </w:t>
      </w:r>
      <w:r w:rsidR="00FF1CA5">
        <w:rPr>
          <w:noProof/>
          <w:lang w:eastAsia="en-IE"/>
        </w:rPr>
        <w:t>with</w:t>
      </w:r>
      <w:r w:rsidR="0046044E" w:rsidRPr="0046044E">
        <w:rPr>
          <w:noProof/>
          <w:lang w:eastAsia="en-IE"/>
        </w:rPr>
        <w:t>in their territory</w:t>
      </w:r>
      <w:r w:rsidR="00FF1CA5">
        <w:rPr>
          <w:noProof/>
          <w:lang w:eastAsia="en-IE"/>
        </w:rPr>
        <w:t xml:space="preserve"> of </w:t>
      </w:r>
      <w:r w:rsidR="00EA7BD4">
        <w:rPr>
          <w:noProof/>
          <w:lang w:eastAsia="en-IE"/>
        </w:rPr>
        <w:t>responsibility</w:t>
      </w:r>
      <w:r w:rsidR="0046044E" w:rsidRPr="0046044E">
        <w:rPr>
          <w:noProof/>
          <w:lang w:eastAsia="en-IE"/>
        </w:rPr>
        <w:t xml:space="preserve">, </w:t>
      </w:r>
      <w:r w:rsidR="0046044E" w:rsidRPr="009C131C">
        <w:rPr>
          <w:noProof/>
          <w:lang w:eastAsia="en-IE"/>
        </w:rPr>
        <w:t xml:space="preserve">including by receiving and approving reports submitted by project promoters in </w:t>
      </w:r>
      <w:r w:rsidR="002C5C4B">
        <w:rPr>
          <w:noProof/>
          <w:lang w:eastAsia="en-IE"/>
        </w:rPr>
        <w:t>accordance</w:t>
      </w:r>
      <w:r w:rsidR="0046044E" w:rsidRPr="00350FF2">
        <w:rPr>
          <w:noProof/>
          <w:lang w:eastAsia="en-IE"/>
        </w:rPr>
        <w:t xml:space="preserve"> with Article 5(4) and reporting to the Agency and relevant Groups on the development and delays of projects </w:t>
      </w:r>
      <w:r w:rsidR="00EA7BD4">
        <w:rPr>
          <w:noProof/>
          <w:lang w:eastAsia="en-IE"/>
        </w:rPr>
        <w:t>o</w:t>
      </w:r>
      <w:r w:rsidR="0046044E" w:rsidRPr="00350FF2">
        <w:rPr>
          <w:noProof/>
          <w:lang w:eastAsia="en-IE"/>
        </w:rPr>
        <w:t xml:space="preserve">n the union list located in their territory in </w:t>
      </w:r>
      <w:r w:rsidR="00B31FBE">
        <w:rPr>
          <w:noProof/>
          <w:lang w:eastAsia="en-IE"/>
        </w:rPr>
        <w:t>accordance</w:t>
      </w:r>
      <w:r w:rsidR="00B31FBE" w:rsidRPr="00447938">
        <w:rPr>
          <w:noProof/>
          <w:lang w:eastAsia="en-IE"/>
        </w:rPr>
        <w:t xml:space="preserve"> </w:t>
      </w:r>
      <w:r w:rsidR="0046044E" w:rsidRPr="00350FF2">
        <w:rPr>
          <w:noProof/>
          <w:lang w:eastAsia="en-IE"/>
        </w:rPr>
        <w:t>with Article 5(5)</w:t>
      </w:r>
      <w:r w:rsidR="00DC1DBD">
        <w:rPr>
          <w:noProof/>
          <w:lang w:eastAsia="en-IE"/>
        </w:rPr>
        <w:t>.</w:t>
      </w:r>
    </w:p>
    <w:p w14:paraId="76DDEBAE" w14:textId="77777777" w:rsidR="00353155" w:rsidRDefault="00353155" w:rsidP="00271C42">
      <w:pPr>
        <w:pStyle w:val="Text1"/>
        <w:rPr>
          <w:noProof/>
          <w:lang w:eastAsia="en-IE"/>
        </w:rPr>
      </w:pPr>
      <w:r w:rsidRPr="00185722">
        <w:rPr>
          <w:noProof/>
          <w:lang w:eastAsia="en-IE"/>
        </w:rPr>
        <w:t xml:space="preserve">In case of update to, or changes of, the designated national competent authority, Member States shall notify the Commission as soon as </w:t>
      </w:r>
      <w:r w:rsidR="003567EB">
        <w:rPr>
          <w:noProof/>
          <w:lang w:eastAsia="en-IE"/>
        </w:rPr>
        <w:t>the change is decided</w:t>
      </w:r>
      <w:r w:rsidR="00A97A5D">
        <w:rPr>
          <w:noProof/>
          <w:lang w:eastAsia="en-IE"/>
        </w:rPr>
        <w:t xml:space="preserve"> and</w:t>
      </w:r>
      <w:r w:rsidR="009201DA">
        <w:rPr>
          <w:noProof/>
          <w:lang w:eastAsia="en-IE"/>
        </w:rPr>
        <w:t xml:space="preserve"> </w:t>
      </w:r>
      <w:r w:rsidR="003232EA">
        <w:rPr>
          <w:noProof/>
          <w:lang w:eastAsia="en-IE"/>
        </w:rPr>
        <w:t>inform</w:t>
      </w:r>
      <w:r w:rsidR="00091045">
        <w:rPr>
          <w:noProof/>
          <w:lang w:eastAsia="en-IE"/>
        </w:rPr>
        <w:t xml:space="preserve"> when </w:t>
      </w:r>
      <w:r w:rsidRPr="00185722">
        <w:rPr>
          <w:noProof/>
          <w:lang w:eastAsia="en-IE"/>
        </w:rPr>
        <w:t>such changes produce effects.</w:t>
      </w:r>
    </w:p>
    <w:p w14:paraId="3AA77230" w14:textId="1334F09F" w:rsidR="00353155" w:rsidRDefault="00C44DD6" w:rsidP="00C44DD6">
      <w:pPr>
        <w:pStyle w:val="ManualNumPar1"/>
        <w:rPr>
          <w:noProof/>
          <w:lang w:eastAsia="en-IE"/>
        </w:rPr>
      </w:pPr>
      <w:r w:rsidRPr="00C44DD6">
        <w:rPr>
          <w:noProof/>
        </w:rPr>
        <w:t>2.</w:t>
      </w:r>
      <w:r w:rsidRPr="00C44DD6">
        <w:rPr>
          <w:noProof/>
        </w:rPr>
        <w:tab/>
      </w:r>
      <w:r w:rsidR="00353155" w:rsidRPr="00185722">
        <w:rPr>
          <w:noProof/>
          <w:lang w:eastAsia="en-IE"/>
        </w:rPr>
        <w:t xml:space="preserve">The responsibilities of the national competent authority referred to in paragraph 1 and the tasks related to it may be delegated </w:t>
      </w:r>
      <w:r w:rsidR="00271C42" w:rsidRPr="00185722">
        <w:rPr>
          <w:noProof/>
          <w:lang w:eastAsia="en-IE"/>
        </w:rPr>
        <w:t>to another</w:t>
      </w:r>
      <w:r w:rsidR="00353155" w:rsidRPr="00185722">
        <w:rPr>
          <w:noProof/>
          <w:lang w:eastAsia="en-IE"/>
        </w:rPr>
        <w:t xml:space="preserve"> authority, per project on the Union list or per particular category of projects on the Union list, or per geographical area, provided that:</w:t>
      </w:r>
    </w:p>
    <w:p w14:paraId="44D47E91" w14:textId="250385E9" w:rsidR="00353155" w:rsidRPr="00185722" w:rsidRDefault="00C44DD6" w:rsidP="00C44DD6">
      <w:pPr>
        <w:pStyle w:val="Point1"/>
        <w:rPr>
          <w:noProof/>
          <w:lang w:eastAsia="en-IE"/>
        </w:rPr>
      </w:pPr>
      <w:r w:rsidRPr="00C44DD6">
        <w:rPr>
          <w:noProof/>
        </w:rPr>
        <w:t>(a)</w:t>
      </w:r>
      <w:r w:rsidRPr="00C44DD6">
        <w:rPr>
          <w:noProof/>
        </w:rPr>
        <w:tab/>
      </w:r>
      <w:r w:rsidR="00353155" w:rsidRPr="00185722">
        <w:rPr>
          <w:noProof/>
          <w:lang w:eastAsia="en-IE"/>
        </w:rPr>
        <w:t>the national competent authority notifies the Commission of that delegation and the information therein is</w:t>
      </w:r>
      <w:r w:rsidR="00353155" w:rsidRPr="003A63CF">
        <w:rPr>
          <w:noProof/>
          <w:color w:val="000000" w:themeColor="text1"/>
          <w:lang w:eastAsia="en-IE"/>
        </w:rPr>
        <w:t xml:space="preserve"> made easily available to the public including</w:t>
      </w:r>
      <w:r w:rsidR="00353155" w:rsidRPr="00185722">
        <w:rPr>
          <w:noProof/>
          <w:lang w:eastAsia="en-IE"/>
        </w:rPr>
        <w:t xml:space="preserve"> on the website referred to in Article 9(7);</w:t>
      </w:r>
    </w:p>
    <w:p w14:paraId="2708666E" w14:textId="71B0C1B1" w:rsidR="00353155" w:rsidRPr="00185722" w:rsidRDefault="00C44DD6" w:rsidP="00C44DD6">
      <w:pPr>
        <w:pStyle w:val="Point1"/>
        <w:rPr>
          <w:noProof/>
          <w:lang w:eastAsia="en-IE"/>
        </w:rPr>
      </w:pPr>
      <w:r w:rsidRPr="00C44DD6">
        <w:rPr>
          <w:noProof/>
        </w:rPr>
        <w:t>(b)</w:t>
      </w:r>
      <w:r w:rsidRPr="00C44DD6">
        <w:rPr>
          <w:noProof/>
        </w:rPr>
        <w:tab/>
      </w:r>
      <w:r w:rsidR="00353155" w:rsidRPr="00185722">
        <w:rPr>
          <w:noProof/>
          <w:lang w:eastAsia="en-IE"/>
        </w:rPr>
        <w:t xml:space="preserve">only one authority is responsible per project, or category of projects, on the Union list, and it is the sole point of contact for the project promoters, taking upon all responsibilities in the process leading to the comprehensive decision within the legal deadline provided </w:t>
      </w:r>
      <w:r w:rsidR="00353155" w:rsidRPr="00A96FEE">
        <w:rPr>
          <w:noProof/>
          <w:lang w:eastAsia="en-IE"/>
        </w:rPr>
        <w:t>in Article 10(2) and</w:t>
      </w:r>
      <w:r w:rsidR="00353155" w:rsidRPr="00185722">
        <w:rPr>
          <w:noProof/>
          <w:lang w:eastAsia="en-IE"/>
        </w:rPr>
        <w:t xml:space="preserve"> coordinates the submission of all relevant documents and information including to any other authority concerned;</w:t>
      </w:r>
    </w:p>
    <w:p w14:paraId="084E5711" w14:textId="69A4C89B" w:rsidR="00353155" w:rsidRPr="0023213B" w:rsidRDefault="00C44DD6" w:rsidP="00C44DD6">
      <w:pPr>
        <w:pStyle w:val="Point1"/>
        <w:rPr>
          <w:noProof/>
          <w:lang w:eastAsia="en-IE"/>
        </w:rPr>
      </w:pPr>
      <w:r w:rsidRPr="00C44DD6">
        <w:rPr>
          <w:noProof/>
        </w:rPr>
        <w:t>(c)</w:t>
      </w:r>
      <w:r w:rsidRPr="00C44DD6">
        <w:rPr>
          <w:noProof/>
        </w:rPr>
        <w:tab/>
      </w:r>
      <w:r w:rsidR="00353155" w:rsidRPr="2EDD83DD">
        <w:rPr>
          <w:noProof/>
          <w:lang w:eastAsia="en-IE"/>
        </w:rPr>
        <w:t xml:space="preserve">irrespective </w:t>
      </w:r>
      <w:r w:rsidR="4EA45751" w:rsidRPr="2EDD83DD">
        <w:rPr>
          <w:noProof/>
          <w:lang w:eastAsia="en-IE"/>
        </w:rPr>
        <w:t>of</w:t>
      </w:r>
      <w:r w:rsidR="00353155" w:rsidRPr="00185722">
        <w:rPr>
          <w:noProof/>
          <w:lang w:eastAsia="en-IE"/>
        </w:rPr>
        <w:t xml:space="preserve"> </w:t>
      </w:r>
      <w:r w:rsidR="00EA0E43">
        <w:rPr>
          <w:noProof/>
          <w:lang w:eastAsia="en-IE"/>
        </w:rPr>
        <w:t>the</w:t>
      </w:r>
      <w:r w:rsidR="00353155" w:rsidRPr="00185722">
        <w:rPr>
          <w:noProof/>
          <w:lang w:eastAsia="en-IE"/>
        </w:rPr>
        <w:t xml:space="preserve"> </w:t>
      </w:r>
      <w:r w:rsidR="00D739D8">
        <w:rPr>
          <w:noProof/>
          <w:lang w:eastAsia="en-IE"/>
        </w:rPr>
        <w:t>delegation</w:t>
      </w:r>
      <w:r w:rsidR="00353155" w:rsidRPr="00185722">
        <w:rPr>
          <w:noProof/>
          <w:lang w:eastAsia="en-IE"/>
        </w:rPr>
        <w:t xml:space="preserve">, the national competent authority remains responsible to </w:t>
      </w:r>
      <w:r w:rsidR="00353155" w:rsidRPr="0023213B">
        <w:rPr>
          <w:noProof/>
          <w:lang w:eastAsia="en-IE"/>
        </w:rPr>
        <w:t xml:space="preserve">aggregate the reports submitted by project promoters in </w:t>
      </w:r>
      <w:r w:rsidR="00B31FBE">
        <w:rPr>
          <w:noProof/>
          <w:lang w:eastAsia="en-IE"/>
        </w:rPr>
        <w:t>accordance</w:t>
      </w:r>
      <w:r w:rsidR="00B31FBE" w:rsidRPr="00447938">
        <w:rPr>
          <w:noProof/>
          <w:lang w:eastAsia="en-IE"/>
        </w:rPr>
        <w:t xml:space="preserve"> </w:t>
      </w:r>
      <w:r w:rsidR="00353155" w:rsidRPr="0023213B">
        <w:rPr>
          <w:noProof/>
          <w:lang w:eastAsia="en-IE"/>
        </w:rPr>
        <w:t xml:space="preserve">with Article 5(4) and report to the Agency and relevant Groups in </w:t>
      </w:r>
      <w:r w:rsidR="00BF7054">
        <w:rPr>
          <w:noProof/>
          <w:lang w:eastAsia="en-IE"/>
        </w:rPr>
        <w:t>accordance</w:t>
      </w:r>
      <w:r w:rsidR="00BF7054" w:rsidRPr="00447938">
        <w:rPr>
          <w:noProof/>
          <w:lang w:eastAsia="en-IE"/>
        </w:rPr>
        <w:t xml:space="preserve"> </w:t>
      </w:r>
      <w:r w:rsidR="00353155" w:rsidRPr="0023213B">
        <w:rPr>
          <w:noProof/>
          <w:lang w:eastAsia="en-IE"/>
        </w:rPr>
        <w:t>with Article 5(5).</w:t>
      </w:r>
    </w:p>
    <w:p w14:paraId="406ED721" w14:textId="77777777" w:rsidR="00353155" w:rsidRPr="00185722" w:rsidRDefault="00353155" w:rsidP="00271C42">
      <w:pPr>
        <w:pStyle w:val="Text1"/>
        <w:rPr>
          <w:noProof/>
          <w:lang w:eastAsia="en-IE"/>
        </w:rPr>
      </w:pPr>
      <w:r w:rsidRPr="00353155">
        <w:rPr>
          <w:noProof/>
          <w:lang w:eastAsia="en-IE"/>
        </w:rPr>
        <w:t>The national competent authority may also retain the responsibility to establish time limits, without prejudice to the time limits set in Article 10(1) and (2).</w:t>
      </w:r>
    </w:p>
    <w:p w14:paraId="773FF06A" w14:textId="69C5F069" w:rsidR="00353155" w:rsidRPr="0023213B" w:rsidRDefault="00C44DD6" w:rsidP="00C44DD6">
      <w:pPr>
        <w:pStyle w:val="ManualNumPar1"/>
        <w:rPr>
          <w:noProof/>
          <w:lang w:eastAsia="en-IE"/>
        </w:rPr>
      </w:pPr>
      <w:r w:rsidRPr="00C44DD6">
        <w:rPr>
          <w:noProof/>
        </w:rPr>
        <w:t>3.</w:t>
      </w:r>
      <w:r w:rsidRPr="00C44DD6">
        <w:rPr>
          <w:noProof/>
        </w:rPr>
        <w:tab/>
      </w:r>
      <w:r w:rsidR="00353155" w:rsidRPr="1AFDDD61">
        <w:rPr>
          <w:noProof/>
          <w:lang w:eastAsia="en-IE"/>
        </w:rPr>
        <w:t xml:space="preserve">The national competent authority shall ensure the issuing of the comprehensive decision within the time limits set </w:t>
      </w:r>
      <w:r w:rsidR="00FA5F98">
        <w:rPr>
          <w:noProof/>
          <w:lang w:eastAsia="en-IE"/>
        </w:rPr>
        <w:t xml:space="preserve">out </w:t>
      </w:r>
      <w:r w:rsidR="00353155" w:rsidRPr="1AFDDD61">
        <w:rPr>
          <w:noProof/>
          <w:lang w:eastAsia="en-IE"/>
        </w:rPr>
        <w:t xml:space="preserve">in Article 10(1) and (2). </w:t>
      </w:r>
    </w:p>
    <w:p w14:paraId="6AF71422" w14:textId="77777777" w:rsidR="00353155" w:rsidRDefault="00353155" w:rsidP="007366D2">
      <w:pPr>
        <w:pStyle w:val="Text1"/>
        <w:rPr>
          <w:noProof/>
          <w:lang w:eastAsia="en-IE"/>
        </w:rPr>
      </w:pPr>
      <w:r w:rsidRPr="3B003847">
        <w:rPr>
          <w:noProof/>
          <w:lang w:eastAsia="en-IE"/>
        </w:rPr>
        <w:t>Member States shall choose among</w:t>
      </w:r>
      <w:r w:rsidRPr="00185722">
        <w:rPr>
          <w:noProof/>
          <w:lang w:eastAsia="en-IE"/>
        </w:rPr>
        <w:t xml:space="preserve"> the following schemes</w:t>
      </w:r>
      <w:r w:rsidR="005F6E6F">
        <w:rPr>
          <w:noProof/>
          <w:lang w:eastAsia="en-IE"/>
        </w:rPr>
        <w:t>,</w:t>
      </w:r>
      <w:r w:rsidRPr="3B003847">
        <w:rPr>
          <w:noProof/>
          <w:lang w:eastAsia="en-IE"/>
        </w:rPr>
        <w:t xml:space="preserve"> taking into account which </w:t>
      </w:r>
      <w:r w:rsidR="005F6E6F">
        <w:rPr>
          <w:noProof/>
          <w:lang w:eastAsia="en-IE"/>
        </w:rPr>
        <w:t xml:space="preserve">scheme </w:t>
      </w:r>
      <w:r w:rsidRPr="3B003847">
        <w:rPr>
          <w:noProof/>
          <w:lang w:eastAsia="en-IE"/>
        </w:rPr>
        <w:t>is most effective in light of national law, national planning and permit</w:t>
      </w:r>
      <w:r w:rsidR="00240FC7">
        <w:rPr>
          <w:noProof/>
          <w:lang w:eastAsia="en-IE"/>
        </w:rPr>
        <w:t>-</w:t>
      </w:r>
      <w:r w:rsidRPr="3B003847">
        <w:rPr>
          <w:noProof/>
          <w:lang w:eastAsia="en-IE"/>
        </w:rPr>
        <w:t xml:space="preserve">granting process specificities, and </w:t>
      </w:r>
      <w:r w:rsidR="00675BE9">
        <w:rPr>
          <w:noProof/>
          <w:lang w:eastAsia="en-IE"/>
        </w:rPr>
        <w:t xml:space="preserve">whether </w:t>
      </w:r>
      <w:r w:rsidR="000A7DD6">
        <w:rPr>
          <w:noProof/>
          <w:lang w:eastAsia="en-IE"/>
        </w:rPr>
        <w:t xml:space="preserve">it </w:t>
      </w:r>
      <w:r w:rsidRPr="3B003847">
        <w:rPr>
          <w:noProof/>
          <w:lang w:eastAsia="en-IE"/>
        </w:rPr>
        <w:t>can be implemented in a manner that contributes to the most efficient and timely issuing of the comprehensive decision</w:t>
      </w:r>
      <w:r w:rsidRPr="00185722">
        <w:rPr>
          <w:noProof/>
          <w:lang w:eastAsia="en-IE"/>
        </w:rPr>
        <w:t>:</w:t>
      </w:r>
    </w:p>
    <w:p w14:paraId="23CC3F7C" w14:textId="13882A28" w:rsidR="00353155" w:rsidRDefault="00C44DD6" w:rsidP="00C44DD6">
      <w:pPr>
        <w:pStyle w:val="Point1"/>
        <w:rPr>
          <w:noProof/>
          <w:lang w:eastAsia="en-IE"/>
        </w:rPr>
      </w:pPr>
      <w:r w:rsidRPr="00C44DD6">
        <w:rPr>
          <w:noProof/>
        </w:rPr>
        <w:t>(a)</w:t>
      </w:r>
      <w:r w:rsidRPr="00C44DD6">
        <w:rPr>
          <w:noProof/>
        </w:rPr>
        <w:tab/>
      </w:r>
      <w:r w:rsidR="00353155" w:rsidRPr="00185722">
        <w:rPr>
          <w:noProof/>
          <w:lang w:eastAsia="en-IE"/>
        </w:rPr>
        <w:t>integrated scheme:</w:t>
      </w:r>
    </w:p>
    <w:p w14:paraId="6DAC3782" w14:textId="77777777" w:rsidR="00353155" w:rsidRPr="00185722" w:rsidRDefault="00872170" w:rsidP="00872170">
      <w:pPr>
        <w:pStyle w:val="Point2"/>
        <w:rPr>
          <w:noProof/>
          <w:lang w:eastAsia="en-IE"/>
        </w:rPr>
      </w:pPr>
      <w:r>
        <w:rPr>
          <w:noProof/>
          <w:lang w:eastAsia="en-IE"/>
        </w:rPr>
        <w:t>(i)</w:t>
      </w:r>
      <w:r>
        <w:rPr>
          <w:noProof/>
          <w:lang w:eastAsia="en-IE"/>
        </w:rPr>
        <w:tab/>
      </w:r>
      <w:r w:rsidR="00353155" w:rsidRPr="00185722">
        <w:rPr>
          <w:noProof/>
          <w:lang w:eastAsia="en-IE"/>
        </w:rPr>
        <w:t>the comprehensive decision shall be issued by the national competent authority and shall be the sole legally binding decision arising from the statutory permit</w:t>
      </w:r>
      <w:r w:rsidR="00240FC7">
        <w:rPr>
          <w:noProof/>
          <w:lang w:eastAsia="en-IE"/>
        </w:rPr>
        <w:t>-</w:t>
      </w:r>
      <w:r w:rsidR="00353155" w:rsidRPr="00185722">
        <w:rPr>
          <w:noProof/>
          <w:lang w:eastAsia="en-IE"/>
        </w:rPr>
        <w:t xml:space="preserve">granting </w:t>
      </w:r>
      <w:r w:rsidR="000A2E0E" w:rsidRPr="00185722">
        <w:rPr>
          <w:noProof/>
          <w:lang w:eastAsia="en-IE"/>
        </w:rPr>
        <w:t>proce</w:t>
      </w:r>
      <w:r w:rsidR="000A2E0E">
        <w:rPr>
          <w:noProof/>
          <w:lang w:eastAsia="en-IE"/>
        </w:rPr>
        <w:t>ss</w:t>
      </w:r>
      <w:r w:rsidR="00307C57">
        <w:rPr>
          <w:noProof/>
          <w:lang w:eastAsia="en-IE"/>
        </w:rPr>
        <w:t>;</w:t>
      </w:r>
      <w:r w:rsidR="00353155" w:rsidRPr="00185722">
        <w:rPr>
          <w:noProof/>
          <w:lang w:eastAsia="en-IE"/>
        </w:rPr>
        <w:t xml:space="preserve"> </w:t>
      </w:r>
    </w:p>
    <w:p w14:paraId="02DA70AA" w14:textId="77777777" w:rsidR="00353155" w:rsidRPr="00185722" w:rsidRDefault="00872170" w:rsidP="00872170">
      <w:pPr>
        <w:pStyle w:val="Point2"/>
        <w:rPr>
          <w:noProof/>
          <w:lang w:eastAsia="en-IE"/>
        </w:rPr>
      </w:pPr>
      <w:r>
        <w:rPr>
          <w:noProof/>
          <w:lang w:eastAsia="en-IE"/>
        </w:rPr>
        <w:t>(ii)</w:t>
      </w:r>
      <w:r>
        <w:rPr>
          <w:noProof/>
          <w:lang w:eastAsia="en-IE"/>
        </w:rPr>
        <w:tab/>
      </w:r>
      <w:r w:rsidR="00307C57">
        <w:rPr>
          <w:noProof/>
          <w:lang w:eastAsia="en-IE"/>
        </w:rPr>
        <w:t>w</w:t>
      </w:r>
      <w:r w:rsidR="00353155" w:rsidRPr="00185722">
        <w:rPr>
          <w:noProof/>
          <w:lang w:eastAsia="en-IE"/>
        </w:rPr>
        <w:t>here other authorities are concerned by the project, they may, in accordance with national law, give their opinion as input to the procedure, which shall be taken into account by the national competent authority;</w:t>
      </w:r>
    </w:p>
    <w:p w14:paraId="1120D5BE" w14:textId="29A75582" w:rsidR="00353155" w:rsidRDefault="00C44DD6" w:rsidP="00C44DD6">
      <w:pPr>
        <w:pStyle w:val="Point1"/>
        <w:rPr>
          <w:noProof/>
          <w:lang w:eastAsia="en-IE"/>
        </w:rPr>
      </w:pPr>
      <w:r w:rsidRPr="00C44DD6">
        <w:rPr>
          <w:noProof/>
        </w:rPr>
        <w:t>(b)</w:t>
      </w:r>
      <w:r w:rsidRPr="00C44DD6">
        <w:rPr>
          <w:noProof/>
        </w:rPr>
        <w:tab/>
      </w:r>
      <w:r w:rsidR="00353155" w:rsidRPr="00185722">
        <w:rPr>
          <w:noProof/>
          <w:lang w:eastAsia="en-IE"/>
        </w:rPr>
        <w:t>coordinated scheme:</w:t>
      </w:r>
    </w:p>
    <w:p w14:paraId="33B4A568" w14:textId="77777777" w:rsidR="00353155" w:rsidRPr="00185722" w:rsidRDefault="00872170" w:rsidP="00872170">
      <w:pPr>
        <w:pStyle w:val="Point2"/>
        <w:rPr>
          <w:noProof/>
          <w:color w:val="000000"/>
          <w:lang w:eastAsia="en-IE"/>
        </w:rPr>
      </w:pPr>
      <w:r>
        <w:rPr>
          <w:noProof/>
          <w:lang w:eastAsia="en-IE"/>
        </w:rPr>
        <w:t>(i)</w:t>
      </w:r>
      <w:r>
        <w:rPr>
          <w:noProof/>
          <w:lang w:eastAsia="en-IE"/>
        </w:rPr>
        <w:tab/>
      </w:r>
      <w:r w:rsidR="00353155" w:rsidRPr="5B3954F8">
        <w:rPr>
          <w:noProof/>
          <w:lang w:eastAsia="en-IE"/>
        </w:rPr>
        <w:t xml:space="preserve">the comprehensive decision </w:t>
      </w:r>
      <w:r w:rsidR="00353155" w:rsidRPr="004E5119">
        <w:rPr>
          <w:noProof/>
          <w:lang w:eastAsia="en-IE"/>
        </w:rPr>
        <w:t>comprises</w:t>
      </w:r>
      <w:r w:rsidR="00353155" w:rsidRPr="5B3954F8">
        <w:rPr>
          <w:noProof/>
          <w:lang w:eastAsia="en-IE"/>
        </w:rPr>
        <w:t xml:space="preserve"> multiple individual legally binding decisions issued by the several authorities concerned and is coordinated centrally by the national competent authority</w:t>
      </w:r>
      <w:r w:rsidR="00F54C30">
        <w:rPr>
          <w:noProof/>
          <w:lang w:eastAsia="en-IE"/>
        </w:rPr>
        <w:t>;</w:t>
      </w:r>
      <w:r w:rsidR="00353155" w:rsidRPr="5B3954F8">
        <w:rPr>
          <w:noProof/>
          <w:lang w:eastAsia="en-IE"/>
        </w:rPr>
        <w:t xml:space="preserve"> </w:t>
      </w:r>
    </w:p>
    <w:p w14:paraId="343A46EC" w14:textId="77777777" w:rsidR="00353155" w:rsidRPr="00185722" w:rsidRDefault="00872170" w:rsidP="00872170">
      <w:pPr>
        <w:pStyle w:val="Point2"/>
        <w:rPr>
          <w:noProof/>
          <w:lang w:eastAsia="en-IE"/>
        </w:rPr>
      </w:pPr>
      <w:r>
        <w:rPr>
          <w:noProof/>
          <w:color w:val="000000" w:themeColor="text1"/>
          <w:lang w:eastAsia="en-IE"/>
        </w:rPr>
        <w:t>(ii)</w:t>
      </w:r>
      <w:r>
        <w:rPr>
          <w:noProof/>
          <w:color w:val="000000" w:themeColor="text1"/>
          <w:lang w:eastAsia="en-IE"/>
        </w:rPr>
        <w:tab/>
        <w:t>t</w:t>
      </w:r>
      <w:r w:rsidR="00353155" w:rsidRPr="5B3954F8">
        <w:rPr>
          <w:noProof/>
          <w:color w:val="000000" w:themeColor="text1"/>
          <w:lang w:eastAsia="en-IE"/>
        </w:rPr>
        <w:t>he</w:t>
      </w:r>
      <w:r w:rsidR="00353155" w:rsidRPr="00185722">
        <w:rPr>
          <w:noProof/>
          <w:lang w:eastAsia="en-IE"/>
        </w:rPr>
        <w:t xml:space="preserve"> national competent authority may establish a working group where all </w:t>
      </w:r>
      <w:r w:rsidR="00353155" w:rsidRPr="00E67E8A">
        <w:rPr>
          <w:noProof/>
          <w:lang w:eastAsia="en-IE"/>
        </w:rPr>
        <w:t xml:space="preserve">authorities </w:t>
      </w:r>
      <w:r w:rsidR="00353155" w:rsidRPr="00E67E8A">
        <w:rPr>
          <w:noProof/>
          <w:color w:val="000000" w:themeColor="text1"/>
          <w:lang w:eastAsia="en-IE"/>
        </w:rPr>
        <w:t xml:space="preserve">concerned </w:t>
      </w:r>
      <w:r w:rsidR="00353155" w:rsidRPr="00E67E8A">
        <w:rPr>
          <w:noProof/>
          <w:lang w:eastAsia="en-IE"/>
        </w:rPr>
        <w:t xml:space="preserve">are represented in order to draw up </w:t>
      </w:r>
      <w:r w:rsidR="00353155" w:rsidRPr="00E67E8A">
        <w:rPr>
          <w:noProof/>
          <w:color w:val="000000" w:themeColor="text1"/>
          <w:lang w:eastAsia="en-IE"/>
        </w:rPr>
        <w:t>the screening or the</w:t>
      </w:r>
      <w:r w:rsidR="00353155" w:rsidRPr="00E67E8A">
        <w:rPr>
          <w:noProof/>
          <w:lang w:eastAsia="en-IE"/>
        </w:rPr>
        <w:t xml:space="preserve"> detailed schedule for the permit</w:t>
      </w:r>
      <w:r w:rsidR="00240FC7">
        <w:rPr>
          <w:noProof/>
          <w:lang w:eastAsia="en-IE"/>
        </w:rPr>
        <w:t>-</w:t>
      </w:r>
      <w:r w:rsidR="00353155" w:rsidRPr="00E67E8A">
        <w:rPr>
          <w:noProof/>
          <w:lang w:eastAsia="en-IE"/>
        </w:rPr>
        <w:t>granting process in accordance with Article 10(</w:t>
      </w:r>
      <w:r w:rsidR="008E5513" w:rsidRPr="00E67E8A">
        <w:rPr>
          <w:noProof/>
          <w:lang w:eastAsia="en-IE"/>
        </w:rPr>
        <w:t>9</w:t>
      </w:r>
      <w:r w:rsidR="00353155" w:rsidRPr="00E67E8A">
        <w:rPr>
          <w:noProof/>
          <w:lang w:eastAsia="en-IE"/>
        </w:rPr>
        <w:t>), point (b), and to monitor and coordinate its implementation</w:t>
      </w:r>
      <w:r w:rsidR="003A0ADB">
        <w:rPr>
          <w:noProof/>
          <w:lang w:eastAsia="en-IE"/>
        </w:rPr>
        <w:t>;</w:t>
      </w:r>
      <w:r w:rsidR="00353155" w:rsidRPr="00185722">
        <w:rPr>
          <w:noProof/>
          <w:lang w:eastAsia="en-IE"/>
        </w:rPr>
        <w:t xml:space="preserve"> </w:t>
      </w:r>
    </w:p>
    <w:p w14:paraId="3ABF91CB" w14:textId="77777777" w:rsidR="00353155" w:rsidRPr="00DC1452" w:rsidRDefault="00872170" w:rsidP="00872170">
      <w:pPr>
        <w:pStyle w:val="Point2"/>
        <w:rPr>
          <w:noProof/>
          <w:lang w:eastAsia="en-IE"/>
        </w:rPr>
      </w:pPr>
      <w:r>
        <w:rPr>
          <w:noProof/>
          <w:lang w:eastAsia="en-IE"/>
        </w:rPr>
        <w:t>(iii)</w:t>
      </w:r>
      <w:r>
        <w:rPr>
          <w:noProof/>
          <w:lang w:eastAsia="en-IE"/>
        </w:rPr>
        <w:tab/>
      </w:r>
      <w:r w:rsidR="008B7C95" w:rsidRPr="008B7C95">
        <w:rPr>
          <w:noProof/>
          <w:lang w:eastAsia="en-IE"/>
        </w:rPr>
        <w:t xml:space="preserve">the national competent authority shall, after consulting the other authorities concerned, establish on a case-by-case basis a reasonable time limit </w:t>
      </w:r>
      <w:r w:rsidR="008B7C95" w:rsidRPr="00E67E8A">
        <w:rPr>
          <w:noProof/>
          <w:lang w:eastAsia="en-IE"/>
        </w:rPr>
        <w:t xml:space="preserve">within which the individual decisions shall be issued with the aim to minimise the </w:t>
      </w:r>
      <w:r w:rsidR="008B7C95" w:rsidRPr="00DC1452">
        <w:rPr>
          <w:noProof/>
          <w:lang w:eastAsia="en-IE"/>
        </w:rPr>
        <w:t xml:space="preserve">duration of the process without prejudice to time limits set </w:t>
      </w:r>
      <w:r w:rsidR="009172A8" w:rsidRPr="00DC1452">
        <w:rPr>
          <w:noProof/>
          <w:lang w:eastAsia="en-IE"/>
        </w:rPr>
        <w:t xml:space="preserve">out </w:t>
      </w:r>
      <w:r w:rsidR="008B7C95" w:rsidRPr="00DC1452">
        <w:rPr>
          <w:noProof/>
          <w:lang w:eastAsia="en-IE"/>
        </w:rPr>
        <w:t>in Article 10(1) and (2)</w:t>
      </w:r>
      <w:r w:rsidR="003A0ADB" w:rsidRPr="00DC1452">
        <w:rPr>
          <w:noProof/>
          <w:lang w:eastAsia="en-IE"/>
        </w:rPr>
        <w:t>;</w:t>
      </w:r>
      <w:r w:rsidR="00353155" w:rsidRPr="00DC1452">
        <w:rPr>
          <w:noProof/>
          <w:lang w:eastAsia="en-IE"/>
        </w:rPr>
        <w:t xml:space="preserve"> </w:t>
      </w:r>
    </w:p>
    <w:p w14:paraId="6248EC37" w14:textId="77777777" w:rsidR="00353155" w:rsidRDefault="00872170" w:rsidP="00872170">
      <w:pPr>
        <w:pStyle w:val="Point2"/>
        <w:rPr>
          <w:noProof/>
          <w:lang w:eastAsia="en-IE"/>
        </w:rPr>
      </w:pPr>
      <w:r w:rsidRPr="00DC1452">
        <w:rPr>
          <w:noProof/>
          <w:lang w:eastAsia="en-IE"/>
        </w:rPr>
        <w:t>(iv)</w:t>
      </w:r>
      <w:r w:rsidRPr="00DC1452">
        <w:rPr>
          <w:noProof/>
          <w:lang w:eastAsia="en-IE"/>
        </w:rPr>
        <w:tab/>
      </w:r>
      <w:r w:rsidR="00353155" w:rsidRPr="00DC1452">
        <w:rPr>
          <w:noProof/>
          <w:lang w:eastAsia="en-IE"/>
        </w:rPr>
        <w:t>the national competent authority shall be able to take an individual decision on behalf of another authority concerned, where the decision by that authority is not delivered within the set time limit and where the delay cannot be adequately justified. The national competent authority may also disregard an individual decision of another authority concerned if it considers that the decision is not sufficiently substantiated with regard to the underlying evidence presented by th</w:t>
      </w:r>
      <w:r w:rsidR="00B061FC" w:rsidRPr="00DC1452">
        <w:rPr>
          <w:noProof/>
          <w:lang w:eastAsia="en-IE"/>
        </w:rPr>
        <w:t>at</w:t>
      </w:r>
      <w:r w:rsidR="00353155" w:rsidRPr="00DC1452">
        <w:rPr>
          <w:noProof/>
          <w:lang w:eastAsia="en-IE"/>
        </w:rPr>
        <w:t xml:space="preserve"> authority concerned</w:t>
      </w:r>
      <w:r w:rsidR="00CC7543" w:rsidRPr="00DC1452">
        <w:rPr>
          <w:noProof/>
          <w:lang w:eastAsia="en-IE"/>
        </w:rPr>
        <w:t>;</w:t>
      </w:r>
      <w:r w:rsidR="00353155" w:rsidRPr="00185722">
        <w:rPr>
          <w:noProof/>
          <w:lang w:eastAsia="en-IE"/>
        </w:rPr>
        <w:t xml:space="preserve"> </w:t>
      </w:r>
    </w:p>
    <w:p w14:paraId="229AE129" w14:textId="1AB4EAFB" w:rsidR="001744C3" w:rsidRDefault="00C44DD6" w:rsidP="00C44DD6">
      <w:pPr>
        <w:pStyle w:val="Point1"/>
        <w:rPr>
          <w:noProof/>
          <w:lang w:eastAsia="en-IE"/>
        </w:rPr>
      </w:pPr>
      <w:r w:rsidRPr="00C44DD6">
        <w:rPr>
          <w:noProof/>
        </w:rPr>
        <w:t>(c)</w:t>
      </w:r>
      <w:r w:rsidRPr="00C44DD6">
        <w:rPr>
          <w:noProof/>
        </w:rPr>
        <w:tab/>
      </w:r>
      <w:r w:rsidR="001744C3" w:rsidRPr="00185722">
        <w:rPr>
          <w:noProof/>
          <w:lang w:eastAsia="en-IE"/>
        </w:rPr>
        <w:t>collaborative scheme:</w:t>
      </w:r>
    </w:p>
    <w:p w14:paraId="2ABC99F1" w14:textId="77777777" w:rsidR="001744C3" w:rsidRPr="00DC1452" w:rsidRDefault="00872170" w:rsidP="00872170">
      <w:pPr>
        <w:pStyle w:val="Point2"/>
        <w:rPr>
          <w:noProof/>
          <w:lang w:eastAsia="en-IE"/>
        </w:rPr>
      </w:pPr>
      <w:r>
        <w:rPr>
          <w:noProof/>
          <w:lang w:eastAsia="en-IE"/>
        </w:rPr>
        <w:t>(i)</w:t>
      </w:r>
      <w:r>
        <w:rPr>
          <w:noProof/>
          <w:lang w:eastAsia="en-IE"/>
        </w:rPr>
        <w:tab/>
      </w:r>
      <w:r w:rsidR="001744C3" w:rsidRPr="00185722">
        <w:rPr>
          <w:noProof/>
          <w:lang w:eastAsia="en-IE"/>
        </w:rPr>
        <w:t xml:space="preserve">the comprehensive decision shall be </w:t>
      </w:r>
      <w:r w:rsidR="001744C3" w:rsidRPr="00271C42">
        <w:rPr>
          <w:noProof/>
          <w:lang w:eastAsia="en-IE"/>
        </w:rPr>
        <w:t xml:space="preserve">comprised of multiple individual legally binding </w:t>
      </w:r>
      <w:r w:rsidR="001744C3" w:rsidRPr="00DC1452">
        <w:rPr>
          <w:noProof/>
          <w:lang w:eastAsia="en-IE"/>
        </w:rPr>
        <w:t>decisions issued by several authorities concerned and coordinated by the national competent authority</w:t>
      </w:r>
      <w:r w:rsidR="00CC7543" w:rsidRPr="00DC1452">
        <w:rPr>
          <w:noProof/>
          <w:lang w:eastAsia="en-IE"/>
        </w:rPr>
        <w:t>;</w:t>
      </w:r>
      <w:r w:rsidR="001744C3" w:rsidRPr="00DC1452">
        <w:rPr>
          <w:noProof/>
          <w:lang w:eastAsia="en-IE"/>
        </w:rPr>
        <w:t xml:space="preserve"> </w:t>
      </w:r>
    </w:p>
    <w:p w14:paraId="206A874C" w14:textId="77777777" w:rsidR="001744C3" w:rsidRPr="00DC1452" w:rsidRDefault="00872170" w:rsidP="00872170">
      <w:pPr>
        <w:pStyle w:val="Point2"/>
        <w:rPr>
          <w:noProof/>
          <w:lang w:eastAsia="en-IE"/>
        </w:rPr>
      </w:pPr>
      <w:r w:rsidRPr="00DC1452">
        <w:rPr>
          <w:noProof/>
          <w:color w:val="000000" w:themeColor="text1"/>
          <w:lang w:eastAsia="en-IE"/>
        </w:rPr>
        <w:t>(ii)</w:t>
      </w:r>
      <w:r w:rsidRPr="00DC1452">
        <w:rPr>
          <w:noProof/>
          <w:color w:val="000000" w:themeColor="text1"/>
          <w:lang w:eastAsia="en-IE"/>
        </w:rPr>
        <w:tab/>
        <w:t>t</w:t>
      </w:r>
      <w:r w:rsidR="001744C3" w:rsidRPr="00DC1452">
        <w:rPr>
          <w:noProof/>
          <w:color w:val="000000" w:themeColor="text1"/>
          <w:lang w:eastAsia="en-IE"/>
        </w:rPr>
        <w:t>he national competent authority may establish a working group where all authorities concerned are represented in order to draw up the screening or the detailed schedule for the permit</w:t>
      </w:r>
      <w:r w:rsidR="00240FC7" w:rsidRPr="00DC1452">
        <w:rPr>
          <w:noProof/>
          <w:color w:val="000000" w:themeColor="text1"/>
          <w:lang w:eastAsia="en-IE"/>
        </w:rPr>
        <w:t>-</w:t>
      </w:r>
      <w:r w:rsidR="001744C3" w:rsidRPr="00DC1452">
        <w:rPr>
          <w:noProof/>
          <w:color w:val="000000" w:themeColor="text1"/>
          <w:lang w:eastAsia="en-IE"/>
        </w:rPr>
        <w:t>granting process in accordance with Article 10(</w:t>
      </w:r>
      <w:r w:rsidR="008E5513" w:rsidRPr="00DC1452">
        <w:rPr>
          <w:noProof/>
          <w:color w:val="000000" w:themeColor="text1"/>
          <w:lang w:eastAsia="en-IE"/>
        </w:rPr>
        <w:t>9</w:t>
      </w:r>
      <w:r w:rsidR="001744C3" w:rsidRPr="00DC1452">
        <w:rPr>
          <w:noProof/>
          <w:color w:val="000000" w:themeColor="text1"/>
          <w:lang w:eastAsia="en-IE"/>
        </w:rPr>
        <w:t>), and to monitor and coordinate its implementation</w:t>
      </w:r>
      <w:r w:rsidR="00CC7543" w:rsidRPr="00DC1452">
        <w:rPr>
          <w:noProof/>
          <w:color w:val="000000" w:themeColor="text1"/>
          <w:lang w:eastAsia="en-IE"/>
        </w:rPr>
        <w:t>;</w:t>
      </w:r>
    </w:p>
    <w:p w14:paraId="31D532CC" w14:textId="77777777" w:rsidR="001744C3" w:rsidRPr="00DC1452" w:rsidRDefault="00872170" w:rsidP="00872170">
      <w:pPr>
        <w:pStyle w:val="Point2"/>
        <w:rPr>
          <w:noProof/>
          <w:lang w:eastAsia="en-IE"/>
        </w:rPr>
      </w:pPr>
      <w:r w:rsidRPr="00DC1452">
        <w:rPr>
          <w:noProof/>
          <w:color w:val="000000" w:themeColor="text1"/>
          <w:lang w:eastAsia="en-IE"/>
        </w:rPr>
        <w:t>(iii)</w:t>
      </w:r>
      <w:r w:rsidRPr="00DC1452">
        <w:rPr>
          <w:noProof/>
          <w:color w:val="000000" w:themeColor="text1"/>
          <w:lang w:eastAsia="en-IE"/>
        </w:rPr>
        <w:tab/>
      </w:r>
      <w:r w:rsidR="001744C3" w:rsidRPr="00DC1452">
        <w:rPr>
          <w:noProof/>
          <w:color w:val="000000" w:themeColor="text1"/>
          <w:lang w:eastAsia="en-IE"/>
        </w:rPr>
        <w:t xml:space="preserve">the </w:t>
      </w:r>
      <w:r w:rsidR="00EA331F" w:rsidRPr="00DC1452">
        <w:rPr>
          <w:noProof/>
          <w:color w:val="000000" w:themeColor="text1"/>
          <w:lang w:eastAsia="en-IE"/>
        </w:rPr>
        <w:t xml:space="preserve">national competent authority shall, after consulting the other authorities concerned, establish on a case-by-case basis a reasonable time </w:t>
      </w:r>
      <w:r w:rsidR="00702B7C" w:rsidRPr="00DC1452">
        <w:rPr>
          <w:noProof/>
          <w:color w:val="000000" w:themeColor="text1"/>
          <w:lang w:eastAsia="en-IE"/>
        </w:rPr>
        <w:t xml:space="preserve">limit, </w:t>
      </w:r>
      <w:r w:rsidR="00EA331F" w:rsidRPr="00DC1452">
        <w:rPr>
          <w:noProof/>
          <w:color w:val="000000" w:themeColor="text1"/>
          <w:lang w:eastAsia="en-IE"/>
        </w:rPr>
        <w:t>within which the individual decisions shall be issued with the aim to minimise the duration of the process, without prejudice to the time limits set in Article 10(1) and (2</w:t>
      </w:r>
      <w:r w:rsidR="00A43F2C" w:rsidRPr="00DC1452">
        <w:rPr>
          <w:noProof/>
          <w:color w:val="000000" w:themeColor="text1"/>
          <w:lang w:eastAsia="en-IE"/>
        </w:rPr>
        <w:t>)</w:t>
      </w:r>
      <w:r w:rsidR="00CC7543" w:rsidRPr="00DC1452">
        <w:rPr>
          <w:noProof/>
          <w:color w:val="000000" w:themeColor="text1"/>
          <w:lang w:eastAsia="en-IE"/>
        </w:rPr>
        <w:t>;</w:t>
      </w:r>
      <w:r w:rsidR="001744C3" w:rsidRPr="00DC1452">
        <w:rPr>
          <w:noProof/>
          <w:color w:val="000000" w:themeColor="text1"/>
          <w:lang w:eastAsia="en-IE"/>
        </w:rPr>
        <w:t xml:space="preserve"> </w:t>
      </w:r>
    </w:p>
    <w:p w14:paraId="5B0A7AD3" w14:textId="77777777" w:rsidR="001744C3" w:rsidRPr="00DC1452" w:rsidRDefault="00872170" w:rsidP="00872170">
      <w:pPr>
        <w:pStyle w:val="Point2"/>
        <w:rPr>
          <w:noProof/>
          <w:lang w:eastAsia="en-IE"/>
        </w:rPr>
      </w:pPr>
      <w:r w:rsidRPr="00DC1452">
        <w:rPr>
          <w:noProof/>
          <w:lang w:eastAsia="en-IE"/>
        </w:rPr>
        <w:t>(iv)</w:t>
      </w:r>
      <w:r w:rsidRPr="00DC1452">
        <w:rPr>
          <w:noProof/>
          <w:lang w:eastAsia="en-IE"/>
        </w:rPr>
        <w:tab/>
      </w:r>
      <w:r w:rsidR="00D666DC" w:rsidRPr="00DC1452">
        <w:rPr>
          <w:noProof/>
          <w:lang w:eastAsia="en-IE"/>
        </w:rPr>
        <w:t>the national competent authority shall monitor compliance with the time limits by the authorities concerned and, in case of delays, shall take measures with the aim to minimise the duration of the process</w:t>
      </w:r>
      <w:r w:rsidR="00CC7543" w:rsidRPr="00DC1452">
        <w:rPr>
          <w:noProof/>
          <w:lang w:eastAsia="en-IE"/>
        </w:rPr>
        <w:t>;</w:t>
      </w:r>
    </w:p>
    <w:p w14:paraId="3C16CBC4" w14:textId="77777777" w:rsidR="001744C3" w:rsidRPr="00DC1452" w:rsidRDefault="00872170" w:rsidP="00872170">
      <w:pPr>
        <w:pStyle w:val="Point2"/>
        <w:rPr>
          <w:noProof/>
          <w:lang w:eastAsia="en-IE"/>
        </w:rPr>
      </w:pPr>
      <w:r w:rsidRPr="00DC1452">
        <w:rPr>
          <w:noProof/>
          <w:lang w:eastAsia="en-IE"/>
        </w:rPr>
        <w:t>(v)</w:t>
      </w:r>
      <w:r w:rsidRPr="00DC1452">
        <w:rPr>
          <w:noProof/>
          <w:lang w:eastAsia="en-IE"/>
        </w:rPr>
        <w:tab/>
        <w:t>w</w:t>
      </w:r>
      <w:r w:rsidR="001744C3" w:rsidRPr="00DC1452">
        <w:rPr>
          <w:noProof/>
          <w:lang w:eastAsia="en-IE"/>
        </w:rPr>
        <w:t>here a Member State chooses the collaborative scheme, it shall inform the Commission of its reasons.</w:t>
      </w:r>
    </w:p>
    <w:p w14:paraId="5193F33F" w14:textId="77777777" w:rsidR="001744C3" w:rsidRPr="00DC1452" w:rsidRDefault="001744C3" w:rsidP="00271C42">
      <w:pPr>
        <w:pStyle w:val="Text1"/>
        <w:rPr>
          <w:noProof/>
          <w:lang w:eastAsia="en-IE"/>
        </w:rPr>
      </w:pPr>
      <w:r w:rsidRPr="00DC1452">
        <w:rPr>
          <w:noProof/>
          <w:lang w:eastAsia="en-IE"/>
        </w:rPr>
        <w:t xml:space="preserve">Authorities concerned shall, in </w:t>
      </w:r>
      <w:r w:rsidR="00714391" w:rsidRPr="00DC1452">
        <w:rPr>
          <w:noProof/>
          <w:lang w:eastAsia="en-IE"/>
        </w:rPr>
        <w:t>accordance</w:t>
      </w:r>
      <w:r w:rsidRPr="00DC1452">
        <w:rPr>
          <w:noProof/>
          <w:lang w:eastAsia="en-IE"/>
        </w:rPr>
        <w:t xml:space="preserve"> with the permitting scheme chosen by Member States, either delegate the necessary competences to the national competent authority or facilitate cooperation and collaboration with the national competent authority to ensure the issuing of the comprehensive decision within the time limits set in Article 10(1) and (2).</w:t>
      </w:r>
    </w:p>
    <w:p w14:paraId="33E797F2" w14:textId="77777777" w:rsidR="001744C3" w:rsidRDefault="00551300" w:rsidP="00271C42">
      <w:pPr>
        <w:pStyle w:val="Text1"/>
        <w:rPr>
          <w:noProof/>
          <w:lang w:eastAsia="en-IE"/>
        </w:rPr>
      </w:pPr>
      <w:r w:rsidRPr="00DC1452">
        <w:rPr>
          <w:noProof/>
          <w:lang w:eastAsia="en-IE"/>
        </w:rPr>
        <w:t>Where an authority concerned does not expect to deliver an individual decision within the set time limit, that authority shall immediately inform the national competent authority, providing reasons for the delay. Subsequently, the national competent authority shall set another time limit within which that individual decision shall be issued, in compliance with t</w:t>
      </w:r>
      <w:r w:rsidRPr="1750A9AC">
        <w:rPr>
          <w:noProof/>
          <w:lang w:eastAsia="en-IE"/>
        </w:rPr>
        <w:t>he overall time limits set in Article 10(1) and (2).</w:t>
      </w:r>
    </w:p>
    <w:p w14:paraId="56BCF382" w14:textId="5C7BF6B8" w:rsidR="00992A49" w:rsidRDefault="00C44DD6" w:rsidP="00C44DD6">
      <w:pPr>
        <w:pStyle w:val="ManualNumPar1"/>
        <w:rPr>
          <w:noProof/>
          <w:lang w:eastAsia="en-IE"/>
        </w:rPr>
      </w:pPr>
      <w:r w:rsidRPr="00C44DD6">
        <w:rPr>
          <w:noProof/>
        </w:rPr>
        <w:t>4.</w:t>
      </w:r>
      <w:r w:rsidRPr="00C44DD6">
        <w:rPr>
          <w:noProof/>
        </w:rPr>
        <w:tab/>
      </w:r>
      <w:r w:rsidR="00992A49">
        <w:rPr>
          <w:noProof/>
          <w:lang w:eastAsia="en-IE"/>
        </w:rPr>
        <w:t>Member States may apply the schemes set out in paragraph 3 to onshore and offshore projects on the Union list.</w:t>
      </w:r>
    </w:p>
    <w:p w14:paraId="29D69ED7" w14:textId="77777777" w:rsidR="00992A49" w:rsidRDefault="00992A49" w:rsidP="00A835C2">
      <w:pPr>
        <w:pStyle w:val="Text1"/>
        <w:rPr>
          <w:noProof/>
          <w:lang w:eastAsia="en-IE"/>
        </w:rPr>
      </w:pPr>
      <w:r w:rsidRPr="1750A9AC">
        <w:rPr>
          <w:noProof/>
          <w:lang w:eastAsia="en-IE"/>
        </w:rPr>
        <w:t xml:space="preserve">In the case of projects </w:t>
      </w:r>
      <w:r w:rsidR="00A77CB9" w:rsidRPr="1750A9AC">
        <w:rPr>
          <w:noProof/>
          <w:lang w:eastAsia="en-IE"/>
        </w:rPr>
        <w:t xml:space="preserve">on the Union list </w:t>
      </w:r>
      <w:r w:rsidRPr="1750A9AC">
        <w:rPr>
          <w:noProof/>
          <w:lang w:eastAsia="en-IE"/>
        </w:rPr>
        <w:t xml:space="preserve">that are intrinsically linked to generation assets, such as the projects included in the infrastructure categories provided by </w:t>
      </w:r>
      <w:r w:rsidR="00044CC5">
        <w:rPr>
          <w:noProof/>
          <w:lang w:eastAsia="en-IE"/>
        </w:rPr>
        <w:t>points</w:t>
      </w:r>
      <w:r w:rsidRPr="1750A9AC">
        <w:rPr>
          <w:noProof/>
          <w:lang w:eastAsia="en-IE"/>
        </w:rPr>
        <w:t xml:space="preserve"> </w:t>
      </w:r>
      <w:r w:rsidR="00044CC5">
        <w:rPr>
          <w:noProof/>
          <w:lang w:eastAsia="en-IE"/>
        </w:rPr>
        <w:t>(</w:t>
      </w:r>
      <w:r w:rsidRPr="1750A9AC">
        <w:rPr>
          <w:noProof/>
          <w:lang w:eastAsia="en-IE"/>
        </w:rPr>
        <w:t>1</w:t>
      </w:r>
      <w:r w:rsidR="00044CC5">
        <w:rPr>
          <w:noProof/>
          <w:lang w:eastAsia="en-IE"/>
        </w:rPr>
        <w:t>)</w:t>
      </w:r>
      <w:r w:rsidRPr="1750A9AC">
        <w:rPr>
          <w:noProof/>
          <w:lang w:eastAsia="en-IE"/>
        </w:rPr>
        <w:t>(b) or (h) of Annex II, the national competent authority shall be responsible for coordinating the permit</w:t>
      </w:r>
      <w:r w:rsidR="00240FC7">
        <w:rPr>
          <w:noProof/>
          <w:lang w:eastAsia="en-IE"/>
        </w:rPr>
        <w:t>-</w:t>
      </w:r>
      <w:r w:rsidR="008D2F4C">
        <w:rPr>
          <w:noProof/>
          <w:lang w:eastAsia="en-IE"/>
        </w:rPr>
        <w:t>gran</w:t>
      </w:r>
      <w:r w:rsidRPr="1750A9AC">
        <w:rPr>
          <w:noProof/>
          <w:lang w:eastAsia="en-IE"/>
        </w:rPr>
        <w:t xml:space="preserve">ting process of the respective </w:t>
      </w:r>
      <w:r w:rsidR="00643283" w:rsidRPr="1750A9AC">
        <w:rPr>
          <w:noProof/>
          <w:lang w:eastAsia="en-IE"/>
        </w:rPr>
        <w:t xml:space="preserve">project </w:t>
      </w:r>
      <w:r w:rsidR="00A77CB9" w:rsidRPr="1750A9AC">
        <w:rPr>
          <w:noProof/>
          <w:lang w:eastAsia="en-IE"/>
        </w:rPr>
        <w:t xml:space="preserve">on the Union list </w:t>
      </w:r>
      <w:r w:rsidRPr="1750A9AC">
        <w:rPr>
          <w:noProof/>
          <w:lang w:eastAsia="en-IE"/>
        </w:rPr>
        <w:t>with the permitting of the generation assets so that the timelines are cohesive and together aim at the most efficient and timely permitting of all assets related to the project.</w:t>
      </w:r>
    </w:p>
    <w:p w14:paraId="29986510" w14:textId="0C7E186E" w:rsidR="00AF0675" w:rsidRDefault="00C44DD6" w:rsidP="00C44DD6">
      <w:pPr>
        <w:pStyle w:val="ManualNumPar1"/>
        <w:rPr>
          <w:noProof/>
          <w:lang w:eastAsia="en-IE"/>
        </w:rPr>
      </w:pPr>
      <w:r w:rsidRPr="00C44DD6">
        <w:rPr>
          <w:noProof/>
        </w:rPr>
        <w:t>5.</w:t>
      </w:r>
      <w:r w:rsidRPr="00C44DD6">
        <w:rPr>
          <w:noProof/>
        </w:rPr>
        <w:tab/>
      </w:r>
      <w:r w:rsidR="00AF0675">
        <w:rPr>
          <w:noProof/>
          <w:lang w:eastAsia="en-IE"/>
        </w:rPr>
        <w:t xml:space="preserve">Where a project on the Union list is located </w:t>
      </w:r>
      <w:r w:rsidR="008D2F4C">
        <w:rPr>
          <w:noProof/>
          <w:lang w:eastAsia="en-IE"/>
        </w:rPr>
        <w:t>i</w:t>
      </w:r>
      <w:r w:rsidR="00AF0675">
        <w:rPr>
          <w:noProof/>
          <w:lang w:eastAsia="en-IE"/>
        </w:rPr>
        <w:t>n the territory of two or more Member States, their respective national competent authorities shall jointly appoint one of them to act as a unique point of contact, responsible for facilitating the exchange of information between the national competent authorities and other authorities concerned on the permit</w:t>
      </w:r>
      <w:r w:rsidR="00240FC7">
        <w:rPr>
          <w:noProof/>
          <w:lang w:eastAsia="en-IE"/>
        </w:rPr>
        <w:t>-</w:t>
      </w:r>
      <w:r w:rsidR="00AF0675">
        <w:rPr>
          <w:noProof/>
          <w:lang w:eastAsia="en-IE"/>
        </w:rPr>
        <w:t xml:space="preserve">granting process, as well as, issuing the final comprehensive decisions in cooperation with the other national competent authorities concerned. </w:t>
      </w:r>
    </w:p>
    <w:p w14:paraId="5669F12D" w14:textId="77777777" w:rsidR="00AF0675" w:rsidRDefault="00AF0675" w:rsidP="007366D2">
      <w:pPr>
        <w:pStyle w:val="Text1"/>
        <w:rPr>
          <w:noProof/>
          <w:lang w:eastAsia="en-IE"/>
        </w:rPr>
      </w:pPr>
      <w:r w:rsidRPr="6839A3E9">
        <w:rPr>
          <w:noProof/>
          <w:lang w:eastAsia="en-IE"/>
        </w:rPr>
        <w:t xml:space="preserve">Member States shall endeavour to provide </w:t>
      </w:r>
      <w:r w:rsidR="00EC5926">
        <w:rPr>
          <w:noProof/>
          <w:lang w:eastAsia="en-IE"/>
        </w:rPr>
        <w:t xml:space="preserve">a </w:t>
      </w:r>
      <w:r w:rsidRPr="6839A3E9">
        <w:rPr>
          <w:noProof/>
          <w:lang w:eastAsia="en-IE"/>
        </w:rPr>
        <w:t>joint procedure which facilitate</w:t>
      </w:r>
      <w:r w:rsidR="00012E95">
        <w:rPr>
          <w:noProof/>
          <w:lang w:eastAsia="en-IE"/>
        </w:rPr>
        <w:t>s</w:t>
      </w:r>
      <w:r w:rsidRPr="6839A3E9">
        <w:rPr>
          <w:noProof/>
          <w:lang w:eastAsia="en-IE"/>
        </w:rPr>
        <w:t xml:space="preserve"> the cooperation between their respective national competent authorities concerned, create procedural synergies and align timelines to facilitate the permit</w:t>
      </w:r>
      <w:r w:rsidR="00240FC7">
        <w:rPr>
          <w:noProof/>
          <w:lang w:eastAsia="en-IE"/>
        </w:rPr>
        <w:t>-</w:t>
      </w:r>
      <w:r w:rsidRPr="6839A3E9">
        <w:rPr>
          <w:noProof/>
          <w:lang w:eastAsia="en-IE"/>
        </w:rPr>
        <w:t xml:space="preserve">granting process for projects, particularly with regard to the assessment of environmental impacts, and the public consultations required under </w:t>
      </w:r>
      <w:r w:rsidR="6A403967" w:rsidRPr="6839A3E9">
        <w:rPr>
          <w:noProof/>
          <w:lang w:eastAsia="en-IE"/>
        </w:rPr>
        <w:t>A</w:t>
      </w:r>
      <w:r w:rsidRPr="6839A3E9">
        <w:rPr>
          <w:noProof/>
          <w:lang w:eastAsia="en-IE"/>
        </w:rPr>
        <w:t>rticle 9.</w:t>
      </w:r>
    </w:p>
    <w:p w14:paraId="3956276F" w14:textId="77777777" w:rsidR="00914601" w:rsidRPr="00914601" w:rsidRDefault="00914601" w:rsidP="002540C1">
      <w:pPr>
        <w:pStyle w:val="Text1"/>
        <w:rPr>
          <w:noProof/>
          <w:lang w:eastAsia="en-IE"/>
        </w:rPr>
      </w:pPr>
      <w:r w:rsidRPr="00914601">
        <w:rPr>
          <w:noProof/>
          <w:lang w:eastAsia="en-IE"/>
        </w:rPr>
        <w:t xml:space="preserve">Upon request from Member States, the Commission shall play the role of a facilitator to support cooperation between concerned national competent authorities. </w:t>
      </w:r>
      <w:r w:rsidR="00164805">
        <w:rPr>
          <w:noProof/>
          <w:lang w:eastAsia="en-IE"/>
        </w:rPr>
        <w:t>The Commission</w:t>
      </w:r>
      <w:r w:rsidRPr="00914601">
        <w:rPr>
          <w:noProof/>
          <w:lang w:eastAsia="en-IE"/>
        </w:rPr>
        <w:t xml:space="preserve"> shall facilitate agreement on a unified joint procedure by providing an opinion and making recommendations on procedural aspects.</w:t>
      </w:r>
    </w:p>
    <w:p w14:paraId="3933B03B" w14:textId="77777777" w:rsidR="00914601" w:rsidRDefault="00914601" w:rsidP="007366D2">
      <w:pPr>
        <w:pStyle w:val="Text1"/>
        <w:rPr>
          <w:noProof/>
          <w:lang w:eastAsia="en-IE"/>
        </w:rPr>
      </w:pPr>
    </w:p>
    <w:p w14:paraId="0EFC9849" w14:textId="77777777" w:rsidR="00992A49" w:rsidRPr="00185722" w:rsidRDefault="00992A49" w:rsidP="00992A49">
      <w:pPr>
        <w:pStyle w:val="Titrearticle"/>
        <w:rPr>
          <w:noProof/>
          <w:lang w:eastAsia="en-IE"/>
        </w:rPr>
      </w:pPr>
      <w:r w:rsidRPr="00185722">
        <w:rPr>
          <w:noProof/>
          <w:lang w:eastAsia="en-IE"/>
        </w:rPr>
        <w:t>Article 9</w:t>
      </w:r>
      <w:bookmarkStart w:id="14" w:name="bookmark47"/>
      <w:bookmarkEnd w:id="14"/>
    </w:p>
    <w:p w14:paraId="0B6ADBA0" w14:textId="77777777" w:rsidR="00992A49" w:rsidRPr="00872170" w:rsidRDefault="00992A49" w:rsidP="00992A49">
      <w:pPr>
        <w:pStyle w:val="Titrearticle"/>
        <w:rPr>
          <w:b/>
          <w:bCs/>
          <w:noProof/>
          <w:lang w:eastAsia="en-IE"/>
        </w:rPr>
      </w:pPr>
      <w:r w:rsidRPr="00872170">
        <w:rPr>
          <w:b/>
          <w:bCs/>
          <w:noProof/>
          <w:lang w:eastAsia="en-IE"/>
        </w:rPr>
        <w:t>Transparency and public participation</w:t>
      </w:r>
    </w:p>
    <w:p w14:paraId="1D7837F5" w14:textId="7685F7BE" w:rsidR="00992A49" w:rsidRPr="00185722" w:rsidRDefault="00C44DD6" w:rsidP="00C44DD6">
      <w:pPr>
        <w:pStyle w:val="ManualNumPar1"/>
        <w:rPr>
          <w:noProof/>
          <w:lang w:eastAsia="en-IE"/>
        </w:rPr>
      </w:pPr>
      <w:r w:rsidRPr="00C44DD6">
        <w:rPr>
          <w:noProof/>
        </w:rPr>
        <w:t>1.</w:t>
      </w:r>
      <w:r w:rsidRPr="00C44DD6">
        <w:rPr>
          <w:noProof/>
        </w:rPr>
        <w:tab/>
      </w:r>
      <w:r w:rsidR="00992A49" w:rsidRPr="00185722">
        <w:rPr>
          <w:noProof/>
          <w:lang w:eastAsia="en-IE"/>
        </w:rPr>
        <w:t xml:space="preserve">By 24 October 2027, the Member </w:t>
      </w:r>
      <w:r w:rsidR="00992A49" w:rsidRPr="00DC1452">
        <w:rPr>
          <w:noProof/>
          <w:lang w:eastAsia="en-IE"/>
        </w:rPr>
        <w:t>State or national competent authority shall, where necessary, in collaboration with other authorities concerned, publish an updated manual of procedures for the permit</w:t>
      </w:r>
      <w:r w:rsidR="00E07F3E" w:rsidRPr="00DC1452">
        <w:rPr>
          <w:noProof/>
          <w:lang w:eastAsia="en-IE"/>
        </w:rPr>
        <w:t>-</w:t>
      </w:r>
      <w:r w:rsidR="00992A49" w:rsidRPr="00DC1452">
        <w:rPr>
          <w:noProof/>
          <w:lang w:eastAsia="en-IE"/>
        </w:rPr>
        <w:t>granting</w:t>
      </w:r>
      <w:r w:rsidR="00992A49" w:rsidRPr="00B27206">
        <w:rPr>
          <w:noProof/>
          <w:lang w:eastAsia="en-IE"/>
        </w:rPr>
        <w:t xml:space="preserve"> process applicable to projects on the Union list to include at least the information specified in point (1) of Annex VI. The manual shall not be legally binding, but it shall refer to or quote relevant</w:t>
      </w:r>
      <w:r w:rsidR="00992A49" w:rsidRPr="00185722">
        <w:rPr>
          <w:noProof/>
          <w:lang w:eastAsia="en-IE"/>
        </w:rPr>
        <w:t xml:space="preserve"> legal provisions. The national competent authorities shall, where relevant, cooperate and find synergies with the authorities of neighbouring countries with a view to align timelines and facilitating the permit</w:t>
      </w:r>
      <w:r w:rsidR="00E07F3E">
        <w:rPr>
          <w:noProof/>
          <w:lang w:eastAsia="en-IE"/>
        </w:rPr>
        <w:t>-</w:t>
      </w:r>
      <w:r w:rsidR="00992A49" w:rsidRPr="00185722">
        <w:rPr>
          <w:noProof/>
          <w:lang w:eastAsia="en-IE"/>
        </w:rPr>
        <w:t>granting process for projects, including for the development of the manual of procedures.</w:t>
      </w:r>
    </w:p>
    <w:p w14:paraId="280779A3" w14:textId="1DB65274" w:rsidR="00992A49" w:rsidRPr="00B27206" w:rsidRDefault="00C44DD6" w:rsidP="00C44DD6">
      <w:pPr>
        <w:pStyle w:val="ManualNumPar1"/>
        <w:rPr>
          <w:noProof/>
          <w:lang w:eastAsia="en-IE"/>
        </w:rPr>
      </w:pPr>
      <w:r w:rsidRPr="00C44DD6">
        <w:rPr>
          <w:noProof/>
        </w:rPr>
        <w:t>2.</w:t>
      </w:r>
      <w:r w:rsidRPr="00C44DD6">
        <w:rPr>
          <w:noProof/>
        </w:rPr>
        <w:tab/>
      </w:r>
      <w:r w:rsidR="00992A49" w:rsidRPr="00185722">
        <w:rPr>
          <w:noProof/>
          <w:lang w:eastAsia="en-IE"/>
        </w:rPr>
        <w:t xml:space="preserve">Without prejudice to public participation requirements under environmental law, the Aarhus Convention, the Espoo Convention and relevant Union law, all parties involved in the </w:t>
      </w:r>
      <w:r w:rsidR="00992A49" w:rsidRPr="00B27206">
        <w:rPr>
          <w:noProof/>
          <w:lang w:eastAsia="en-IE"/>
        </w:rPr>
        <w:t>permit</w:t>
      </w:r>
      <w:r w:rsidR="00E07F3E">
        <w:rPr>
          <w:noProof/>
          <w:lang w:eastAsia="en-IE"/>
        </w:rPr>
        <w:t>-</w:t>
      </w:r>
      <w:r w:rsidR="00992A49" w:rsidRPr="00B27206">
        <w:rPr>
          <w:noProof/>
          <w:lang w:eastAsia="en-IE"/>
        </w:rPr>
        <w:t>granting process shall follow the principles for public participation set out in point (3) of Annex VI.</w:t>
      </w:r>
    </w:p>
    <w:p w14:paraId="41D22E91" w14:textId="7EDDCAB4" w:rsidR="00992A49" w:rsidRPr="005E5472" w:rsidRDefault="00C44DD6" w:rsidP="00C44DD6">
      <w:pPr>
        <w:pStyle w:val="ManualNumPar1"/>
        <w:rPr>
          <w:noProof/>
          <w:lang w:eastAsia="en-IE"/>
        </w:rPr>
      </w:pPr>
      <w:r w:rsidRPr="00C44DD6">
        <w:rPr>
          <w:noProof/>
        </w:rPr>
        <w:t>3.</w:t>
      </w:r>
      <w:r w:rsidRPr="00C44DD6">
        <w:rPr>
          <w:noProof/>
        </w:rPr>
        <w:tab/>
      </w:r>
      <w:r w:rsidR="00992A49" w:rsidRPr="00185722">
        <w:rPr>
          <w:noProof/>
          <w:lang w:eastAsia="en-IE"/>
        </w:rPr>
        <w:t>The project promoter shall, within an indicative period of three months following the start of the permit</w:t>
      </w:r>
      <w:r w:rsidR="00E07F3E">
        <w:rPr>
          <w:noProof/>
          <w:lang w:eastAsia="en-IE"/>
        </w:rPr>
        <w:t>-</w:t>
      </w:r>
      <w:r w:rsidR="00992A49" w:rsidRPr="00185722">
        <w:rPr>
          <w:noProof/>
          <w:lang w:eastAsia="en-IE"/>
        </w:rPr>
        <w:t xml:space="preserve">granting </w:t>
      </w:r>
      <w:r w:rsidR="00992A49" w:rsidRPr="005E5472">
        <w:rPr>
          <w:noProof/>
          <w:lang w:eastAsia="en-IE"/>
        </w:rPr>
        <w:t>process pursuant to Article 10(</w:t>
      </w:r>
      <w:r w:rsidR="00B23D33" w:rsidRPr="005E5472">
        <w:rPr>
          <w:noProof/>
          <w:lang w:eastAsia="en-IE"/>
        </w:rPr>
        <w:t>5</w:t>
      </w:r>
      <w:r w:rsidR="00992A49" w:rsidRPr="005E5472">
        <w:rPr>
          <w:noProof/>
          <w:lang w:eastAsia="en-IE"/>
        </w:rPr>
        <w:t xml:space="preserve">), draw up and submit a concept for public participation to the national competent authority, following the process outlined in the manual referred to in paragraph 1 of this Article and in </w:t>
      </w:r>
      <w:r w:rsidR="00E22A19">
        <w:rPr>
          <w:noProof/>
          <w:lang w:eastAsia="en-IE"/>
        </w:rPr>
        <w:t>accordance</w:t>
      </w:r>
      <w:r w:rsidR="00E22A19" w:rsidRPr="00447938">
        <w:rPr>
          <w:noProof/>
          <w:lang w:eastAsia="en-IE"/>
        </w:rPr>
        <w:t xml:space="preserve"> </w:t>
      </w:r>
      <w:r w:rsidR="00992A49" w:rsidRPr="005E5472">
        <w:rPr>
          <w:noProof/>
          <w:lang w:eastAsia="en-IE"/>
        </w:rPr>
        <w:t xml:space="preserve">with the guidelines set out in Annex VI. </w:t>
      </w:r>
    </w:p>
    <w:p w14:paraId="37514E0A" w14:textId="4AE2EE53" w:rsidR="00992A49" w:rsidRPr="00185722" w:rsidRDefault="00C44DD6" w:rsidP="00C44DD6">
      <w:pPr>
        <w:pStyle w:val="ManualNumPar1"/>
        <w:rPr>
          <w:noProof/>
          <w:lang w:eastAsia="en-IE"/>
        </w:rPr>
      </w:pPr>
      <w:r w:rsidRPr="00C44DD6">
        <w:rPr>
          <w:noProof/>
        </w:rPr>
        <w:t>4.</w:t>
      </w:r>
      <w:r w:rsidRPr="00C44DD6">
        <w:rPr>
          <w:noProof/>
        </w:rPr>
        <w:tab/>
      </w:r>
      <w:r w:rsidR="00992A49" w:rsidRPr="00185722">
        <w:rPr>
          <w:noProof/>
          <w:lang w:eastAsia="en-IE"/>
        </w:rPr>
        <w:t>The national competent authority shall request modifications or approve the concept for public participation within three months of receipt of the concept, taking into consideration, without the need for repetition, of any form of public participation and consultation that took place before the start of the permit</w:t>
      </w:r>
      <w:r w:rsidR="00E07F3E">
        <w:rPr>
          <w:noProof/>
          <w:lang w:eastAsia="en-IE"/>
        </w:rPr>
        <w:t>-</w:t>
      </w:r>
      <w:r w:rsidR="00992A49" w:rsidRPr="00185722">
        <w:rPr>
          <w:noProof/>
          <w:lang w:eastAsia="en-IE"/>
        </w:rPr>
        <w:t>granting process, to the extent that such public participation and consultation has fulfilled the requirements of this Article.</w:t>
      </w:r>
    </w:p>
    <w:p w14:paraId="452B958C" w14:textId="77777777" w:rsidR="00992A49" w:rsidRPr="00185722" w:rsidRDefault="00992A49" w:rsidP="00992A49">
      <w:pPr>
        <w:pStyle w:val="Text1"/>
        <w:rPr>
          <w:noProof/>
          <w:color w:val="000000"/>
          <w:lang w:eastAsia="en-IE"/>
        </w:rPr>
      </w:pPr>
      <w:r w:rsidRPr="2B08495E">
        <w:rPr>
          <w:noProof/>
          <w:lang w:eastAsia="en-IE"/>
        </w:rPr>
        <w:t>Where the project promoter intends to make significant changes to an approved concept for public participation, it shall inform the national competent authority thereof. In that case the national competent authority may request additional modifications.</w:t>
      </w:r>
    </w:p>
    <w:p w14:paraId="3414F360" w14:textId="69D5D1EA" w:rsidR="00992A49" w:rsidRPr="00185722" w:rsidRDefault="00C44DD6" w:rsidP="00C44DD6">
      <w:pPr>
        <w:pStyle w:val="ManualNumPar1"/>
        <w:rPr>
          <w:noProof/>
          <w:lang w:eastAsia="en-IE"/>
        </w:rPr>
      </w:pPr>
      <w:r w:rsidRPr="00C44DD6">
        <w:rPr>
          <w:noProof/>
        </w:rPr>
        <w:t>5.</w:t>
      </w:r>
      <w:r w:rsidRPr="00C44DD6">
        <w:rPr>
          <w:noProof/>
        </w:rPr>
        <w:tab/>
      </w:r>
      <w:r w:rsidR="00992A49" w:rsidRPr="00185722">
        <w:rPr>
          <w:noProof/>
          <w:lang w:eastAsia="en-IE"/>
        </w:rPr>
        <w:t>Where it is not already required under national law</w:t>
      </w:r>
      <w:r w:rsidR="00E65EE7">
        <w:rPr>
          <w:noProof/>
          <w:lang w:eastAsia="en-IE"/>
        </w:rPr>
        <w:t>,</w:t>
      </w:r>
      <w:r w:rsidR="00992A49" w:rsidRPr="00185722">
        <w:rPr>
          <w:noProof/>
          <w:lang w:eastAsia="en-IE"/>
        </w:rPr>
        <w:t xml:space="preserve"> the project promoter shall carry out at least one </w:t>
      </w:r>
      <w:r w:rsidR="00520219" w:rsidRPr="0017586D">
        <w:rPr>
          <w:noProof/>
          <w:lang w:eastAsia="en-IE"/>
        </w:rPr>
        <w:t>early-stage</w:t>
      </w:r>
      <w:r w:rsidR="00992A49" w:rsidRPr="0017586D">
        <w:rPr>
          <w:noProof/>
          <w:lang w:eastAsia="en-IE"/>
        </w:rPr>
        <w:t xml:space="preserve"> public consultation, before the submission of the final and complete permitting application to the national competent authority pursuant to Article 10(</w:t>
      </w:r>
      <w:r w:rsidR="00C94C99" w:rsidRPr="0017586D">
        <w:rPr>
          <w:noProof/>
          <w:lang w:eastAsia="en-IE"/>
        </w:rPr>
        <w:t>10</w:t>
      </w:r>
      <w:r w:rsidR="00992A49" w:rsidRPr="0017586D">
        <w:rPr>
          <w:noProof/>
          <w:lang w:eastAsia="en-IE"/>
        </w:rPr>
        <w:t xml:space="preserve">). </w:t>
      </w:r>
      <w:r w:rsidR="00580000" w:rsidRPr="0017586D">
        <w:rPr>
          <w:noProof/>
          <w:lang w:eastAsia="en-IE"/>
        </w:rPr>
        <w:t xml:space="preserve">The </w:t>
      </w:r>
      <w:r w:rsidR="00992A49" w:rsidRPr="0017586D">
        <w:rPr>
          <w:noProof/>
          <w:lang w:eastAsia="en-IE"/>
        </w:rPr>
        <w:t xml:space="preserve">public consultation may be carried out </w:t>
      </w:r>
      <w:r w:rsidR="00992A49" w:rsidRPr="0017586D">
        <w:rPr>
          <w:noProof/>
          <w:color w:val="000000" w:themeColor="text1"/>
          <w:lang w:eastAsia="en-IE"/>
        </w:rPr>
        <w:t>in combination with</w:t>
      </w:r>
      <w:r w:rsidR="00992A49" w:rsidRPr="0017586D">
        <w:rPr>
          <w:noProof/>
          <w:lang w:eastAsia="en-IE"/>
        </w:rPr>
        <w:t xml:space="preserve"> any public consultation after</w:t>
      </w:r>
      <w:r w:rsidR="00992A49" w:rsidRPr="00185722">
        <w:rPr>
          <w:noProof/>
          <w:lang w:eastAsia="en-IE"/>
        </w:rPr>
        <w:t xml:space="preserve"> submission of the request for development consent pursuant to Article 6(2) of Directive 2011/92/EU. </w:t>
      </w:r>
    </w:p>
    <w:p w14:paraId="22C989B6" w14:textId="4432BEFD" w:rsidR="00992A49" w:rsidRPr="00185722" w:rsidRDefault="00C44DD6" w:rsidP="00C44DD6">
      <w:pPr>
        <w:pStyle w:val="ManualNumPar1"/>
        <w:rPr>
          <w:noProof/>
          <w:lang w:eastAsia="en-IE"/>
        </w:rPr>
      </w:pPr>
      <w:r w:rsidRPr="00C44DD6">
        <w:rPr>
          <w:noProof/>
        </w:rPr>
        <w:t>6.</w:t>
      </w:r>
      <w:r w:rsidRPr="00C44DD6">
        <w:rPr>
          <w:noProof/>
        </w:rPr>
        <w:tab/>
      </w:r>
      <w:r w:rsidR="00992A49" w:rsidRPr="00185722">
        <w:rPr>
          <w:noProof/>
          <w:lang w:eastAsia="en-IE"/>
        </w:rPr>
        <w:t xml:space="preserve">The public consultation </w:t>
      </w:r>
      <w:r w:rsidR="00992A49" w:rsidRPr="00E57E90">
        <w:rPr>
          <w:noProof/>
          <w:lang w:eastAsia="en-IE"/>
        </w:rPr>
        <w:t>required in the previous paragraph shall comply with the minimum requirements set out in point (5) of Annex VI and shall inform the stakeholders referred to in point (3)(a) of Annex VI about the project at an early stage and shall help to identify the most suitable location</w:t>
      </w:r>
      <w:r w:rsidR="00992A49" w:rsidRPr="00185722">
        <w:rPr>
          <w:noProof/>
          <w:lang w:eastAsia="en-IE"/>
        </w:rPr>
        <w:t xml:space="preserve">, trajectory or technology, including, where relevant, in view of adequate climate adaptation and security considerations for the project, all impacts relevant under Union and national law, and the relevant issues to be addressed in the application file. </w:t>
      </w:r>
    </w:p>
    <w:p w14:paraId="28B4CACF" w14:textId="423346DF" w:rsidR="00992A49" w:rsidRPr="00185722" w:rsidRDefault="00C44DD6" w:rsidP="00C44DD6">
      <w:pPr>
        <w:pStyle w:val="ManualNumPar1"/>
        <w:rPr>
          <w:noProof/>
          <w:lang w:eastAsia="en-IE"/>
        </w:rPr>
      </w:pPr>
      <w:r w:rsidRPr="00C44DD6">
        <w:rPr>
          <w:noProof/>
        </w:rPr>
        <w:t>7.</w:t>
      </w:r>
      <w:r w:rsidRPr="00C44DD6">
        <w:rPr>
          <w:noProof/>
        </w:rPr>
        <w:tab/>
      </w:r>
      <w:r w:rsidR="00992A49" w:rsidRPr="00185722">
        <w:rPr>
          <w:noProof/>
          <w:lang w:eastAsia="en-IE"/>
        </w:rPr>
        <w:t xml:space="preserve">Without prejudice to the procedural and transparency rules in Member States, the project promoters shall publish on the website referred </w:t>
      </w:r>
      <w:r w:rsidR="00992A49" w:rsidRPr="00731612">
        <w:rPr>
          <w:noProof/>
          <w:lang w:eastAsia="en-IE"/>
        </w:rPr>
        <w:t xml:space="preserve">to in paragraph </w:t>
      </w:r>
      <w:r w:rsidR="00731612" w:rsidRPr="00731612">
        <w:rPr>
          <w:noProof/>
          <w:lang w:eastAsia="en-IE"/>
        </w:rPr>
        <w:t>10</w:t>
      </w:r>
      <w:r w:rsidR="00992A49" w:rsidRPr="00731612">
        <w:rPr>
          <w:noProof/>
          <w:lang w:eastAsia="en-IE"/>
        </w:rPr>
        <w:t xml:space="preserve"> a report summarising the results of activities relate</w:t>
      </w:r>
      <w:r w:rsidR="00992A49" w:rsidRPr="00185722">
        <w:rPr>
          <w:noProof/>
          <w:lang w:eastAsia="en-IE"/>
        </w:rPr>
        <w:t>d to public participation as regards the project including any activities pre-dating the early public consultation,  and explaining how the opinions expressed in the public consultations were taken into account, showing the amendments made in the location, trajectory and design of the project, or providing reasons why such opinions have not been taken into account.</w:t>
      </w:r>
    </w:p>
    <w:p w14:paraId="3AD529D0" w14:textId="77777777" w:rsidR="00992A49" w:rsidRPr="00185722" w:rsidRDefault="00992A49" w:rsidP="00992A49">
      <w:pPr>
        <w:pStyle w:val="Text1"/>
        <w:rPr>
          <w:noProof/>
          <w:lang w:eastAsia="en-IE"/>
        </w:rPr>
      </w:pPr>
      <w:r w:rsidRPr="00185722">
        <w:rPr>
          <w:noProof/>
          <w:lang w:eastAsia="en-IE"/>
        </w:rPr>
        <w:t>The project promoter shall submit the report together with the application file to the national competent authority. The comprehensive decision shall take due account of the result of this report.</w:t>
      </w:r>
    </w:p>
    <w:p w14:paraId="1EB1D666" w14:textId="49544DA3" w:rsidR="00992A49" w:rsidRPr="00185722" w:rsidRDefault="00C44DD6" w:rsidP="00C44DD6">
      <w:pPr>
        <w:pStyle w:val="ManualNumPar1"/>
        <w:rPr>
          <w:noProof/>
          <w:lang w:eastAsia="en-IE"/>
        </w:rPr>
      </w:pPr>
      <w:r w:rsidRPr="00C44DD6">
        <w:rPr>
          <w:noProof/>
        </w:rPr>
        <w:t>8.</w:t>
      </w:r>
      <w:r w:rsidRPr="00C44DD6">
        <w:rPr>
          <w:noProof/>
        </w:rPr>
        <w:tab/>
      </w:r>
      <w:r w:rsidR="00992A49" w:rsidRPr="00185722">
        <w:rPr>
          <w:noProof/>
          <w:lang w:eastAsia="en-IE"/>
        </w:rPr>
        <w:t xml:space="preserve">For cross-border projects involving two or more Member States, the public consultations carried out pursuant </w:t>
      </w:r>
      <w:r w:rsidR="00992A49" w:rsidRPr="00B7375F">
        <w:rPr>
          <w:noProof/>
          <w:lang w:eastAsia="en-IE"/>
        </w:rPr>
        <w:t>to paragraph</w:t>
      </w:r>
      <w:r w:rsidR="00132F9D" w:rsidRPr="00B7375F">
        <w:rPr>
          <w:noProof/>
          <w:lang w:eastAsia="en-IE"/>
        </w:rPr>
        <w:t xml:space="preserve"> </w:t>
      </w:r>
      <w:r w:rsidR="00992A49" w:rsidRPr="00B7375F">
        <w:rPr>
          <w:noProof/>
          <w:lang w:eastAsia="en-IE"/>
        </w:rPr>
        <w:t>5 in</w:t>
      </w:r>
      <w:r w:rsidR="00992A49" w:rsidRPr="00185722">
        <w:rPr>
          <w:noProof/>
          <w:lang w:eastAsia="en-IE"/>
        </w:rPr>
        <w:t xml:space="preserve"> each of the Member States concerned shall, to the extent possible, take place within a period of no more than two months from each other, and, </w:t>
      </w:r>
      <w:r w:rsidR="00C379D2">
        <w:rPr>
          <w:noProof/>
        </w:rPr>
        <w:t xml:space="preserve">where </w:t>
      </w:r>
      <w:r w:rsidR="00992A49" w:rsidRPr="00185722">
        <w:rPr>
          <w:noProof/>
          <w:lang w:eastAsia="en-IE"/>
        </w:rPr>
        <w:t>possible, be combined.</w:t>
      </w:r>
    </w:p>
    <w:p w14:paraId="277AC59F" w14:textId="5C6928EF" w:rsidR="00992A49" w:rsidRPr="00185722" w:rsidRDefault="00C44DD6" w:rsidP="00C44DD6">
      <w:pPr>
        <w:pStyle w:val="ManualNumPar1"/>
        <w:rPr>
          <w:noProof/>
          <w:lang w:eastAsia="en-IE"/>
        </w:rPr>
      </w:pPr>
      <w:r w:rsidRPr="00C44DD6">
        <w:rPr>
          <w:noProof/>
        </w:rPr>
        <w:t>9.</w:t>
      </w:r>
      <w:r w:rsidRPr="00C44DD6">
        <w:rPr>
          <w:noProof/>
        </w:rPr>
        <w:tab/>
      </w:r>
      <w:r w:rsidR="00992A49" w:rsidRPr="00185722">
        <w:rPr>
          <w:noProof/>
          <w:lang w:eastAsia="en-IE"/>
        </w:rPr>
        <w:t>For projects likely to have a significant transboundary impact in one or more neighbouring Member States, to which Article 7 of Directive 2011/92/EU and the Espoo Convention are applicable, the relevant information shall be made available to the national competent authorities of the neighbouring Member States concerned. The national competent authorities of the neighbouring Member States concerned shall indicate, in the notification process where appropriate, whether they, or any other authority concerned, wishes to participate in the relevant public consultation procedures.</w:t>
      </w:r>
    </w:p>
    <w:p w14:paraId="2BFC31F0" w14:textId="758DCFC8" w:rsidR="00992A49" w:rsidRDefault="00C44DD6" w:rsidP="00C44DD6">
      <w:pPr>
        <w:pStyle w:val="ManualNumPar1"/>
        <w:rPr>
          <w:noProof/>
          <w:lang w:eastAsia="en-IE"/>
        </w:rPr>
      </w:pPr>
      <w:r w:rsidRPr="00C44DD6">
        <w:rPr>
          <w:noProof/>
        </w:rPr>
        <w:t>10.</w:t>
      </w:r>
      <w:r w:rsidRPr="00C44DD6">
        <w:rPr>
          <w:noProof/>
        </w:rPr>
        <w:tab/>
      </w:r>
      <w:r w:rsidR="00992A49" w:rsidRPr="00185722">
        <w:rPr>
          <w:noProof/>
          <w:lang w:eastAsia="en-IE"/>
        </w:rPr>
        <w:t xml:space="preserve">The project promoter shall establish and regularly update a dedicated project website with relevant information about the project of common interest, which shall be linked to the Commission website and the </w:t>
      </w:r>
      <w:r w:rsidR="00992A49" w:rsidRPr="00B23089">
        <w:rPr>
          <w:noProof/>
          <w:lang w:eastAsia="en-IE"/>
        </w:rPr>
        <w:t>transparency platform referred to in Article 2</w:t>
      </w:r>
      <w:r w:rsidR="004B3E72" w:rsidRPr="00B23089">
        <w:rPr>
          <w:noProof/>
          <w:lang w:eastAsia="en-IE"/>
        </w:rPr>
        <w:t>6</w:t>
      </w:r>
      <w:r w:rsidR="00992A49" w:rsidRPr="00B23089">
        <w:rPr>
          <w:noProof/>
          <w:lang w:eastAsia="en-IE"/>
        </w:rPr>
        <w:t xml:space="preserve"> and which shall meet the requirements specified in point (6) of Annex VI. National</w:t>
      </w:r>
      <w:r w:rsidR="00992A49" w:rsidRPr="00185722">
        <w:rPr>
          <w:noProof/>
          <w:lang w:eastAsia="en-IE"/>
        </w:rPr>
        <w:t xml:space="preserve"> competent authorities shall check the fulfilment of this obligation by the project promoters and take measures ensuring compliance </w:t>
      </w:r>
      <w:r w:rsidR="00243369" w:rsidRPr="00185722">
        <w:rPr>
          <w:noProof/>
          <w:lang w:eastAsia="en-IE"/>
        </w:rPr>
        <w:t>whe</w:t>
      </w:r>
      <w:r w:rsidR="00243369">
        <w:rPr>
          <w:noProof/>
          <w:lang w:eastAsia="en-IE"/>
        </w:rPr>
        <w:t>r</w:t>
      </w:r>
      <w:r w:rsidR="00604354">
        <w:rPr>
          <w:noProof/>
          <w:lang w:eastAsia="en-IE"/>
        </w:rPr>
        <w:t>e</w:t>
      </w:r>
      <w:r w:rsidR="00243369" w:rsidRPr="00185722">
        <w:rPr>
          <w:noProof/>
          <w:lang w:eastAsia="en-IE"/>
        </w:rPr>
        <w:t xml:space="preserve"> </w:t>
      </w:r>
      <w:r w:rsidR="00992A49" w:rsidRPr="00185722">
        <w:rPr>
          <w:noProof/>
          <w:lang w:eastAsia="en-IE"/>
        </w:rPr>
        <w:t xml:space="preserve">necessary.  </w:t>
      </w:r>
    </w:p>
    <w:p w14:paraId="0514A17A" w14:textId="77777777" w:rsidR="00D96A94" w:rsidRPr="00185722" w:rsidRDefault="00D96A94" w:rsidP="00D96A94">
      <w:pPr>
        <w:pStyle w:val="Titrearticle"/>
        <w:rPr>
          <w:noProof/>
          <w:lang w:eastAsia="en-IE"/>
        </w:rPr>
      </w:pPr>
      <w:r w:rsidRPr="00185722">
        <w:rPr>
          <w:noProof/>
          <w:lang w:eastAsia="en-IE"/>
        </w:rPr>
        <w:t>Article 10</w:t>
      </w:r>
    </w:p>
    <w:p w14:paraId="03837E45" w14:textId="77777777" w:rsidR="00D96A94" w:rsidRPr="00872170" w:rsidRDefault="00D96A94" w:rsidP="00D96A94">
      <w:pPr>
        <w:pStyle w:val="Titrearticle"/>
        <w:rPr>
          <w:b/>
          <w:bCs/>
          <w:noProof/>
          <w:lang w:eastAsia="en-IE"/>
        </w:rPr>
      </w:pPr>
      <w:bookmarkStart w:id="15" w:name="bookmark50"/>
      <w:bookmarkEnd w:id="15"/>
      <w:r w:rsidRPr="00872170">
        <w:rPr>
          <w:b/>
          <w:bCs/>
          <w:noProof/>
          <w:lang w:eastAsia="en-IE"/>
        </w:rPr>
        <w:t>Duration and implementation of the permit</w:t>
      </w:r>
      <w:r w:rsidR="00E07F3E">
        <w:rPr>
          <w:b/>
          <w:bCs/>
          <w:noProof/>
          <w:lang w:eastAsia="en-IE"/>
        </w:rPr>
        <w:t>-</w:t>
      </w:r>
      <w:r w:rsidRPr="00872170">
        <w:rPr>
          <w:b/>
          <w:bCs/>
          <w:noProof/>
          <w:lang w:eastAsia="en-IE"/>
        </w:rPr>
        <w:t>granting process</w:t>
      </w:r>
    </w:p>
    <w:p w14:paraId="668FD257" w14:textId="2EE72BF3" w:rsidR="00D96A94" w:rsidRPr="00185722" w:rsidRDefault="00C44DD6" w:rsidP="00C44DD6">
      <w:pPr>
        <w:pStyle w:val="ManualNumPar1"/>
        <w:rPr>
          <w:noProof/>
          <w:lang w:eastAsia="en-IE"/>
        </w:rPr>
      </w:pPr>
      <w:r w:rsidRPr="00C44DD6">
        <w:rPr>
          <w:noProof/>
        </w:rPr>
        <w:t>1.</w:t>
      </w:r>
      <w:r w:rsidRPr="00C44DD6">
        <w:rPr>
          <w:noProof/>
        </w:rPr>
        <w:tab/>
      </w:r>
      <w:r w:rsidR="00D96A94" w:rsidRPr="00185722">
        <w:rPr>
          <w:noProof/>
          <w:lang w:eastAsia="en-IE"/>
        </w:rPr>
        <w:t>The permit</w:t>
      </w:r>
      <w:r w:rsidR="00E07F3E">
        <w:rPr>
          <w:noProof/>
          <w:lang w:eastAsia="en-IE"/>
        </w:rPr>
        <w:t>-</w:t>
      </w:r>
      <w:r w:rsidR="00D96A94" w:rsidRPr="00185722">
        <w:rPr>
          <w:noProof/>
          <w:lang w:eastAsia="en-IE"/>
        </w:rPr>
        <w:t xml:space="preserve">granting process shall </w:t>
      </w:r>
      <w:r w:rsidR="00C00024">
        <w:rPr>
          <w:noProof/>
          <w:lang w:eastAsia="en-IE"/>
        </w:rPr>
        <w:t>provide</w:t>
      </w:r>
      <w:r w:rsidR="00D96A94" w:rsidRPr="00185722">
        <w:rPr>
          <w:noProof/>
          <w:lang w:eastAsia="en-IE"/>
        </w:rPr>
        <w:t xml:space="preserve"> </w:t>
      </w:r>
      <w:r w:rsidR="00093032">
        <w:rPr>
          <w:noProof/>
          <w:lang w:eastAsia="en-IE"/>
        </w:rPr>
        <w:t>for</w:t>
      </w:r>
      <w:r w:rsidR="00D96A94" w:rsidRPr="00185722">
        <w:rPr>
          <w:noProof/>
          <w:lang w:eastAsia="en-IE"/>
        </w:rPr>
        <w:t xml:space="preserve"> </w:t>
      </w:r>
      <w:r w:rsidR="00F83090">
        <w:rPr>
          <w:noProof/>
          <w:lang w:eastAsia="en-IE"/>
        </w:rPr>
        <w:t xml:space="preserve">the following </w:t>
      </w:r>
      <w:r w:rsidR="00D96A94" w:rsidRPr="00185722">
        <w:rPr>
          <w:noProof/>
          <w:lang w:eastAsia="en-IE"/>
        </w:rPr>
        <w:t>two procedures:</w:t>
      </w:r>
    </w:p>
    <w:p w14:paraId="36853311" w14:textId="400585B4" w:rsidR="00D96A94" w:rsidRPr="00185722" w:rsidRDefault="00C44DD6" w:rsidP="00C44DD6">
      <w:pPr>
        <w:pStyle w:val="Point1"/>
        <w:rPr>
          <w:noProof/>
          <w:lang w:eastAsia="en-IE"/>
        </w:rPr>
      </w:pPr>
      <w:r w:rsidRPr="00C44DD6">
        <w:rPr>
          <w:noProof/>
        </w:rPr>
        <w:t>(a)</w:t>
      </w:r>
      <w:r w:rsidRPr="00C44DD6">
        <w:rPr>
          <w:noProof/>
        </w:rPr>
        <w:tab/>
      </w:r>
      <w:r w:rsidR="00D96A94" w:rsidRPr="00185722">
        <w:rPr>
          <w:noProof/>
          <w:lang w:eastAsia="en-IE"/>
        </w:rPr>
        <w:t>the optional pre-application procedure, covering the period between the start of the permit</w:t>
      </w:r>
      <w:r w:rsidR="00E07F3E">
        <w:rPr>
          <w:noProof/>
          <w:lang w:eastAsia="en-IE"/>
        </w:rPr>
        <w:t>-</w:t>
      </w:r>
      <w:r w:rsidR="00D96A94" w:rsidRPr="00185722">
        <w:rPr>
          <w:noProof/>
          <w:lang w:eastAsia="en-IE"/>
        </w:rPr>
        <w:t xml:space="preserve">granting process and the acceptance of the submitted complete application file by the national competent authority, which shall take place within a maximum period of 24 months; </w:t>
      </w:r>
    </w:p>
    <w:p w14:paraId="2F04D663" w14:textId="6152C968" w:rsidR="00D96A94" w:rsidRPr="00185722" w:rsidRDefault="00C44DD6" w:rsidP="00C44DD6">
      <w:pPr>
        <w:pStyle w:val="Point1"/>
        <w:rPr>
          <w:noProof/>
          <w:lang w:eastAsia="en-IE"/>
        </w:rPr>
      </w:pPr>
      <w:r w:rsidRPr="00C44DD6">
        <w:rPr>
          <w:noProof/>
        </w:rPr>
        <w:t>(b)</w:t>
      </w:r>
      <w:r w:rsidRPr="00C44DD6">
        <w:rPr>
          <w:noProof/>
        </w:rPr>
        <w:tab/>
      </w:r>
      <w:r w:rsidR="00D96A94" w:rsidRPr="00185722">
        <w:rPr>
          <w:noProof/>
          <w:lang w:eastAsia="en-IE"/>
        </w:rPr>
        <w:t>the mandatory statutory permit</w:t>
      </w:r>
      <w:r w:rsidR="00E07F3E">
        <w:rPr>
          <w:noProof/>
          <w:lang w:eastAsia="en-IE"/>
        </w:rPr>
        <w:t>-</w:t>
      </w:r>
      <w:r w:rsidR="00D96A94" w:rsidRPr="00185722">
        <w:rPr>
          <w:noProof/>
          <w:lang w:eastAsia="en-IE"/>
        </w:rPr>
        <w:t xml:space="preserve">granting procedure, covering the period from the date of acceptance of the submitted complete application file until the </w:t>
      </w:r>
      <w:r w:rsidR="008B2955">
        <w:rPr>
          <w:noProof/>
          <w:lang w:eastAsia="en-IE"/>
        </w:rPr>
        <w:t xml:space="preserve">date </w:t>
      </w:r>
      <w:r w:rsidR="00D96A94" w:rsidRPr="00185722">
        <w:rPr>
          <w:noProof/>
          <w:lang w:eastAsia="en-IE"/>
        </w:rPr>
        <w:t>of the comprehensive decision, which shall not exceed 18 months.</w:t>
      </w:r>
    </w:p>
    <w:p w14:paraId="67A16B2E" w14:textId="77777777" w:rsidR="00D96A94" w:rsidRPr="00185722" w:rsidRDefault="00D96A94" w:rsidP="00D96A94">
      <w:pPr>
        <w:pStyle w:val="Text1"/>
        <w:rPr>
          <w:noProof/>
          <w:lang w:eastAsia="en-IE"/>
        </w:rPr>
      </w:pPr>
      <w:r w:rsidRPr="00185722">
        <w:rPr>
          <w:noProof/>
          <w:lang w:eastAsia="en-IE"/>
        </w:rPr>
        <w:t xml:space="preserve">With regard </w:t>
      </w:r>
      <w:r w:rsidR="00B32F96">
        <w:rPr>
          <w:noProof/>
          <w:lang w:eastAsia="en-IE"/>
        </w:rPr>
        <w:t>to</w:t>
      </w:r>
      <w:r w:rsidRPr="00185722">
        <w:rPr>
          <w:noProof/>
          <w:lang w:eastAsia="en-IE"/>
        </w:rPr>
        <w:t xml:space="preserve"> the first subparagraph, </w:t>
      </w:r>
      <w:r w:rsidR="00E22A19" w:rsidRPr="00185722">
        <w:rPr>
          <w:noProof/>
          <w:lang w:eastAsia="en-IE"/>
        </w:rPr>
        <w:t>point (b)</w:t>
      </w:r>
      <w:r w:rsidR="00E22A19">
        <w:rPr>
          <w:noProof/>
          <w:lang w:eastAsia="en-IE"/>
        </w:rPr>
        <w:t>,</w:t>
      </w:r>
      <w:r w:rsidR="00E22A19" w:rsidRPr="00185722">
        <w:rPr>
          <w:noProof/>
          <w:lang w:eastAsia="en-IE"/>
        </w:rPr>
        <w:t xml:space="preserve"> </w:t>
      </w:r>
      <w:r w:rsidRPr="00185722">
        <w:rPr>
          <w:noProof/>
          <w:lang w:eastAsia="en-IE"/>
        </w:rPr>
        <w:t>where possible, Member States may provide for a statutory permit</w:t>
      </w:r>
      <w:r w:rsidR="00E07F3E">
        <w:rPr>
          <w:noProof/>
          <w:lang w:eastAsia="en-IE"/>
        </w:rPr>
        <w:t>-</w:t>
      </w:r>
      <w:r w:rsidRPr="00185722">
        <w:rPr>
          <w:noProof/>
          <w:lang w:eastAsia="en-IE"/>
        </w:rPr>
        <w:t>granting procedure that is shorter than 18 months.</w:t>
      </w:r>
    </w:p>
    <w:p w14:paraId="3699AE09" w14:textId="7C659D5C" w:rsidR="00AD4363" w:rsidRDefault="00C44DD6" w:rsidP="00C44DD6">
      <w:pPr>
        <w:pStyle w:val="ManualNumPar1"/>
        <w:rPr>
          <w:noProof/>
          <w:lang w:eastAsia="en-IE"/>
        </w:rPr>
      </w:pPr>
      <w:r w:rsidRPr="00C44DD6">
        <w:rPr>
          <w:noProof/>
        </w:rPr>
        <w:t>2.</w:t>
      </w:r>
      <w:r w:rsidRPr="00C44DD6">
        <w:rPr>
          <w:noProof/>
        </w:rPr>
        <w:tab/>
      </w:r>
      <w:r w:rsidR="00D96A94" w:rsidRPr="00185722">
        <w:rPr>
          <w:noProof/>
          <w:lang w:eastAsia="en-IE"/>
        </w:rPr>
        <w:t>The national competent authority shall ensure that the combined duration of the two procedures referred to in paragraph 1 does not exceed a period of 42 months.</w:t>
      </w:r>
    </w:p>
    <w:p w14:paraId="40B65F71" w14:textId="77777777" w:rsidR="00B6424A" w:rsidRDefault="00D96A94" w:rsidP="007366D2">
      <w:pPr>
        <w:pStyle w:val="Text1"/>
        <w:rPr>
          <w:noProof/>
          <w:lang w:eastAsia="en-IE"/>
        </w:rPr>
      </w:pPr>
      <w:r w:rsidRPr="00185722">
        <w:rPr>
          <w:noProof/>
          <w:lang w:eastAsia="en-IE"/>
        </w:rPr>
        <w:t xml:space="preserve">However, where the national competent authority considers that one or both of the procedures will not be completed within the time limits set </w:t>
      </w:r>
      <w:r w:rsidR="00DD440E">
        <w:rPr>
          <w:noProof/>
          <w:lang w:eastAsia="en-IE"/>
        </w:rPr>
        <w:t xml:space="preserve">out </w:t>
      </w:r>
      <w:r w:rsidRPr="00185722">
        <w:rPr>
          <w:noProof/>
          <w:lang w:eastAsia="en-IE"/>
        </w:rPr>
        <w:t>in paragraph 1, it may extend one or both of those time limits before their expiry and on a case-by-case basis. The national competent authority shall not extend the combined duration of the two procedures for more than six months other than in exceptional circumstances.</w:t>
      </w:r>
      <w:r w:rsidR="00872170">
        <w:rPr>
          <w:noProof/>
          <w:lang w:eastAsia="en-IE"/>
        </w:rPr>
        <w:t xml:space="preserve"> </w:t>
      </w:r>
    </w:p>
    <w:p w14:paraId="2F785987" w14:textId="77777777" w:rsidR="00D96A94" w:rsidRPr="00185722" w:rsidRDefault="00D96A94" w:rsidP="007366D2">
      <w:pPr>
        <w:pStyle w:val="Text1"/>
        <w:rPr>
          <w:noProof/>
          <w:lang w:eastAsia="en-IE"/>
        </w:rPr>
      </w:pPr>
      <w:r w:rsidRPr="00185722">
        <w:rPr>
          <w:noProof/>
          <w:lang w:eastAsia="en-IE"/>
        </w:rPr>
        <w:t>Where the national competent authority extends the time limits, it shall inform the Group concerned of the reasons for such extension and present it with the measures taken, or to be taken, for the conclusion of the permit</w:t>
      </w:r>
      <w:r w:rsidR="00E07F3E">
        <w:rPr>
          <w:noProof/>
          <w:lang w:eastAsia="en-IE"/>
        </w:rPr>
        <w:t>-</w:t>
      </w:r>
      <w:r w:rsidRPr="00185722">
        <w:rPr>
          <w:noProof/>
          <w:lang w:eastAsia="en-IE"/>
        </w:rPr>
        <w:t xml:space="preserve">granting process, with the least possible delay. The Group may request that the national competent authority reports regularly on the progress achieved in that regard and </w:t>
      </w:r>
      <w:r w:rsidR="0067038D">
        <w:rPr>
          <w:noProof/>
          <w:lang w:eastAsia="en-IE"/>
        </w:rPr>
        <w:t>provide</w:t>
      </w:r>
      <w:r w:rsidR="006861F1">
        <w:rPr>
          <w:noProof/>
          <w:lang w:eastAsia="en-IE"/>
        </w:rPr>
        <w:t xml:space="preserve"> </w:t>
      </w:r>
      <w:r w:rsidRPr="00185722">
        <w:rPr>
          <w:noProof/>
          <w:lang w:eastAsia="en-IE"/>
        </w:rPr>
        <w:t>reasons for any delays.</w:t>
      </w:r>
    </w:p>
    <w:p w14:paraId="370F63F7" w14:textId="2938A02D" w:rsidR="000B1A3C" w:rsidRPr="00185722" w:rsidRDefault="00C44DD6" w:rsidP="00C44DD6">
      <w:pPr>
        <w:pStyle w:val="ManualNumPar1"/>
        <w:rPr>
          <w:noProof/>
          <w:lang w:eastAsia="en-IE"/>
        </w:rPr>
      </w:pPr>
      <w:r w:rsidRPr="00C44DD6">
        <w:rPr>
          <w:noProof/>
        </w:rPr>
        <w:t>3.</w:t>
      </w:r>
      <w:r w:rsidRPr="00C44DD6">
        <w:rPr>
          <w:noProof/>
        </w:rPr>
        <w:tab/>
      </w:r>
      <w:r w:rsidR="000B1A3C" w:rsidRPr="008E6D61">
        <w:rPr>
          <w:noProof/>
          <w:lang w:eastAsia="en-IE"/>
        </w:rPr>
        <w:t xml:space="preserve">Member States shall ensure that the national competent authorities </w:t>
      </w:r>
      <w:r w:rsidR="00E22A19">
        <w:rPr>
          <w:noProof/>
          <w:lang w:eastAsia="en-IE"/>
        </w:rPr>
        <w:t>referred to</w:t>
      </w:r>
      <w:r w:rsidR="00E22A19" w:rsidRPr="008E6D61">
        <w:rPr>
          <w:noProof/>
          <w:lang w:eastAsia="en-IE"/>
        </w:rPr>
        <w:t xml:space="preserve"> </w:t>
      </w:r>
      <w:r w:rsidR="000B1A3C" w:rsidRPr="008E6D61">
        <w:rPr>
          <w:noProof/>
          <w:lang w:eastAsia="en-IE"/>
        </w:rPr>
        <w:t>in Article 8(1)</w:t>
      </w:r>
      <w:r w:rsidR="00DC1452">
        <w:rPr>
          <w:noProof/>
          <w:lang w:eastAsia="en-IE"/>
        </w:rPr>
        <w:t xml:space="preserve"> </w:t>
      </w:r>
      <w:r w:rsidR="000B1A3C" w:rsidRPr="008E6D61">
        <w:rPr>
          <w:noProof/>
          <w:lang w:eastAsia="en-IE"/>
        </w:rPr>
        <w:t>have adequate technical, financial and human resources to render a comprehensive decision within the timeframe indicated in Article 10(2)</w:t>
      </w:r>
      <w:r w:rsidR="000B1A3C" w:rsidRPr="4C97927A">
        <w:rPr>
          <w:noProof/>
          <w:lang w:eastAsia="en-IE"/>
        </w:rPr>
        <w:t xml:space="preserve">. </w:t>
      </w:r>
    </w:p>
    <w:p w14:paraId="647ABEFD" w14:textId="59E7B5DC" w:rsidR="00351F07" w:rsidRDefault="00C44DD6" w:rsidP="00C44DD6">
      <w:pPr>
        <w:pStyle w:val="ManualNumPar1"/>
        <w:rPr>
          <w:noProof/>
          <w:lang w:eastAsia="en-IE"/>
        </w:rPr>
      </w:pPr>
      <w:r w:rsidRPr="00C44DD6">
        <w:rPr>
          <w:noProof/>
        </w:rPr>
        <w:t>4.</w:t>
      </w:r>
      <w:r w:rsidRPr="00C44DD6">
        <w:rPr>
          <w:noProof/>
        </w:rPr>
        <w:tab/>
      </w:r>
      <w:r w:rsidR="05BF447B" w:rsidRPr="02B5BF9B">
        <w:rPr>
          <w:noProof/>
          <w:lang w:eastAsia="en-IE"/>
        </w:rPr>
        <w:t>Member States shall ensure that, i</w:t>
      </w:r>
      <w:r w:rsidR="28187E7B" w:rsidRPr="02B5BF9B">
        <w:rPr>
          <w:noProof/>
          <w:lang w:eastAsia="en-IE"/>
        </w:rPr>
        <w:t>n the permit-granting procedure referred to in paragraph 1,</w:t>
      </w:r>
      <w:r w:rsidR="39401711" w:rsidRPr="02B5BF9B">
        <w:rPr>
          <w:noProof/>
          <w:lang w:eastAsia="en-IE"/>
        </w:rPr>
        <w:t>:</w:t>
      </w:r>
      <w:r w:rsidR="28187E7B" w:rsidRPr="02B5BF9B">
        <w:rPr>
          <w:noProof/>
          <w:lang w:eastAsia="en-IE"/>
        </w:rPr>
        <w:t xml:space="preserve"> </w:t>
      </w:r>
    </w:p>
    <w:p w14:paraId="53FDDBF5" w14:textId="25F8EEA3" w:rsidR="00C579C3" w:rsidRPr="00DC1452" w:rsidRDefault="00C44DD6" w:rsidP="00C44DD6">
      <w:pPr>
        <w:pStyle w:val="Point1"/>
        <w:rPr>
          <w:noProof/>
          <w:lang w:eastAsia="en-IE"/>
        </w:rPr>
      </w:pPr>
      <w:r w:rsidRPr="00C44DD6">
        <w:rPr>
          <w:noProof/>
        </w:rPr>
        <w:t>(a)</w:t>
      </w:r>
      <w:r w:rsidRPr="00C44DD6">
        <w:rPr>
          <w:noProof/>
        </w:rPr>
        <w:tab/>
      </w:r>
      <w:r w:rsidR="00864302">
        <w:rPr>
          <w:noProof/>
          <w:lang w:eastAsia="en-IE"/>
        </w:rPr>
        <w:t xml:space="preserve">the </w:t>
      </w:r>
      <w:r w:rsidR="00D96A94" w:rsidRPr="00185722">
        <w:rPr>
          <w:noProof/>
          <w:lang w:eastAsia="en-IE"/>
        </w:rPr>
        <w:t xml:space="preserve">lack of reply by the national competent authorities within the deadline established in paragraph </w:t>
      </w:r>
      <w:r w:rsidR="00D96A94" w:rsidRPr="00FE78D4">
        <w:rPr>
          <w:noProof/>
          <w:lang w:eastAsia="en-IE"/>
        </w:rPr>
        <w:t xml:space="preserve">2 </w:t>
      </w:r>
      <w:r w:rsidR="00BF1003" w:rsidRPr="00BF1003">
        <w:rPr>
          <w:noProof/>
          <w:lang w:eastAsia="en-IE"/>
        </w:rPr>
        <w:t xml:space="preserve">results in the comprehensive decision to be considered as </w:t>
      </w:r>
      <w:r w:rsidR="00BF1003" w:rsidRPr="00DC1452">
        <w:rPr>
          <w:noProof/>
          <w:lang w:eastAsia="en-IE"/>
        </w:rPr>
        <w:t>approved</w:t>
      </w:r>
      <w:r w:rsidR="00D83CBD" w:rsidRPr="00DC1452">
        <w:rPr>
          <w:noProof/>
          <w:lang w:eastAsia="en-IE"/>
        </w:rPr>
        <w:t>;</w:t>
      </w:r>
      <w:r w:rsidR="00BF1003" w:rsidRPr="00DC1452">
        <w:rPr>
          <w:noProof/>
          <w:lang w:eastAsia="en-IE"/>
        </w:rPr>
        <w:t xml:space="preserve"> </w:t>
      </w:r>
    </w:p>
    <w:p w14:paraId="4CEC1CFF" w14:textId="76513F5E" w:rsidR="00D96A94" w:rsidRPr="00185722" w:rsidRDefault="00C44DD6" w:rsidP="00C44DD6">
      <w:pPr>
        <w:pStyle w:val="Point1"/>
        <w:rPr>
          <w:noProof/>
          <w:lang w:eastAsia="en-IE"/>
        </w:rPr>
      </w:pPr>
      <w:r w:rsidRPr="00C44DD6">
        <w:rPr>
          <w:noProof/>
        </w:rPr>
        <w:t>(b)</w:t>
      </w:r>
      <w:r w:rsidRPr="00C44DD6">
        <w:rPr>
          <w:noProof/>
        </w:rPr>
        <w:tab/>
      </w:r>
      <w:r w:rsidR="00BD0303" w:rsidRPr="00DC1452">
        <w:rPr>
          <w:noProof/>
          <w:lang w:eastAsia="en-IE"/>
        </w:rPr>
        <w:t xml:space="preserve">the lack of reply by other authorities concerned within the reasonable time limit established by a national competent authority in </w:t>
      </w:r>
      <w:r w:rsidR="00E22A19" w:rsidRPr="00DC1452">
        <w:rPr>
          <w:noProof/>
          <w:lang w:eastAsia="en-IE"/>
        </w:rPr>
        <w:t xml:space="preserve">accordance </w:t>
      </w:r>
      <w:r w:rsidR="00BD0303" w:rsidRPr="00DC1452">
        <w:rPr>
          <w:noProof/>
          <w:lang w:eastAsia="en-IE"/>
        </w:rPr>
        <w:t xml:space="preserve">with Article 8(3), results in </w:t>
      </w:r>
      <w:r w:rsidR="00BD0303" w:rsidRPr="00BD0303">
        <w:rPr>
          <w:noProof/>
          <w:lang w:eastAsia="en-IE"/>
        </w:rPr>
        <w:t>their specific opinion</w:t>
      </w:r>
      <w:r w:rsidR="00B00903">
        <w:rPr>
          <w:noProof/>
          <w:lang w:eastAsia="en-IE"/>
        </w:rPr>
        <w:t>,</w:t>
      </w:r>
      <w:r w:rsidR="00BD0303" w:rsidRPr="00BD0303">
        <w:rPr>
          <w:noProof/>
          <w:lang w:eastAsia="en-IE"/>
        </w:rPr>
        <w:t xml:space="preserve"> authorisation or permit to be considered as granted or answered positively</w:t>
      </w:r>
      <w:r w:rsidR="00D96A94" w:rsidRPr="00185722">
        <w:rPr>
          <w:noProof/>
          <w:lang w:eastAsia="en-IE"/>
        </w:rPr>
        <w:t xml:space="preserve">. </w:t>
      </w:r>
    </w:p>
    <w:p w14:paraId="1921380F" w14:textId="2F8ECA75" w:rsidR="00D96A94" w:rsidRPr="00FE78D4" w:rsidRDefault="28187E7B" w:rsidP="530843A3">
      <w:pPr>
        <w:pStyle w:val="Text1"/>
        <w:rPr>
          <w:noProof/>
          <w:lang w:eastAsia="en-IE"/>
        </w:rPr>
      </w:pPr>
      <w:r w:rsidRPr="02B5BF9B">
        <w:rPr>
          <w:noProof/>
          <w:lang w:eastAsia="en-IE"/>
        </w:rPr>
        <w:t xml:space="preserve">This paragraph does not produce </w:t>
      </w:r>
      <w:r w:rsidR="191AE582" w:rsidRPr="02B5BF9B">
        <w:rPr>
          <w:noProof/>
          <w:lang w:eastAsia="en-IE"/>
        </w:rPr>
        <w:t>effects</w:t>
      </w:r>
      <w:r w:rsidR="1C29EF1F" w:rsidRPr="02B5BF9B">
        <w:rPr>
          <w:noProof/>
          <w:lang w:eastAsia="en-IE"/>
        </w:rPr>
        <w:t xml:space="preserve"> </w:t>
      </w:r>
      <w:r w:rsidR="537DA706" w:rsidRPr="02B5BF9B">
        <w:rPr>
          <w:noProof/>
          <w:lang w:eastAsia="en-IE"/>
        </w:rPr>
        <w:t xml:space="preserve">for </w:t>
      </w:r>
      <w:r w:rsidR="7E3E3D56" w:rsidRPr="02B5BF9B">
        <w:rPr>
          <w:noProof/>
          <w:lang w:eastAsia="en-IE"/>
        </w:rPr>
        <w:t>environmental decisions</w:t>
      </w:r>
      <w:r w:rsidR="5D20998B">
        <w:rPr>
          <w:noProof/>
        </w:rPr>
        <w:t>,</w:t>
      </w:r>
      <w:r w:rsidR="537DA706" w:rsidRPr="02B5BF9B">
        <w:rPr>
          <w:noProof/>
          <w:lang w:eastAsia="en-IE"/>
        </w:rPr>
        <w:t xml:space="preserve"> and </w:t>
      </w:r>
      <w:r w:rsidRPr="02B5BF9B">
        <w:rPr>
          <w:noProof/>
          <w:lang w:eastAsia="en-IE"/>
        </w:rPr>
        <w:t>where the principle of administrative tacit approval does not exist in the legal system of the Member State concerned.</w:t>
      </w:r>
    </w:p>
    <w:p w14:paraId="2A704DA0" w14:textId="77777777" w:rsidR="00D96A94" w:rsidRPr="00185722" w:rsidRDefault="00D96A94" w:rsidP="00D96A94">
      <w:pPr>
        <w:pStyle w:val="Text1"/>
        <w:rPr>
          <w:noProof/>
          <w:lang w:eastAsia="en-IE"/>
        </w:rPr>
      </w:pPr>
      <w:r w:rsidRPr="00185722">
        <w:rPr>
          <w:noProof/>
          <w:lang w:eastAsia="en-IE"/>
        </w:rPr>
        <w:t>All decisions shall be made publicly available, including final decisions granted tacitly following the lack of reply by the relevant competent authorities or authorities concerned.</w:t>
      </w:r>
    </w:p>
    <w:p w14:paraId="315EB31D" w14:textId="0D11936C" w:rsidR="00D96A94" w:rsidRPr="00185722" w:rsidRDefault="00C44DD6" w:rsidP="00C44DD6">
      <w:pPr>
        <w:pStyle w:val="ManualNumPar1"/>
        <w:rPr>
          <w:noProof/>
          <w:lang w:eastAsia="en-IE"/>
        </w:rPr>
      </w:pPr>
      <w:r w:rsidRPr="00C44DD6">
        <w:rPr>
          <w:noProof/>
        </w:rPr>
        <w:t>5.</w:t>
      </w:r>
      <w:r w:rsidRPr="00C44DD6">
        <w:rPr>
          <w:noProof/>
        </w:rPr>
        <w:tab/>
      </w:r>
      <w:r w:rsidR="00D96A94" w:rsidRPr="35B5B627">
        <w:rPr>
          <w:noProof/>
          <w:color w:val="000000" w:themeColor="text1"/>
          <w:lang w:eastAsia="en-IE"/>
        </w:rPr>
        <w:t xml:space="preserve">When requesting the </w:t>
      </w:r>
      <w:r w:rsidR="00D96A94" w:rsidRPr="00185722">
        <w:rPr>
          <w:noProof/>
          <w:lang w:eastAsia="en-IE"/>
        </w:rPr>
        <w:t xml:space="preserve">start </w:t>
      </w:r>
      <w:r w:rsidR="140C8C9C" w:rsidRPr="75E0CD91">
        <w:rPr>
          <w:noProof/>
          <w:lang w:eastAsia="en-IE"/>
        </w:rPr>
        <w:t xml:space="preserve">of </w:t>
      </w:r>
      <w:r w:rsidR="00D96A94" w:rsidRPr="75E0CD91">
        <w:rPr>
          <w:noProof/>
          <w:lang w:eastAsia="en-IE"/>
        </w:rPr>
        <w:t>the</w:t>
      </w:r>
      <w:r w:rsidR="00D96A94" w:rsidRPr="00185722">
        <w:rPr>
          <w:noProof/>
          <w:lang w:eastAsia="en-IE"/>
        </w:rPr>
        <w:t xml:space="preserve"> permit</w:t>
      </w:r>
      <w:r w:rsidR="00E07F3E">
        <w:rPr>
          <w:noProof/>
          <w:lang w:eastAsia="en-IE"/>
        </w:rPr>
        <w:t>-</w:t>
      </w:r>
      <w:r w:rsidR="00D96A94" w:rsidRPr="00185722">
        <w:rPr>
          <w:noProof/>
          <w:lang w:eastAsia="en-IE"/>
        </w:rPr>
        <w:t xml:space="preserve">granting process, the project promoters shall notify the project to the national competent authority of each Member State </w:t>
      </w:r>
      <w:r w:rsidR="00D96A94" w:rsidRPr="35B5B627">
        <w:rPr>
          <w:noProof/>
          <w:color w:val="000000" w:themeColor="text1"/>
          <w:lang w:eastAsia="en-IE"/>
        </w:rPr>
        <w:t xml:space="preserve">where the project is located, including in Member States where the project crosses their exclusive economic zone, in written or electronic </w:t>
      </w:r>
      <w:r w:rsidR="00D96A94" w:rsidRPr="00185722">
        <w:rPr>
          <w:noProof/>
          <w:lang w:eastAsia="en-IE"/>
        </w:rPr>
        <w:t>form and include a reasonably detailed outline of the project.</w:t>
      </w:r>
    </w:p>
    <w:p w14:paraId="190A3E06" w14:textId="77777777" w:rsidR="00D96A94" w:rsidRDefault="00D96A94" w:rsidP="00D96A94">
      <w:pPr>
        <w:pStyle w:val="Text1"/>
        <w:rPr>
          <w:noProof/>
          <w:lang w:eastAsia="en-IE"/>
        </w:rPr>
      </w:pPr>
      <w:r w:rsidRPr="00185722">
        <w:rPr>
          <w:noProof/>
          <w:lang w:eastAsia="en-IE"/>
        </w:rPr>
        <w:t>Within one month of receipt of the notification, the national competent authority shall</w:t>
      </w:r>
      <w:r>
        <w:rPr>
          <w:noProof/>
          <w:lang w:eastAsia="en-IE"/>
        </w:rPr>
        <w:t>,</w:t>
      </w:r>
      <w:r w:rsidRPr="00D5630D">
        <w:rPr>
          <w:noProof/>
          <w:lang w:eastAsia="en-IE"/>
        </w:rPr>
        <w:t xml:space="preserve"> </w:t>
      </w:r>
      <w:r w:rsidRPr="00037F92">
        <w:rPr>
          <w:noProof/>
          <w:lang w:eastAsia="en-IE"/>
        </w:rPr>
        <w:t>in electronic form</w:t>
      </w:r>
      <w:r>
        <w:rPr>
          <w:noProof/>
          <w:lang w:eastAsia="en-IE"/>
        </w:rPr>
        <w:t>, either:</w:t>
      </w:r>
    </w:p>
    <w:p w14:paraId="38FA2188" w14:textId="4E0E1391" w:rsidR="00D96A94" w:rsidRPr="007366D2" w:rsidRDefault="00C44DD6" w:rsidP="00C44DD6">
      <w:pPr>
        <w:pStyle w:val="Point1"/>
        <w:rPr>
          <w:noProof/>
          <w:color w:val="000000"/>
          <w:lang w:eastAsia="en-IE"/>
        </w:rPr>
      </w:pPr>
      <w:r w:rsidRPr="00C44DD6">
        <w:rPr>
          <w:noProof/>
        </w:rPr>
        <w:t>(a)</w:t>
      </w:r>
      <w:r w:rsidRPr="00C44DD6">
        <w:rPr>
          <w:noProof/>
        </w:rPr>
        <w:tab/>
      </w:r>
      <w:r w:rsidR="5E7B5311" w:rsidRPr="59D71DE6">
        <w:rPr>
          <w:noProof/>
          <w:lang w:eastAsia="en-IE"/>
        </w:rPr>
        <w:t>i</w:t>
      </w:r>
      <w:r w:rsidR="00D96A94" w:rsidRPr="59D71DE6">
        <w:rPr>
          <w:noProof/>
          <w:lang w:eastAsia="en-IE"/>
        </w:rPr>
        <w:t>ssue</w:t>
      </w:r>
      <w:r w:rsidR="00D96A94" w:rsidRPr="35FF2EA6">
        <w:rPr>
          <w:noProof/>
          <w:lang w:eastAsia="en-IE"/>
        </w:rPr>
        <w:t xml:space="preserve"> an </w:t>
      </w:r>
      <w:r w:rsidR="00D96A94" w:rsidRPr="007366D2">
        <w:rPr>
          <w:noProof/>
          <w:color w:val="000000" w:themeColor="text1"/>
          <w:lang w:eastAsia="en-IE"/>
        </w:rPr>
        <w:t>acknowledge</w:t>
      </w:r>
      <w:r w:rsidR="00D96A94" w:rsidRPr="35FF2EA6">
        <w:rPr>
          <w:noProof/>
          <w:lang w:eastAsia="en-IE"/>
        </w:rPr>
        <w:t>ment of the receipt</w:t>
      </w:r>
      <w:r w:rsidR="00D83CBD">
        <w:rPr>
          <w:noProof/>
          <w:lang w:eastAsia="en-IE"/>
        </w:rPr>
        <w:t>;</w:t>
      </w:r>
      <w:r w:rsidR="00D96A94" w:rsidRPr="35FF2EA6">
        <w:rPr>
          <w:noProof/>
          <w:lang w:eastAsia="en-IE"/>
        </w:rPr>
        <w:t xml:space="preserve"> or</w:t>
      </w:r>
      <w:r w:rsidR="00D96A94" w:rsidRPr="007366D2">
        <w:rPr>
          <w:noProof/>
          <w:color w:val="000000" w:themeColor="text1"/>
          <w:lang w:eastAsia="en-IE"/>
        </w:rPr>
        <w:t xml:space="preserve"> </w:t>
      </w:r>
    </w:p>
    <w:p w14:paraId="6EE51E78" w14:textId="339AA08D" w:rsidR="00D96A94" w:rsidRPr="00B14919" w:rsidRDefault="00C44DD6" w:rsidP="00C44DD6">
      <w:pPr>
        <w:pStyle w:val="Point1"/>
        <w:rPr>
          <w:noProof/>
          <w:lang w:eastAsia="en-IE"/>
        </w:rPr>
      </w:pPr>
      <w:r w:rsidRPr="00C44DD6">
        <w:rPr>
          <w:noProof/>
        </w:rPr>
        <w:t>(b)</w:t>
      </w:r>
      <w:r w:rsidRPr="00C44DD6">
        <w:rPr>
          <w:noProof/>
        </w:rPr>
        <w:tab/>
      </w:r>
      <w:r w:rsidR="119E39FB" w:rsidRPr="6DE119E8">
        <w:rPr>
          <w:noProof/>
          <w:color w:val="000000" w:themeColor="text1"/>
          <w:lang w:eastAsia="en-IE"/>
        </w:rPr>
        <w:t>i</w:t>
      </w:r>
      <w:r w:rsidR="00D96A94" w:rsidRPr="6DE119E8">
        <w:rPr>
          <w:noProof/>
          <w:lang w:eastAsia="en-IE"/>
        </w:rPr>
        <w:t>f</w:t>
      </w:r>
      <w:r w:rsidR="00D96A94" w:rsidRPr="00B03094">
        <w:rPr>
          <w:noProof/>
          <w:lang w:eastAsia="en-IE"/>
        </w:rPr>
        <w:t xml:space="preserve"> the project </w:t>
      </w:r>
      <w:r w:rsidR="00D96A94" w:rsidRPr="00D96A94">
        <w:rPr>
          <w:noProof/>
          <w:color w:val="000000" w:themeColor="text1"/>
          <w:lang w:eastAsia="en-IE"/>
        </w:rPr>
        <w:t xml:space="preserve">is </w:t>
      </w:r>
      <w:r w:rsidR="00D96A94" w:rsidRPr="00C14B06">
        <w:rPr>
          <w:noProof/>
          <w:lang w:eastAsia="en-IE"/>
        </w:rPr>
        <w:t xml:space="preserve">not </w:t>
      </w:r>
      <w:r w:rsidR="00D96A94" w:rsidRPr="00D96A94">
        <w:rPr>
          <w:noProof/>
          <w:color w:val="000000" w:themeColor="text1"/>
          <w:lang w:eastAsia="en-IE"/>
        </w:rPr>
        <w:t xml:space="preserve">considered </w:t>
      </w:r>
      <w:r w:rsidR="00D96A94" w:rsidRPr="00B03094">
        <w:rPr>
          <w:noProof/>
          <w:lang w:eastAsia="en-IE"/>
        </w:rPr>
        <w:t>to be mature enough to enter the permit</w:t>
      </w:r>
      <w:r w:rsidR="00E07F3E">
        <w:rPr>
          <w:noProof/>
          <w:lang w:eastAsia="en-IE"/>
        </w:rPr>
        <w:t>-</w:t>
      </w:r>
      <w:r w:rsidR="00D96A94" w:rsidRPr="00B03094">
        <w:rPr>
          <w:noProof/>
          <w:lang w:eastAsia="en-IE"/>
        </w:rPr>
        <w:t>granting process</w:t>
      </w:r>
      <w:r w:rsidR="00D96A94" w:rsidRPr="00B14919">
        <w:rPr>
          <w:noProof/>
          <w:lang w:eastAsia="en-IE"/>
        </w:rPr>
        <w:t xml:space="preserve">, reject the notification, </w:t>
      </w:r>
      <w:r w:rsidR="00D96A94" w:rsidRPr="00D96A94">
        <w:rPr>
          <w:noProof/>
          <w:color w:val="000000" w:themeColor="text1"/>
          <w:lang w:eastAsia="en-IE"/>
        </w:rPr>
        <w:t xml:space="preserve">and provide the reasons for its decision </w:t>
      </w:r>
      <w:r w:rsidR="00D96A94" w:rsidRPr="00B14919">
        <w:rPr>
          <w:noProof/>
          <w:lang w:eastAsia="en-IE"/>
        </w:rPr>
        <w:t xml:space="preserve">including on behalf of other authorities concerned. </w:t>
      </w:r>
    </w:p>
    <w:p w14:paraId="66CEC70B" w14:textId="77777777" w:rsidR="00D96A94" w:rsidRPr="00185722" w:rsidRDefault="00D96A94" w:rsidP="00D96A94">
      <w:pPr>
        <w:pStyle w:val="Text1"/>
        <w:rPr>
          <w:noProof/>
          <w:color w:val="000000"/>
          <w:lang w:eastAsia="en-IE"/>
        </w:rPr>
      </w:pPr>
      <w:r w:rsidRPr="4427A3C8">
        <w:rPr>
          <w:noProof/>
          <w:lang w:eastAsia="en-IE"/>
        </w:rPr>
        <w:t>The date of the acknowledgement of receipt shall mark the start of the permit</w:t>
      </w:r>
      <w:r w:rsidR="00E07F3E">
        <w:rPr>
          <w:noProof/>
          <w:lang w:eastAsia="en-IE"/>
        </w:rPr>
        <w:t>-</w:t>
      </w:r>
      <w:r w:rsidRPr="4427A3C8">
        <w:rPr>
          <w:noProof/>
          <w:lang w:eastAsia="en-IE"/>
        </w:rPr>
        <w:t>granting process. Where two or more Member States are concerned, the date of the acceptance of the last notification by the national competent authority concerned shall mark the start of the permit</w:t>
      </w:r>
      <w:r w:rsidR="00E07F3E">
        <w:rPr>
          <w:noProof/>
          <w:lang w:eastAsia="en-IE"/>
        </w:rPr>
        <w:t>-</w:t>
      </w:r>
      <w:r w:rsidRPr="4427A3C8">
        <w:rPr>
          <w:noProof/>
          <w:lang w:eastAsia="en-IE"/>
        </w:rPr>
        <w:t>granting process.</w:t>
      </w:r>
    </w:p>
    <w:p w14:paraId="25B6EF1A" w14:textId="77777777" w:rsidR="00D96A94" w:rsidRDefault="00D96A94" w:rsidP="00D96A94">
      <w:pPr>
        <w:pStyle w:val="Text1"/>
        <w:rPr>
          <w:noProof/>
          <w:color w:val="000000"/>
          <w:lang w:eastAsia="en-IE"/>
        </w:rPr>
      </w:pPr>
      <w:r w:rsidRPr="00185722">
        <w:rPr>
          <w:noProof/>
          <w:color w:val="000000"/>
          <w:lang w:eastAsia="en-IE"/>
        </w:rPr>
        <w:t xml:space="preserve">Member States shall </w:t>
      </w:r>
      <w:r w:rsidR="00E32EEB">
        <w:rPr>
          <w:noProof/>
          <w:color w:val="000000"/>
          <w:lang w:eastAsia="en-IE"/>
        </w:rPr>
        <w:t>ensure that</w:t>
      </w:r>
      <w:r w:rsidRPr="00185722">
        <w:rPr>
          <w:noProof/>
          <w:color w:val="000000"/>
          <w:lang w:eastAsia="en-IE"/>
        </w:rPr>
        <w:t xml:space="preserve"> dedicated digital platforms </w:t>
      </w:r>
      <w:r w:rsidR="00E32EEB">
        <w:rPr>
          <w:noProof/>
          <w:color w:val="000000"/>
          <w:lang w:eastAsia="en-IE"/>
        </w:rPr>
        <w:t>are established</w:t>
      </w:r>
      <w:r w:rsidR="00534F32">
        <w:rPr>
          <w:noProof/>
          <w:color w:val="000000"/>
          <w:lang w:eastAsia="en-IE"/>
        </w:rPr>
        <w:t xml:space="preserve"> </w:t>
      </w:r>
      <w:r w:rsidRPr="00185722">
        <w:rPr>
          <w:noProof/>
          <w:color w:val="000000"/>
          <w:lang w:eastAsia="en-IE"/>
        </w:rPr>
        <w:t>to manage permitting applications, permitting processes, ongoing permitting decisions, and decisions issued in an easily accessible format.</w:t>
      </w:r>
    </w:p>
    <w:p w14:paraId="75FF86D1" w14:textId="5649AB24" w:rsidR="00020130" w:rsidRDefault="00020130" w:rsidP="00D96A94">
      <w:pPr>
        <w:pStyle w:val="Text1"/>
        <w:rPr>
          <w:noProof/>
          <w:color w:val="000000"/>
          <w:lang w:eastAsia="en-IE"/>
        </w:rPr>
      </w:pPr>
      <w:r>
        <w:rPr>
          <w:noProof/>
          <w:lang w:val="en-IE"/>
        </w:rPr>
        <w:t>Those platforms shall provide access to the relevant environmental and geological data and decisions available in the central online portal</w:t>
      </w:r>
      <w:r>
        <w:rPr>
          <w:b/>
          <w:noProof/>
          <w:lang w:val="en-IE"/>
        </w:rPr>
        <w:t xml:space="preserve"> </w:t>
      </w:r>
      <w:r>
        <w:rPr>
          <w:noProof/>
          <w:lang w:val="en-IE"/>
        </w:rPr>
        <w:t>referred to in Article 10(3) of Regulation [xxxxx]</w:t>
      </w:r>
      <w:r>
        <w:rPr>
          <w:rStyle w:val="FootnoteReference"/>
          <w:noProof/>
          <w:lang w:val="en-IE"/>
        </w:rPr>
        <w:footnoteReference w:id="67"/>
      </w:r>
      <w:r>
        <w:rPr>
          <w:noProof/>
          <w:lang w:val="en-IE"/>
        </w:rPr>
        <w:t xml:space="preserve"> of the European Parliament and of the Council.</w:t>
      </w:r>
    </w:p>
    <w:p w14:paraId="66E3FFFA" w14:textId="5172306A" w:rsidR="00D96A94" w:rsidRPr="00185722" w:rsidRDefault="00C44DD6" w:rsidP="00C44DD6">
      <w:pPr>
        <w:pStyle w:val="ManualNumPar1"/>
        <w:rPr>
          <w:noProof/>
          <w:color w:val="000000"/>
          <w:lang w:eastAsia="en-IE"/>
        </w:rPr>
      </w:pPr>
      <w:r w:rsidRPr="00C44DD6">
        <w:rPr>
          <w:noProof/>
        </w:rPr>
        <w:t>6.</w:t>
      </w:r>
      <w:r w:rsidRPr="00C44DD6">
        <w:rPr>
          <w:noProof/>
        </w:rPr>
        <w:tab/>
      </w:r>
      <w:r w:rsidR="00D96A94" w:rsidRPr="13ED3D3E">
        <w:rPr>
          <w:noProof/>
          <w:lang w:eastAsia="en-IE"/>
        </w:rPr>
        <w:t>National competent authorities shall ensure that the permit</w:t>
      </w:r>
      <w:r w:rsidR="00E07F3E">
        <w:rPr>
          <w:noProof/>
          <w:lang w:eastAsia="en-IE"/>
        </w:rPr>
        <w:t>-</w:t>
      </w:r>
      <w:r w:rsidR="00D96A94" w:rsidRPr="13ED3D3E">
        <w:rPr>
          <w:noProof/>
          <w:lang w:eastAsia="en-IE"/>
        </w:rPr>
        <w:t xml:space="preserve">granting process is accelerated in </w:t>
      </w:r>
      <w:r w:rsidR="00CE595D">
        <w:rPr>
          <w:noProof/>
          <w:lang w:eastAsia="en-IE"/>
        </w:rPr>
        <w:t>accordance</w:t>
      </w:r>
      <w:r w:rsidR="00CE595D" w:rsidRPr="00447938">
        <w:rPr>
          <w:noProof/>
          <w:lang w:eastAsia="en-IE"/>
        </w:rPr>
        <w:t xml:space="preserve"> </w:t>
      </w:r>
      <w:r w:rsidR="00D96A94" w:rsidRPr="13ED3D3E">
        <w:rPr>
          <w:noProof/>
          <w:lang w:eastAsia="en-IE"/>
        </w:rPr>
        <w:t xml:space="preserve">with this Chapter for each category of projects of common </w:t>
      </w:r>
      <w:r w:rsidR="00EF3319" w:rsidRPr="13ED3D3E">
        <w:rPr>
          <w:noProof/>
          <w:lang w:eastAsia="en-IE"/>
        </w:rPr>
        <w:t xml:space="preserve">interest </w:t>
      </w:r>
      <w:r w:rsidR="00D96A94" w:rsidRPr="13ED3D3E">
        <w:rPr>
          <w:noProof/>
          <w:lang w:eastAsia="en-IE"/>
        </w:rPr>
        <w:t xml:space="preserve">and </w:t>
      </w:r>
      <w:r w:rsidR="00EF3319">
        <w:rPr>
          <w:noProof/>
        </w:rPr>
        <w:t xml:space="preserve">projects of </w:t>
      </w:r>
      <w:r w:rsidR="00D96A94" w:rsidRPr="13ED3D3E">
        <w:rPr>
          <w:noProof/>
          <w:lang w:eastAsia="en-IE"/>
        </w:rPr>
        <w:t xml:space="preserve">mutual interest. To that end, the national competent </w:t>
      </w:r>
      <w:r w:rsidR="00D96A94" w:rsidRPr="004D60A9">
        <w:rPr>
          <w:noProof/>
          <w:lang w:eastAsia="en-IE"/>
        </w:rPr>
        <w:t>authorities</w:t>
      </w:r>
      <w:r w:rsidR="00D96A94" w:rsidRPr="13ED3D3E">
        <w:rPr>
          <w:noProof/>
          <w:lang w:eastAsia="en-IE"/>
        </w:rPr>
        <w:t xml:space="preserve"> shall adapt their requirements for the start of the permit</w:t>
      </w:r>
      <w:r w:rsidR="003C65D2">
        <w:rPr>
          <w:noProof/>
          <w:lang w:eastAsia="en-IE"/>
        </w:rPr>
        <w:t>-</w:t>
      </w:r>
      <w:r w:rsidR="00D96A94" w:rsidRPr="13ED3D3E">
        <w:rPr>
          <w:noProof/>
          <w:lang w:eastAsia="en-IE"/>
        </w:rPr>
        <w:t xml:space="preserve">granting process and for the acceptance of the complete application file, in accordance with the relevant project category, their nature, dimension, lack of requirement for environmental assessment, or any other assessments under national law, or the fact that they may require less authorisations and approvals to reach the ready-to-build phase. </w:t>
      </w:r>
    </w:p>
    <w:p w14:paraId="53E003FE" w14:textId="77777777" w:rsidR="00D96A94" w:rsidRPr="00185722" w:rsidRDefault="00D96A94" w:rsidP="00C8505B">
      <w:pPr>
        <w:pStyle w:val="Text1"/>
        <w:rPr>
          <w:noProof/>
          <w:lang w:eastAsia="en-IE"/>
        </w:rPr>
      </w:pPr>
      <w:r w:rsidRPr="00185722">
        <w:rPr>
          <w:noProof/>
          <w:lang w:eastAsia="en-IE"/>
        </w:rPr>
        <w:t xml:space="preserve">As such, national competent authorities may decide that the pre-application procedure referred </w:t>
      </w:r>
      <w:r w:rsidRPr="00B80BC3">
        <w:rPr>
          <w:noProof/>
          <w:lang w:eastAsia="en-IE"/>
        </w:rPr>
        <w:t>to in paragraphs 1 and 6 of this Article is not necessary in case the project promoter does not require this period to perform</w:t>
      </w:r>
      <w:r w:rsidRPr="00185722">
        <w:rPr>
          <w:noProof/>
          <w:lang w:eastAsia="en-IE"/>
        </w:rPr>
        <w:t xml:space="preserve"> studies, assessments and gather data for completing their permitting application file.</w:t>
      </w:r>
    </w:p>
    <w:p w14:paraId="54060FDF" w14:textId="4694B1B4" w:rsidR="00D96A94" w:rsidRPr="00185722" w:rsidRDefault="00C44DD6" w:rsidP="00C44DD6">
      <w:pPr>
        <w:pStyle w:val="ManualNumPar1"/>
        <w:rPr>
          <w:noProof/>
          <w:lang w:eastAsia="en-IE"/>
        </w:rPr>
      </w:pPr>
      <w:r w:rsidRPr="00C44DD6">
        <w:rPr>
          <w:noProof/>
        </w:rPr>
        <w:t>7.</w:t>
      </w:r>
      <w:r w:rsidRPr="00C44DD6">
        <w:rPr>
          <w:noProof/>
        </w:rPr>
        <w:tab/>
      </w:r>
      <w:r w:rsidR="00D96A94" w:rsidRPr="00185722">
        <w:rPr>
          <w:noProof/>
          <w:lang w:eastAsia="en-IE"/>
        </w:rPr>
        <w:t>The national competent authorities shall take into consideration</w:t>
      </w:r>
      <w:r w:rsidR="00D96A94" w:rsidRPr="5C66FA97">
        <w:rPr>
          <w:noProof/>
          <w:color w:val="000000" w:themeColor="text1"/>
          <w:lang w:eastAsia="en-IE"/>
        </w:rPr>
        <w:t>,</w:t>
      </w:r>
      <w:r w:rsidR="00D96A94" w:rsidRPr="00185722">
        <w:rPr>
          <w:noProof/>
          <w:lang w:eastAsia="en-IE"/>
        </w:rPr>
        <w:t xml:space="preserve"> in</w:t>
      </w:r>
      <w:r w:rsidR="00D96A94" w:rsidRPr="5C66FA97">
        <w:rPr>
          <w:noProof/>
          <w:color w:val="000000" w:themeColor="text1"/>
          <w:lang w:eastAsia="en-IE"/>
        </w:rPr>
        <w:t xml:space="preserve"> the screening for establishing the requirements for</w:t>
      </w:r>
      <w:r w:rsidR="00D96A94" w:rsidRPr="00185722">
        <w:rPr>
          <w:noProof/>
          <w:lang w:eastAsia="en-IE"/>
        </w:rPr>
        <w:t xml:space="preserve"> the permit</w:t>
      </w:r>
      <w:r w:rsidR="003C65D2">
        <w:rPr>
          <w:noProof/>
          <w:lang w:eastAsia="en-IE"/>
        </w:rPr>
        <w:t>-</w:t>
      </w:r>
      <w:r w:rsidR="00D96A94" w:rsidRPr="00185722">
        <w:rPr>
          <w:noProof/>
          <w:lang w:eastAsia="en-IE"/>
        </w:rPr>
        <w:t>granting process</w:t>
      </w:r>
      <w:r w:rsidR="00D96A94" w:rsidRPr="5C66FA97">
        <w:rPr>
          <w:noProof/>
          <w:color w:val="000000" w:themeColor="text1"/>
          <w:lang w:eastAsia="en-IE"/>
        </w:rPr>
        <w:t>,</w:t>
      </w:r>
      <w:r w:rsidR="00D96A94" w:rsidRPr="00185722">
        <w:rPr>
          <w:noProof/>
          <w:lang w:eastAsia="en-IE"/>
        </w:rPr>
        <w:t xml:space="preserve"> any studies conducted and permits or authorisations issued </w:t>
      </w:r>
      <w:r w:rsidR="00D96A94" w:rsidRPr="5C66FA97">
        <w:rPr>
          <w:noProof/>
          <w:color w:val="000000" w:themeColor="text1"/>
          <w:lang w:eastAsia="en-IE"/>
        </w:rPr>
        <w:t xml:space="preserve">up to </w:t>
      </w:r>
      <w:r w:rsidR="00C6011B">
        <w:rPr>
          <w:noProof/>
          <w:color w:val="000000" w:themeColor="text1"/>
          <w:lang w:eastAsia="en-IE"/>
        </w:rPr>
        <w:t>five</w:t>
      </w:r>
      <w:r w:rsidR="00C6011B" w:rsidRPr="5C66FA97">
        <w:rPr>
          <w:noProof/>
          <w:color w:val="000000" w:themeColor="text1"/>
          <w:lang w:eastAsia="en-IE"/>
        </w:rPr>
        <w:t xml:space="preserve"> </w:t>
      </w:r>
      <w:r w:rsidR="00D96A94" w:rsidRPr="5C66FA97">
        <w:rPr>
          <w:noProof/>
          <w:color w:val="000000" w:themeColor="text1"/>
          <w:lang w:eastAsia="en-IE"/>
        </w:rPr>
        <w:t xml:space="preserve">years </w:t>
      </w:r>
      <w:r w:rsidR="00D96A94" w:rsidRPr="00185722">
        <w:rPr>
          <w:noProof/>
          <w:lang w:eastAsia="en-IE"/>
        </w:rPr>
        <w:t>before the project entered the permit</w:t>
      </w:r>
      <w:r w:rsidR="003C65D2">
        <w:rPr>
          <w:noProof/>
          <w:lang w:eastAsia="en-IE"/>
        </w:rPr>
        <w:t>-</w:t>
      </w:r>
      <w:r w:rsidR="00D96A94" w:rsidRPr="00185722">
        <w:rPr>
          <w:noProof/>
          <w:lang w:eastAsia="en-IE"/>
        </w:rPr>
        <w:t xml:space="preserve">granting process in accordance with this Article, </w:t>
      </w:r>
      <w:r w:rsidR="00D96A94" w:rsidRPr="5C66FA97">
        <w:rPr>
          <w:noProof/>
          <w:color w:val="000000" w:themeColor="text1"/>
          <w:lang w:eastAsia="en-IE"/>
        </w:rPr>
        <w:t xml:space="preserve">including assessments conducted for the deployment of other projects that are relevant and can be reused, </w:t>
      </w:r>
      <w:r w:rsidR="00D96A94" w:rsidRPr="00185722">
        <w:rPr>
          <w:noProof/>
          <w:lang w:eastAsia="en-IE"/>
        </w:rPr>
        <w:t xml:space="preserve">and shall not require </w:t>
      </w:r>
      <w:r w:rsidR="00D96A94" w:rsidRPr="5C66FA97">
        <w:rPr>
          <w:noProof/>
          <w:color w:val="000000" w:themeColor="text1"/>
          <w:lang w:eastAsia="en-IE"/>
        </w:rPr>
        <w:t xml:space="preserve">unnecessary or </w:t>
      </w:r>
      <w:r w:rsidR="00D96A94" w:rsidRPr="00185722">
        <w:rPr>
          <w:noProof/>
          <w:lang w:eastAsia="en-IE"/>
        </w:rPr>
        <w:t>duplicate studies</w:t>
      </w:r>
      <w:r w:rsidR="00D96A94" w:rsidRPr="5C66FA97">
        <w:rPr>
          <w:noProof/>
          <w:color w:val="000000" w:themeColor="text1"/>
          <w:lang w:eastAsia="en-IE"/>
        </w:rPr>
        <w:t>, assessments,</w:t>
      </w:r>
      <w:r w:rsidR="00D96A94" w:rsidRPr="00185722">
        <w:rPr>
          <w:noProof/>
          <w:lang w:eastAsia="en-IE"/>
        </w:rPr>
        <w:t xml:space="preserve"> permits or authorisations.</w:t>
      </w:r>
    </w:p>
    <w:p w14:paraId="079BCDBC" w14:textId="72D73EE4" w:rsidR="00D96A94" w:rsidRPr="00185722" w:rsidRDefault="00C44DD6" w:rsidP="00C44DD6">
      <w:pPr>
        <w:pStyle w:val="ManualNumPar1"/>
        <w:rPr>
          <w:noProof/>
          <w:lang w:eastAsia="en-IE"/>
        </w:rPr>
      </w:pPr>
      <w:r w:rsidRPr="00C44DD6">
        <w:rPr>
          <w:noProof/>
        </w:rPr>
        <w:t>8.</w:t>
      </w:r>
      <w:r w:rsidRPr="00C44DD6">
        <w:rPr>
          <w:noProof/>
        </w:rPr>
        <w:tab/>
      </w:r>
      <w:r w:rsidR="00D96A94" w:rsidRPr="00185722">
        <w:rPr>
          <w:noProof/>
          <w:lang w:eastAsia="en-IE"/>
        </w:rPr>
        <w:t>In Member States where the determination of a route or location undertaken solely for the specific purpose of a planned project, including the planning of specific corridors for grid infrastructures, cannot be included in the permit</w:t>
      </w:r>
      <w:r w:rsidR="00056600">
        <w:rPr>
          <w:noProof/>
          <w:lang w:eastAsia="en-IE"/>
        </w:rPr>
        <w:t>-</w:t>
      </w:r>
      <w:r w:rsidR="006C5CDC">
        <w:rPr>
          <w:noProof/>
          <w:lang w:eastAsia="en-IE"/>
        </w:rPr>
        <w:t>gran</w:t>
      </w:r>
      <w:r w:rsidR="00D96A94" w:rsidRPr="00185722">
        <w:rPr>
          <w:noProof/>
          <w:lang w:eastAsia="en-IE"/>
        </w:rPr>
        <w:t xml:space="preserve">ting process leading to the comprehensive decision, the corresponding decision shall be taken within a separate period of six months, starting on the date of submission of the final and complete application documents by the </w:t>
      </w:r>
      <w:r w:rsidR="007D4489" w:rsidRPr="00B80625">
        <w:rPr>
          <w:noProof/>
        </w:rPr>
        <w:t xml:space="preserve">project </w:t>
      </w:r>
      <w:r w:rsidR="00D96A94" w:rsidRPr="00185722">
        <w:rPr>
          <w:noProof/>
          <w:lang w:eastAsia="en-IE"/>
        </w:rPr>
        <w:t>promoter.</w:t>
      </w:r>
    </w:p>
    <w:p w14:paraId="7F30521A" w14:textId="4E92DA8D" w:rsidR="00A108B0" w:rsidRDefault="00C44DD6" w:rsidP="00C44DD6">
      <w:pPr>
        <w:pStyle w:val="ManualNumPar1"/>
        <w:rPr>
          <w:noProof/>
          <w:lang w:eastAsia="en-IE"/>
        </w:rPr>
      </w:pPr>
      <w:r w:rsidRPr="00C44DD6">
        <w:rPr>
          <w:noProof/>
        </w:rPr>
        <w:t>9.</w:t>
      </w:r>
      <w:r w:rsidRPr="00C44DD6">
        <w:rPr>
          <w:noProof/>
        </w:rPr>
        <w:tab/>
      </w:r>
      <w:r w:rsidR="00D96A94" w:rsidRPr="00185722">
        <w:rPr>
          <w:noProof/>
          <w:lang w:eastAsia="en-IE"/>
        </w:rPr>
        <w:t xml:space="preserve">The pre-application procedure shall </w:t>
      </w:r>
      <w:r w:rsidR="00D96A94">
        <w:rPr>
          <w:noProof/>
          <w:lang w:eastAsia="en-IE"/>
        </w:rPr>
        <w:t>include</w:t>
      </w:r>
      <w:r w:rsidR="00583E45">
        <w:rPr>
          <w:noProof/>
          <w:lang w:eastAsia="en-IE"/>
        </w:rPr>
        <w:t>:</w:t>
      </w:r>
      <w:r w:rsidR="00D96A94" w:rsidRPr="00185722">
        <w:rPr>
          <w:noProof/>
          <w:lang w:eastAsia="en-IE"/>
        </w:rPr>
        <w:t xml:space="preserve"> </w:t>
      </w:r>
      <w:r w:rsidR="00D96A94">
        <w:rPr>
          <w:noProof/>
          <w:lang w:eastAsia="en-IE"/>
        </w:rPr>
        <w:t xml:space="preserve">the screening </w:t>
      </w:r>
      <w:r w:rsidR="00CE2312">
        <w:rPr>
          <w:noProof/>
          <w:lang w:eastAsia="en-IE"/>
        </w:rPr>
        <w:t>and</w:t>
      </w:r>
      <w:r w:rsidR="00D96A94">
        <w:rPr>
          <w:noProof/>
          <w:lang w:eastAsia="en-IE"/>
        </w:rPr>
        <w:t xml:space="preserve"> scoping of the </w:t>
      </w:r>
      <w:r w:rsidR="00C37212">
        <w:rPr>
          <w:noProof/>
          <w:lang w:eastAsia="en-IE"/>
        </w:rPr>
        <w:t xml:space="preserve">required </w:t>
      </w:r>
      <w:r w:rsidR="00D96A94">
        <w:rPr>
          <w:noProof/>
          <w:lang w:eastAsia="en-IE"/>
        </w:rPr>
        <w:t xml:space="preserve">studies, reports and documentation expected from the </w:t>
      </w:r>
      <w:r w:rsidR="007D4489" w:rsidRPr="00B80625">
        <w:rPr>
          <w:noProof/>
        </w:rPr>
        <w:t xml:space="preserve">project </w:t>
      </w:r>
      <w:r w:rsidR="00D96A94">
        <w:rPr>
          <w:noProof/>
          <w:lang w:eastAsia="en-IE"/>
        </w:rPr>
        <w:t>promoter</w:t>
      </w:r>
      <w:r w:rsidR="00A32BD5">
        <w:rPr>
          <w:noProof/>
          <w:lang w:eastAsia="en-IE"/>
        </w:rPr>
        <w:t>;</w:t>
      </w:r>
      <w:r w:rsidR="00D96A94">
        <w:rPr>
          <w:noProof/>
          <w:lang w:eastAsia="en-IE"/>
        </w:rPr>
        <w:t xml:space="preserve"> the drawing up of the detailed schedule</w:t>
      </w:r>
      <w:r w:rsidR="00A32BD5">
        <w:rPr>
          <w:noProof/>
          <w:lang w:eastAsia="en-IE"/>
        </w:rPr>
        <w:t>;</w:t>
      </w:r>
      <w:r w:rsidR="00D96A94">
        <w:rPr>
          <w:noProof/>
          <w:lang w:eastAsia="en-IE"/>
        </w:rPr>
        <w:t xml:space="preserve"> and</w:t>
      </w:r>
      <w:r w:rsidR="00A32BD5">
        <w:rPr>
          <w:noProof/>
          <w:lang w:eastAsia="en-IE"/>
        </w:rPr>
        <w:t>,</w:t>
      </w:r>
      <w:r w:rsidR="00D96A94">
        <w:rPr>
          <w:noProof/>
          <w:lang w:eastAsia="en-IE"/>
        </w:rPr>
        <w:t xml:space="preserve"> the verification of the draft application file</w:t>
      </w:r>
      <w:r w:rsidR="00F27254">
        <w:rPr>
          <w:noProof/>
          <w:lang w:eastAsia="en-IE"/>
        </w:rPr>
        <w:t>,</w:t>
      </w:r>
      <w:r w:rsidR="00C37212">
        <w:rPr>
          <w:noProof/>
          <w:lang w:eastAsia="en-IE"/>
        </w:rPr>
        <w:t xml:space="preserve"> under the following steps</w:t>
      </w:r>
      <w:r w:rsidR="00D96A94" w:rsidRPr="00185722">
        <w:rPr>
          <w:noProof/>
          <w:lang w:eastAsia="en-IE"/>
        </w:rPr>
        <w:t>:</w:t>
      </w:r>
    </w:p>
    <w:p w14:paraId="7BCAA11C" w14:textId="49AB601B" w:rsidR="00A108B0" w:rsidRPr="008F2B56" w:rsidRDefault="00C44DD6" w:rsidP="00C44DD6">
      <w:pPr>
        <w:pStyle w:val="Point1"/>
        <w:rPr>
          <w:noProof/>
          <w:color w:val="000000"/>
          <w:lang w:eastAsia="en-IE"/>
        </w:rPr>
      </w:pPr>
      <w:r w:rsidRPr="00C44DD6">
        <w:rPr>
          <w:noProof/>
        </w:rPr>
        <w:t>(a)</w:t>
      </w:r>
      <w:r w:rsidRPr="00C44DD6">
        <w:rPr>
          <w:noProof/>
        </w:rPr>
        <w:tab/>
      </w:r>
      <w:r w:rsidR="00C12AFD">
        <w:rPr>
          <w:noProof/>
          <w:lang w:eastAsia="en-IE"/>
        </w:rPr>
        <w:t>a</w:t>
      </w:r>
      <w:r w:rsidR="00A108B0" w:rsidRPr="008F2B56">
        <w:rPr>
          <w:noProof/>
          <w:color w:val="000000"/>
          <w:lang w:eastAsia="en-IE"/>
        </w:rPr>
        <w:t xml:space="preserve">s soon as possible and no later than </w:t>
      </w:r>
      <w:r w:rsidR="00A108B0" w:rsidRPr="3E21043A">
        <w:rPr>
          <w:noProof/>
          <w:lang w:eastAsia="en-IE"/>
        </w:rPr>
        <w:t>three</w:t>
      </w:r>
      <w:r w:rsidR="00A108B0" w:rsidRPr="008F2B56">
        <w:rPr>
          <w:noProof/>
          <w:color w:val="000000"/>
          <w:lang w:eastAsia="en-IE"/>
        </w:rPr>
        <w:t xml:space="preserve"> months </w:t>
      </w:r>
      <w:r w:rsidR="00A108B0" w:rsidRPr="3E21043A">
        <w:rPr>
          <w:noProof/>
          <w:lang w:eastAsia="en-IE"/>
        </w:rPr>
        <w:t>following</w:t>
      </w:r>
      <w:r w:rsidR="00A108B0" w:rsidRPr="008F2B56">
        <w:rPr>
          <w:noProof/>
          <w:color w:val="000000"/>
          <w:lang w:eastAsia="en-IE"/>
        </w:rPr>
        <w:t xml:space="preserve"> the notification </w:t>
      </w:r>
      <w:r w:rsidR="002472EE">
        <w:rPr>
          <w:noProof/>
          <w:lang w:eastAsia="en-IE"/>
        </w:rPr>
        <w:t>by the</w:t>
      </w:r>
      <w:r w:rsidR="00A108B0" w:rsidRPr="3E21043A">
        <w:rPr>
          <w:noProof/>
          <w:lang w:eastAsia="en-IE"/>
        </w:rPr>
        <w:t xml:space="preserve"> project promoter </w:t>
      </w:r>
      <w:r w:rsidR="00A108B0">
        <w:rPr>
          <w:noProof/>
          <w:lang w:eastAsia="en-IE"/>
        </w:rPr>
        <w:t>referred to</w:t>
      </w:r>
      <w:r w:rsidR="00A108B0" w:rsidRPr="3E21043A">
        <w:rPr>
          <w:noProof/>
          <w:lang w:eastAsia="en-IE"/>
        </w:rPr>
        <w:t xml:space="preserve"> </w:t>
      </w:r>
      <w:r w:rsidR="00A108B0" w:rsidRPr="009F1831">
        <w:rPr>
          <w:noProof/>
          <w:lang w:eastAsia="en-IE"/>
        </w:rPr>
        <w:t>in</w:t>
      </w:r>
      <w:r w:rsidR="00A108B0" w:rsidRPr="009F1831">
        <w:rPr>
          <w:noProof/>
          <w:color w:val="000000"/>
          <w:lang w:eastAsia="en-IE"/>
        </w:rPr>
        <w:t xml:space="preserve"> paragraph 5, the</w:t>
      </w:r>
      <w:r w:rsidR="00A108B0" w:rsidRPr="008F2B56">
        <w:rPr>
          <w:noProof/>
          <w:color w:val="000000"/>
          <w:lang w:eastAsia="en-IE"/>
        </w:rPr>
        <w:t xml:space="preserve"> national competent authority shall determine, </w:t>
      </w:r>
      <w:r w:rsidR="00A108B0" w:rsidRPr="3E21043A">
        <w:rPr>
          <w:noProof/>
          <w:lang w:eastAsia="en-IE"/>
        </w:rPr>
        <w:t>and notify the project promoter of</w:t>
      </w:r>
      <w:r w:rsidR="00A108B0">
        <w:rPr>
          <w:noProof/>
          <w:lang w:eastAsia="en-IE"/>
        </w:rPr>
        <w:t xml:space="preserve"> the</w:t>
      </w:r>
      <w:r w:rsidR="00A108B0" w:rsidRPr="3E21043A">
        <w:rPr>
          <w:noProof/>
          <w:lang w:eastAsia="en-IE"/>
        </w:rPr>
        <w:t xml:space="preserve"> authorisations, permits and assessments required to complete permit</w:t>
      </w:r>
      <w:r w:rsidR="00056600">
        <w:rPr>
          <w:noProof/>
          <w:lang w:eastAsia="en-IE"/>
        </w:rPr>
        <w:t>-</w:t>
      </w:r>
      <w:r w:rsidR="00A108B0" w:rsidRPr="3E21043A">
        <w:rPr>
          <w:noProof/>
          <w:lang w:eastAsia="en-IE"/>
        </w:rPr>
        <w:t>granting process</w:t>
      </w:r>
      <w:r w:rsidR="00463BA7">
        <w:rPr>
          <w:noProof/>
          <w:lang w:eastAsia="en-IE"/>
        </w:rPr>
        <w:t xml:space="preserve">. </w:t>
      </w:r>
    </w:p>
    <w:p w14:paraId="27939E24" w14:textId="77777777" w:rsidR="00AE7B5E" w:rsidRPr="00AE7B5E" w:rsidRDefault="00C8505B" w:rsidP="008F2B56">
      <w:pPr>
        <w:pStyle w:val="Text2"/>
        <w:rPr>
          <w:noProof/>
          <w:color w:val="000000"/>
          <w:lang w:eastAsia="en-IE"/>
        </w:rPr>
      </w:pPr>
      <w:r w:rsidRPr="00185722">
        <w:rPr>
          <w:noProof/>
          <w:lang w:eastAsia="en-IE"/>
        </w:rPr>
        <w:t xml:space="preserve">The notification </w:t>
      </w:r>
      <w:r w:rsidRPr="009F1831">
        <w:rPr>
          <w:noProof/>
          <w:lang w:eastAsia="en-IE"/>
        </w:rPr>
        <w:t xml:space="preserve">made by the national competent authority shall include the checklist referred to in point (1)(e) of Annex VI, and where relevant, its content </w:t>
      </w:r>
      <w:r w:rsidR="004678A3" w:rsidRPr="009F1831">
        <w:rPr>
          <w:noProof/>
          <w:lang w:eastAsia="en-IE"/>
        </w:rPr>
        <w:t xml:space="preserve">shall </w:t>
      </w:r>
      <w:r w:rsidRPr="009F1831">
        <w:rPr>
          <w:noProof/>
          <w:lang w:eastAsia="en-IE"/>
        </w:rPr>
        <w:t>be established</w:t>
      </w:r>
      <w:r w:rsidRPr="00185722">
        <w:rPr>
          <w:noProof/>
          <w:lang w:eastAsia="en-IE"/>
        </w:rPr>
        <w:t xml:space="preserve"> in cooperation with the other authorities concerned and with national competent authorities in the other Member States where the project is located, including if the project crosses their exclusive economic zone. </w:t>
      </w:r>
    </w:p>
    <w:p w14:paraId="6526A55D" w14:textId="77777777" w:rsidR="00A108B0" w:rsidRDefault="00A108B0" w:rsidP="008F2B56">
      <w:pPr>
        <w:pStyle w:val="Text2"/>
        <w:rPr>
          <w:noProof/>
          <w:color w:val="000000"/>
        </w:rPr>
      </w:pPr>
      <w:r>
        <w:rPr>
          <w:noProof/>
        </w:rPr>
        <w:t>Where applicable the notification shall detail</w:t>
      </w:r>
      <w:r w:rsidR="00AE7B5E">
        <w:rPr>
          <w:noProof/>
        </w:rPr>
        <w:t xml:space="preserve"> the</w:t>
      </w:r>
      <w:r>
        <w:rPr>
          <w:noProof/>
        </w:rPr>
        <w:t xml:space="preserve"> conditions for the project to </w:t>
      </w:r>
      <w:r w:rsidRPr="00F56F62">
        <w:rPr>
          <w:noProof/>
        </w:rPr>
        <w:t>benefit from the exemption of Article 7(</w:t>
      </w:r>
      <w:r w:rsidR="00ED193B" w:rsidRPr="00F56F62">
        <w:rPr>
          <w:noProof/>
        </w:rPr>
        <w:t>7</w:t>
      </w:r>
      <w:r w:rsidRPr="00F56F62">
        <w:rPr>
          <w:noProof/>
        </w:rPr>
        <w:t>)</w:t>
      </w:r>
      <w:r w:rsidR="00C925CF" w:rsidRPr="00F56F62">
        <w:rPr>
          <w:noProof/>
        </w:rPr>
        <w:t xml:space="preserve"> and identify</w:t>
      </w:r>
      <w:r w:rsidRPr="00F56F62">
        <w:rPr>
          <w:noProof/>
        </w:rPr>
        <w:t>:</w:t>
      </w:r>
    </w:p>
    <w:p w14:paraId="16A2DC45" w14:textId="77777777" w:rsidR="00A108B0" w:rsidRDefault="007366D2" w:rsidP="007366D2">
      <w:pPr>
        <w:pStyle w:val="Point2"/>
        <w:rPr>
          <w:noProof/>
        </w:rPr>
      </w:pPr>
      <w:r>
        <w:rPr>
          <w:noProof/>
        </w:rPr>
        <w:t>(i)</w:t>
      </w:r>
      <w:r>
        <w:rPr>
          <w:noProof/>
        </w:rPr>
        <w:tab/>
      </w:r>
      <w:r w:rsidR="00A108B0">
        <w:rPr>
          <w:noProof/>
        </w:rPr>
        <w:t>whether the project is highly likely to give rise to significant unforeseen adverse effects in view of the environmental sensitivity of the geographical areas where it is planned, which were not identified during the environmental assessment of the National Development Plans carried out pursuant to Directive 2001/42/EC and, where relevant, to Directive 92/43/EEC</w:t>
      </w:r>
      <w:r w:rsidR="0047178F">
        <w:rPr>
          <w:noProof/>
        </w:rPr>
        <w:t>;</w:t>
      </w:r>
    </w:p>
    <w:p w14:paraId="00E903BC" w14:textId="77777777" w:rsidR="00A108B0" w:rsidRDefault="007366D2" w:rsidP="007366D2">
      <w:pPr>
        <w:pStyle w:val="Point2"/>
        <w:rPr>
          <w:noProof/>
        </w:rPr>
      </w:pPr>
      <w:r>
        <w:rPr>
          <w:noProof/>
        </w:rPr>
        <w:t>(ii)</w:t>
      </w:r>
      <w:r>
        <w:rPr>
          <w:noProof/>
        </w:rPr>
        <w:tab/>
      </w:r>
      <w:r w:rsidR="00A108B0">
        <w:rPr>
          <w:noProof/>
        </w:rPr>
        <w:t>the appropriate and proportionate mitigation measures, or monetary compensation for species protection programs applicable to the project</w:t>
      </w:r>
      <w:r w:rsidR="00262658">
        <w:rPr>
          <w:noProof/>
        </w:rPr>
        <w:t xml:space="preserve"> in </w:t>
      </w:r>
      <w:r w:rsidR="0002469E">
        <w:rPr>
          <w:noProof/>
        </w:rPr>
        <w:t xml:space="preserve">accordance </w:t>
      </w:r>
      <w:r w:rsidR="00262658">
        <w:rPr>
          <w:noProof/>
        </w:rPr>
        <w:t>with Article 7(8)</w:t>
      </w:r>
      <w:r w:rsidR="0047178F">
        <w:rPr>
          <w:noProof/>
        </w:rPr>
        <w:t>;</w:t>
      </w:r>
    </w:p>
    <w:p w14:paraId="0640ED69" w14:textId="77777777" w:rsidR="0040316E" w:rsidRPr="007366D2" w:rsidRDefault="007366D2" w:rsidP="007366D2">
      <w:pPr>
        <w:pStyle w:val="Point2"/>
        <w:rPr>
          <w:noProof/>
          <w:lang w:eastAsia="en-IE"/>
        </w:rPr>
      </w:pPr>
      <w:r>
        <w:rPr>
          <w:noProof/>
        </w:rPr>
        <w:t>(iii)</w:t>
      </w:r>
      <w:r>
        <w:rPr>
          <w:noProof/>
        </w:rPr>
        <w:tab/>
      </w:r>
      <w:r w:rsidR="004A7EEC">
        <w:rPr>
          <w:noProof/>
        </w:rPr>
        <w:t>whether</w:t>
      </w:r>
      <w:r w:rsidR="00A108B0">
        <w:rPr>
          <w:noProof/>
        </w:rPr>
        <w:t xml:space="preserve"> any part of the project </w:t>
      </w:r>
      <w:r w:rsidR="00ED193B">
        <w:rPr>
          <w:noProof/>
        </w:rPr>
        <w:t>is likely to produce</w:t>
      </w:r>
      <w:r w:rsidR="00A108B0">
        <w:rPr>
          <w:noProof/>
        </w:rPr>
        <w:t xml:space="preserve"> significant effects on the environment in another Member State</w:t>
      </w:r>
      <w:r w:rsidR="006B14DF">
        <w:rPr>
          <w:noProof/>
        </w:rPr>
        <w:t>;</w:t>
      </w:r>
      <w:r w:rsidR="00A108B0">
        <w:rPr>
          <w:noProof/>
        </w:rPr>
        <w:t xml:space="preserve"> </w:t>
      </w:r>
      <w:r w:rsidR="00ED7919">
        <w:rPr>
          <w:noProof/>
        </w:rPr>
        <w:t>in such a case the national competent authority of the Member State in which the project is located shall ensure the application of Article 7 of Directive 2011/92/EU and Articles 2 to 7 of the Convention on environmental impact assessment in a transboundary context</w:t>
      </w:r>
      <w:r w:rsidR="00C12AFD">
        <w:rPr>
          <w:noProof/>
        </w:rPr>
        <w:t>;</w:t>
      </w:r>
      <w:r w:rsidR="0040316E" w:rsidRPr="57805E0E">
        <w:rPr>
          <w:noProof/>
          <w:lang w:eastAsia="en-IE"/>
        </w:rPr>
        <w:t xml:space="preserve"> </w:t>
      </w:r>
    </w:p>
    <w:p w14:paraId="03E08BC6" w14:textId="77777777" w:rsidR="0040316E" w:rsidRDefault="0040316E" w:rsidP="00262658">
      <w:pPr>
        <w:pStyle w:val="Point2"/>
        <w:rPr>
          <w:noProof/>
          <w:lang w:eastAsia="en-IE"/>
        </w:rPr>
      </w:pPr>
      <w:r>
        <w:rPr>
          <w:noProof/>
          <w:lang w:eastAsia="en-IE"/>
        </w:rPr>
        <w:t xml:space="preserve"> </w:t>
      </w:r>
    </w:p>
    <w:p w14:paraId="585ED37F" w14:textId="50F45D47" w:rsidR="00C8505B" w:rsidRPr="00185722" w:rsidRDefault="00C44DD6" w:rsidP="00C44DD6">
      <w:pPr>
        <w:pStyle w:val="Point1"/>
        <w:rPr>
          <w:noProof/>
          <w:lang w:eastAsia="en-IE"/>
        </w:rPr>
      </w:pPr>
      <w:r w:rsidRPr="00C44DD6">
        <w:rPr>
          <w:noProof/>
        </w:rPr>
        <w:t>(b)</w:t>
      </w:r>
      <w:r w:rsidRPr="00C44DD6">
        <w:rPr>
          <w:noProof/>
        </w:rPr>
        <w:tab/>
      </w:r>
      <w:r w:rsidR="00C12AFD">
        <w:rPr>
          <w:noProof/>
          <w:lang w:eastAsia="en-IE"/>
        </w:rPr>
        <w:t>t</w:t>
      </w:r>
      <w:r w:rsidR="00400E77" w:rsidRPr="00185722">
        <w:rPr>
          <w:noProof/>
          <w:lang w:eastAsia="en-IE"/>
        </w:rPr>
        <w:t xml:space="preserve">he notification shall also indicate whether the national competent authority approves, or amends, the concept for public participation submitted by the </w:t>
      </w:r>
      <w:r w:rsidR="00543162" w:rsidRPr="00B80625">
        <w:rPr>
          <w:noProof/>
        </w:rPr>
        <w:t xml:space="preserve">project </w:t>
      </w:r>
      <w:r w:rsidR="00400E77" w:rsidRPr="00185722">
        <w:rPr>
          <w:noProof/>
          <w:lang w:eastAsia="en-IE"/>
        </w:rPr>
        <w:t xml:space="preserve">promoter in </w:t>
      </w:r>
      <w:r w:rsidR="005B2164">
        <w:rPr>
          <w:noProof/>
          <w:lang w:eastAsia="en-IE"/>
        </w:rPr>
        <w:t>accordance</w:t>
      </w:r>
      <w:r w:rsidR="00400E77" w:rsidRPr="00185722">
        <w:rPr>
          <w:noProof/>
          <w:lang w:eastAsia="en-IE"/>
        </w:rPr>
        <w:t xml:space="preserve"> with Article 9(3).</w:t>
      </w:r>
      <w:r w:rsidR="001D300D">
        <w:rPr>
          <w:noProof/>
          <w:lang w:eastAsia="en-IE"/>
        </w:rPr>
        <w:t xml:space="preserve"> </w:t>
      </w:r>
      <w:r w:rsidR="00C8505B" w:rsidRPr="7299BD8C">
        <w:rPr>
          <w:noProof/>
          <w:color w:val="000000" w:themeColor="text1"/>
          <w:lang w:eastAsia="en-IE"/>
        </w:rPr>
        <w:t xml:space="preserve">During the screening period, </w:t>
      </w:r>
      <w:r w:rsidR="00C8505B" w:rsidRPr="00185722">
        <w:rPr>
          <w:noProof/>
          <w:lang w:eastAsia="en-IE"/>
        </w:rPr>
        <w:t xml:space="preserve">the national competent authority shall, in cooperation with other authorities concerned, determine the scope and </w:t>
      </w:r>
      <w:r w:rsidR="00C8505B" w:rsidRPr="7299BD8C">
        <w:rPr>
          <w:noProof/>
          <w:color w:val="000000" w:themeColor="text1"/>
          <w:lang w:eastAsia="en-IE"/>
        </w:rPr>
        <w:t xml:space="preserve">level of detail of the </w:t>
      </w:r>
      <w:r w:rsidR="00C8505B" w:rsidRPr="00185722">
        <w:rPr>
          <w:noProof/>
          <w:lang w:eastAsia="en-IE"/>
        </w:rPr>
        <w:t>studies, reports and documentation</w:t>
      </w:r>
      <w:r w:rsidR="00B07008">
        <w:rPr>
          <w:noProof/>
          <w:lang w:eastAsia="en-IE"/>
        </w:rPr>
        <w:t>s,</w:t>
      </w:r>
      <w:r w:rsidR="00C8505B" w:rsidRPr="00185722">
        <w:rPr>
          <w:noProof/>
          <w:lang w:eastAsia="en-IE"/>
        </w:rPr>
        <w:t xml:space="preserve"> </w:t>
      </w:r>
      <w:r w:rsidR="008804BE" w:rsidRPr="008804BE">
        <w:rPr>
          <w:noProof/>
          <w:lang w:eastAsia="en-IE"/>
        </w:rPr>
        <w:t>including assessments required for the environmental permitting of the project,</w:t>
      </w:r>
      <w:r w:rsidR="006153E6">
        <w:rPr>
          <w:noProof/>
          <w:lang w:eastAsia="en-IE"/>
        </w:rPr>
        <w:t xml:space="preserve"> </w:t>
      </w:r>
      <w:r w:rsidR="00C8505B" w:rsidRPr="00185722">
        <w:rPr>
          <w:noProof/>
          <w:lang w:eastAsia="en-IE"/>
        </w:rPr>
        <w:t>that the</w:t>
      </w:r>
      <w:r w:rsidR="00C8505B" w:rsidRPr="7299BD8C">
        <w:rPr>
          <w:noProof/>
          <w:color w:val="000000" w:themeColor="text1"/>
          <w:lang w:eastAsia="en-IE"/>
        </w:rPr>
        <w:t xml:space="preserve"> </w:t>
      </w:r>
      <w:r w:rsidR="00543162" w:rsidRPr="00B80625">
        <w:rPr>
          <w:noProof/>
        </w:rPr>
        <w:t xml:space="preserve">project </w:t>
      </w:r>
      <w:r w:rsidR="00C8505B" w:rsidRPr="7299BD8C">
        <w:rPr>
          <w:noProof/>
          <w:color w:val="000000" w:themeColor="text1"/>
          <w:lang w:eastAsia="en-IE"/>
        </w:rPr>
        <w:t>promoter</w:t>
      </w:r>
      <w:r w:rsidR="00C8505B" w:rsidRPr="00185722">
        <w:rPr>
          <w:noProof/>
          <w:lang w:eastAsia="en-IE"/>
        </w:rPr>
        <w:t xml:space="preserve"> is expected to produce and submit as part of the complete </w:t>
      </w:r>
      <w:r w:rsidR="00C8505B" w:rsidRPr="7299BD8C">
        <w:rPr>
          <w:noProof/>
          <w:color w:val="000000" w:themeColor="text1"/>
          <w:lang w:eastAsia="en-IE"/>
        </w:rPr>
        <w:t xml:space="preserve">application file. </w:t>
      </w:r>
    </w:p>
    <w:p w14:paraId="48E4A247" w14:textId="77777777" w:rsidR="00C8505B" w:rsidRPr="00185722" w:rsidRDefault="00C8505B" w:rsidP="00C8505B">
      <w:pPr>
        <w:pStyle w:val="Text2"/>
        <w:rPr>
          <w:noProof/>
          <w:lang w:eastAsia="en-IE"/>
        </w:rPr>
      </w:pPr>
      <w:r w:rsidRPr="00185722">
        <w:rPr>
          <w:noProof/>
          <w:lang w:eastAsia="en-IE"/>
        </w:rPr>
        <w:t xml:space="preserve">Neither the national competent authority, nor any of the authorities concerned </w:t>
      </w:r>
      <w:r w:rsidR="00025DAB">
        <w:rPr>
          <w:noProof/>
          <w:lang w:eastAsia="en-IE"/>
        </w:rPr>
        <w:t>shall</w:t>
      </w:r>
      <w:r w:rsidR="00025DAB" w:rsidRPr="00185722">
        <w:rPr>
          <w:noProof/>
          <w:lang w:eastAsia="en-IE"/>
        </w:rPr>
        <w:t xml:space="preserve"> </w:t>
      </w:r>
      <w:r w:rsidRPr="00185722">
        <w:rPr>
          <w:noProof/>
          <w:lang w:eastAsia="en-IE"/>
        </w:rPr>
        <w:t xml:space="preserve">subsequently request any additional information, studies, reports or assessments than the ones determined in this initial screening process, except where a material change has occurred to the project or its surrounding environment. </w:t>
      </w:r>
      <w:r w:rsidR="00640E32" w:rsidRPr="00640E32">
        <w:rPr>
          <w:noProof/>
          <w:lang w:eastAsia="en-IE"/>
        </w:rPr>
        <w:t>Where such a material change occurs,</w:t>
      </w:r>
      <w:r w:rsidR="00640E32">
        <w:rPr>
          <w:noProof/>
          <w:lang w:eastAsia="en-IE"/>
        </w:rPr>
        <w:t xml:space="preserve"> </w:t>
      </w:r>
      <w:r w:rsidRPr="00185722">
        <w:rPr>
          <w:noProof/>
          <w:lang w:eastAsia="en-IE"/>
        </w:rPr>
        <w:t xml:space="preserve">the national competent authority </w:t>
      </w:r>
      <w:r w:rsidR="00F46407" w:rsidRPr="00F46407">
        <w:rPr>
          <w:noProof/>
          <w:lang w:eastAsia="en-IE"/>
        </w:rPr>
        <w:t>may request additional information from the project promoter based on a reasoned justification</w:t>
      </w:r>
      <w:r w:rsidR="00C12AFD">
        <w:rPr>
          <w:noProof/>
          <w:lang w:eastAsia="en-IE"/>
        </w:rPr>
        <w:t>;</w:t>
      </w:r>
    </w:p>
    <w:p w14:paraId="06325ED4" w14:textId="75080D55" w:rsidR="00C8505B" w:rsidRPr="00185722" w:rsidRDefault="00C44DD6" w:rsidP="00C44DD6">
      <w:pPr>
        <w:pStyle w:val="Point1"/>
        <w:rPr>
          <w:noProof/>
          <w:lang w:eastAsia="en-IE"/>
        </w:rPr>
      </w:pPr>
      <w:r w:rsidRPr="00C44DD6">
        <w:rPr>
          <w:noProof/>
        </w:rPr>
        <w:t>(c)</w:t>
      </w:r>
      <w:r w:rsidRPr="00C44DD6">
        <w:rPr>
          <w:noProof/>
        </w:rPr>
        <w:tab/>
      </w:r>
      <w:r w:rsidR="00C12AFD">
        <w:rPr>
          <w:noProof/>
          <w:color w:val="000000" w:themeColor="text1"/>
          <w:lang w:eastAsia="en-IE"/>
        </w:rPr>
        <w:t>t</w:t>
      </w:r>
      <w:r w:rsidR="00C8505B" w:rsidRPr="00185722">
        <w:rPr>
          <w:noProof/>
          <w:lang w:eastAsia="en-IE"/>
        </w:rPr>
        <w:t xml:space="preserve">he national competent authority shall draw up, in close cooperation with the project promoter and other authorities concerned and </w:t>
      </w:r>
      <w:r w:rsidR="00C8505B" w:rsidRPr="00C8505B">
        <w:rPr>
          <w:noProof/>
          <w:color w:val="000000" w:themeColor="text1"/>
          <w:lang w:eastAsia="en-IE"/>
        </w:rPr>
        <w:t xml:space="preserve">the national competent authorities in the other Member States where the project is located, including if the project crosses their exclusive </w:t>
      </w:r>
      <w:r w:rsidR="00C8505B" w:rsidRPr="002D4772">
        <w:rPr>
          <w:noProof/>
          <w:color w:val="000000" w:themeColor="text1"/>
          <w:lang w:eastAsia="en-IE"/>
        </w:rPr>
        <w:t>economic zone,</w:t>
      </w:r>
      <w:r w:rsidR="00C8505B" w:rsidRPr="002D4772">
        <w:rPr>
          <w:noProof/>
          <w:lang w:eastAsia="en-IE"/>
        </w:rPr>
        <w:t xml:space="preserve"> and taking into account the results of the activities carried out under point (a) of this</w:t>
      </w:r>
      <w:r w:rsidR="00C8505B" w:rsidRPr="00185722">
        <w:rPr>
          <w:noProof/>
          <w:lang w:eastAsia="en-IE"/>
        </w:rPr>
        <w:t xml:space="preserve"> paragraph, a detailed schedule for </w:t>
      </w:r>
      <w:r w:rsidR="00C8505B" w:rsidRPr="002D4772">
        <w:rPr>
          <w:noProof/>
          <w:lang w:eastAsia="en-IE"/>
        </w:rPr>
        <w:t>the permit</w:t>
      </w:r>
      <w:r w:rsidR="00056600">
        <w:rPr>
          <w:noProof/>
          <w:lang w:eastAsia="en-IE"/>
        </w:rPr>
        <w:t>-</w:t>
      </w:r>
      <w:r w:rsidR="00C8505B" w:rsidRPr="002D4772">
        <w:rPr>
          <w:noProof/>
          <w:lang w:eastAsia="en-IE"/>
        </w:rPr>
        <w:t xml:space="preserve">granting process in </w:t>
      </w:r>
      <w:r w:rsidR="005B2164">
        <w:rPr>
          <w:noProof/>
          <w:lang w:eastAsia="en-IE"/>
        </w:rPr>
        <w:t>accordance</w:t>
      </w:r>
      <w:r w:rsidR="00C8505B" w:rsidRPr="002D4772">
        <w:rPr>
          <w:noProof/>
          <w:lang w:eastAsia="en-IE"/>
        </w:rPr>
        <w:t xml:space="preserve"> with the guidelines set out in point (2) of Annex VI</w:t>
      </w:r>
      <w:r w:rsidR="00C8505B" w:rsidRPr="002D4772">
        <w:rPr>
          <w:noProof/>
          <w:color w:val="000000" w:themeColor="text1"/>
          <w:lang w:eastAsia="en-IE"/>
        </w:rPr>
        <w:t>;</w:t>
      </w:r>
    </w:p>
    <w:p w14:paraId="556CA71B" w14:textId="6A1CFC4D" w:rsidR="00C8505B" w:rsidRPr="00C8505B" w:rsidRDefault="00C44DD6" w:rsidP="00C44DD6">
      <w:pPr>
        <w:pStyle w:val="Point1"/>
        <w:rPr>
          <w:noProof/>
          <w:color w:val="000000"/>
          <w:lang w:eastAsia="en-IE"/>
        </w:rPr>
      </w:pPr>
      <w:r w:rsidRPr="00C44DD6">
        <w:rPr>
          <w:noProof/>
        </w:rPr>
        <w:t>(d)</w:t>
      </w:r>
      <w:r w:rsidRPr="00C44DD6">
        <w:rPr>
          <w:noProof/>
        </w:rPr>
        <w:tab/>
      </w:r>
      <w:r w:rsidR="00C12AFD">
        <w:rPr>
          <w:noProof/>
          <w:lang w:eastAsia="en-IE"/>
        </w:rPr>
        <w:t>u</w:t>
      </w:r>
      <w:r w:rsidR="00C8505B" w:rsidRPr="50F2A000">
        <w:rPr>
          <w:noProof/>
          <w:lang w:eastAsia="en-IE"/>
        </w:rPr>
        <w:t>pon</w:t>
      </w:r>
      <w:r w:rsidR="00C8505B" w:rsidRPr="7AFEFBB9">
        <w:rPr>
          <w:noProof/>
          <w:lang w:eastAsia="en-IE"/>
        </w:rPr>
        <w:t xml:space="preserve"> receipt of the draft application file, the national competent authority </w:t>
      </w:r>
      <w:r w:rsidR="00C6639B">
        <w:rPr>
          <w:noProof/>
          <w:lang w:eastAsia="en-IE"/>
        </w:rPr>
        <w:t>may</w:t>
      </w:r>
      <w:r w:rsidR="00C8505B" w:rsidRPr="7AFEFBB9">
        <w:rPr>
          <w:noProof/>
          <w:lang w:eastAsia="en-IE"/>
        </w:rPr>
        <w:t>, on its own behalf or on behalf of other authorities concerned, request the project promoter to submit missing information relating to the requested elements referred to in point (a) within a maximum deadline of one month.</w:t>
      </w:r>
    </w:p>
    <w:p w14:paraId="4453AA93" w14:textId="77777777" w:rsidR="00C8505B" w:rsidRPr="00185722" w:rsidRDefault="00C8505B" w:rsidP="00C8505B">
      <w:pPr>
        <w:pStyle w:val="Text1"/>
        <w:rPr>
          <w:noProof/>
          <w:lang w:eastAsia="en-IE"/>
        </w:rPr>
      </w:pPr>
      <w:r w:rsidRPr="00185722">
        <w:rPr>
          <w:noProof/>
          <w:lang w:eastAsia="en-IE"/>
        </w:rPr>
        <w:t xml:space="preserve">The pre-application procedure shall include the preparation of any </w:t>
      </w:r>
      <w:r w:rsidRPr="00AB5DAE">
        <w:rPr>
          <w:noProof/>
          <w:lang w:eastAsia="en-IE"/>
        </w:rPr>
        <w:t>environmental</w:t>
      </w:r>
      <w:r w:rsidRPr="00185722">
        <w:rPr>
          <w:noProof/>
          <w:lang w:eastAsia="en-IE"/>
        </w:rPr>
        <w:t xml:space="preserve"> reports by the project promoters, as necessary, including the climate adaptation </w:t>
      </w:r>
      <w:r w:rsidRPr="22381762">
        <w:rPr>
          <w:noProof/>
          <w:color w:val="000000" w:themeColor="text1"/>
          <w:lang w:eastAsia="en-IE"/>
        </w:rPr>
        <w:t xml:space="preserve">and cyber and physical security </w:t>
      </w:r>
      <w:r w:rsidRPr="00185722">
        <w:rPr>
          <w:noProof/>
          <w:lang w:eastAsia="en-IE"/>
        </w:rPr>
        <w:t>documentation</w:t>
      </w:r>
      <w:r w:rsidRPr="22381762">
        <w:rPr>
          <w:noProof/>
          <w:color w:val="000000" w:themeColor="text1"/>
          <w:lang w:eastAsia="en-IE"/>
        </w:rPr>
        <w:t xml:space="preserve"> and assessments</w:t>
      </w:r>
      <w:r w:rsidRPr="00185722">
        <w:rPr>
          <w:noProof/>
          <w:lang w:eastAsia="en-IE"/>
        </w:rPr>
        <w:t>.</w:t>
      </w:r>
    </w:p>
    <w:p w14:paraId="58C3953B" w14:textId="77777777" w:rsidR="00C8505B" w:rsidRDefault="00C8505B" w:rsidP="00C8505B">
      <w:pPr>
        <w:pStyle w:val="Text1"/>
        <w:rPr>
          <w:noProof/>
          <w:lang w:eastAsia="en-IE"/>
        </w:rPr>
      </w:pPr>
      <w:r w:rsidRPr="00185722">
        <w:rPr>
          <w:noProof/>
          <w:lang w:eastAsia="en-IE"/>
        </w:rPr>
        <w:t xml:space="preserve">In cooperation with the project promoter and, as necessary, other authorities concerned or other national competent authorities </w:t>
      </w:r>
      <w:r w:rsidR="000A3EF6">
        <w:rPr>
          <w:noProof/>
          <w:lang w:eastAsia="en-IE"/>
        </w:rPr>
        <w:t xml:space="preserve">of </w:t>
      </w:r>
      <w:r w:rsidRPr="00185722">
        <w:rPr>
          <w:noProof/>
          <w:lang w:eastAsia="en-IE"/>
        </w:rPr>
        <w:t>other Member States where the project is located, including if the project crosses their exclusive economic zone, the national competent authority may design the requirements for the permit</w:t>
      </w:r>
      <w:r w:rsidR="002E0D8B">
        <w:rPr>
          <w:noProof/>
          <w:lang w:eastAsia="en-IE"/>
        </w:rPr>
        <w:t>-</w:t>
      </w:r>
      <w:r w:rsidR="005B2164">
        <w:rPr>
          <w:noProof/>
          <w:lang w:eastAsia="en-IE"/>
        </w:rPr>
        <w:t>gran</w:t>
      </w:r>
      <w:r w:rsidRPr="00185722">
        <w:rPr>
          <w:noProof/>
          <w:lang w:eastAsia="en-IE"/>
        </w:rPr>
        <w:t xml:space="preserve">ting process of a certain project, and the public </w:t>
      </w:r>
      <w:r w:rsidRPr="002C69AE">
        <w:rPr>
          <w:noProof/>
          <w:lang w:eastAsia="en-IE"/>
        </w:rPr>
        <w:t>consultation timeline set out in point (4) of Annex VI, in phases, provided it does not delay the overall development of the project and ensures that the permit</w:t>
      </w:r>
      <w:r w:rsidR="002E0D8B">
        <w:rPr>
          <w:noProof/>
          <w:lang w:eastAsia="en-IE"/>
        </w:rPr>
        <w:t>-</w:t>
      </w:r>
      <w:r w:rsidR="005B2164">
        <w:rPr>
          <w:noProof/>
          <w:lang w:eastAsia="en-IE"/>
        </w:rPr>
        <w:t>gran</w:t>
      </w:r>
      <w:r w:rsidRPr="002C69AE">
        <w:rPr>
          <w:noProof/>
          <w:lang w:eastAsia="en-IE"/>
        </w:rPr>
        <w:t>ting process is simplified</w:t>
      </w:r>
      <w:r w:rsidRPr="00185722">
        <w:rPr>
          <w:noProof/>
          <w:lang w:eastAsia="en-IE"/>
        </w:rPr>
        <w:t xml:space="preserve"> and accelerated. The maximum deadlines of paragraph</w:t>
      </w:r>
      <w:r w:rsidR="00B52585">
        <w:rPr>
          <w:noProof/>
          <w:lang w:eastAsia="en-IE"/>
        </w:rPr>
        <w:t>s</w:t>
      </w:r>
      <w:r w:rsidRPr="00185722">
        <w:rPr>
          <w:noProof/>
          <w:lang w:eastAsia="en-IE"/>
        </w:rPr>
        <w:t xml:space="preserve"> 1 and 2 shall apply for each of the phases.</w:t>
      </w:r>
    </w:p>
    <w:p w14:paraId="6240CB61" w14:textId="77777777" w:rsidR="00C8505B" w:rsidRPr="00185722" w:rsidRDefault="00C8505B" w:rsidP="00C8505B">
      <w:pPr>
        <w:pStyle w:val="Text1"/>
        <w:rPr>
          <w:noProof/>
          <w:color w:val="000000"/>
          <w:lang w:eastAsia="en-IE"/>
        </w:rPr>
      </w:pPr>
      <w:r w:rsidRPr="181A284B">
        <w:rPr>
          <w:noProof/>
          <w:lang w:eastAsia="en-IE"/>
        </w:rPr>
        <w:t xml:space="preserve">Within one month of submission of the missing </w:t>
      </w:r>
      <w:r w:rsidRPr="00EB5262">
        <w:rPr>
          <w:noProof/>
          <w:lang w:eastAsia="en-IE"/>
        </w:rPr>
        <w:t>information referred to in the first subparagraph,</w:t>
      </w:r>
      <w:r w:rsidR="005B2164">
        <w:rPr>
          <w:noProof/>
          <w:lang w:eastAsia="en-IE"/>
        </w:rPr>
        <w:t xml:space="preserve"> </w:t>
      </w:r>
      <w:r w:rsidR="005B2164" w:rsidRPr="00EB5262">
        <w:rPr>
          <w:noProof/>
          <w:lang w:eastAsia="en-IE"/>
        </w:rPr>
        <w:t>point (</w:t>
      </w:r>
      <w:r w:rsidR="00F93516">
        <w:rPr>
          <w:noProof/>
          <w:lang w:eastAsia="en-IE"/>
        </w:rPr>
        <w:t>d</w:t>
      </w:r>
      <w:r w:rsidR="005B2164" w:rsidRPr="00EB5262">
        <w:rPr>
          <w:noProof/>
          <w:lang w:eastAsia="en-IE"/>
        </w:rPr>
        <w:t>)</w:t>
      </w:r>
      <w:r w:rsidR="005B2164">
        <w:rPr>
          <w:noProof/>
          <w:lang w:eastAsia="en-IE"/>
        </w:rPr>
        <w:t>,</w:t>
      </w:r>
      <w:r w:rsidR="005B2164" w:rsidRPr="00EB5262">
        <w:rPr>
          <w:noProof/>
          <w:lang w:eastAsia="en-IE"/>
        </w:rPr>
        <w:t xml:space="preserve"> </w:t>
      </w:r>
      <w:r w:rsidRPr="00EB5262">
        <w:rPr>
          <w:noProof/>
          <w:lang w:eastAsia="en-IE"/>
        </w:rPr>
        <w:t xml:space="preserve">the competent authority shall accept for examination the </w:t>
      </w:r>
      <w:r w:rsidR="00213C8E" w:rsidRPr="00EB5262">
        <w:rPr>
          <w:noProof/>
          <w:lang w:eastAsia="en-IE"/>
        </w:rPr>
        <w:t xml:space="preserve">complete </w:t>
      </w:r>
      <w:r w:rsidRPr="00EB5262">
        <w:rPr>
          <w:noProof/>
          <w:lang w:eastAsia="en-IE"/>
        </w:rPr>
        <w:t>application in written or electronic form or on dedicated digital platforms, starting the statutory permit</w:t>
      </w:r>
      <w:r w:rsidR="002E0D8B">
        <w:rPr>
          <w:noProof/>
          <w:lang w:eastAsia="en-IE"/>
        </w:rPr>
        <w:t>-</w:t>
      </w:r>
      <w:r w:rsidRPr="00EB5262">
        <w:rPr>
          <w:noProof/>
          <w:lang w:eastAsia="en-IE"/>
        </w:rPr>
        <w:t>granting procedure referred to in paragraph 1, point (b).</w:t>
      </w:r>
      <w:r w:rsidRPr="181A284B">
        <w:rPr>
          <w:noProof/>
          <w:lang w:eastAsia="en-IE"/>
        </w:rPr>
        <w:t xml:space="preserve"> </w:t>
      </w:r>
    </w:p>
    <w:p w14:paraId="6AC724FF" w14:textId="3B4F3E7C" w:rsidR="00C8505B" w:rsidRPr="00185722" w:rsidRDefault="00C44DD6" w:rsidP="00C44DD6">
      <w:pPr>
        <w:pStyle w:val="ManualNumPar1"/>
        <w:rPr>
          <w:noProof/>
          <w:color w:val="000000"/>
          <w:lang w:eastAsia="en-IE"/>
        </w:rPr>
      </w:pPr>
      <w:r w:rsidRPr="00C44DD6">
        <w:rPr>
          <w:noProof/>
        </w:rPr>
        <w:t>10.</w:t>
      </w:r>
      <w:r w:rsidRPr="00C44DD6">
        <w:rPr>
          <w:noProof/>
        </w:rPr>
        <w:tab/>
      </w:r>
      <w:r w:rsidR="00C8505B" w:rsidRPr="135951A3">
        <w:rPr>
          <w:noProof/>
          <w:lang w:eastAsia="en-IE"/>
        </w:rPr>
        <w:t>The project promoter shall cooperate in good faith with the national competent authorities and with all authorities concerned</w:t>
      </w:r>
      <w:r w:rsidR="00F60906" w:rsidRPr="00F60906">
        <w:rPr>
          <w:noProof/>
          <w:lang w:eastAsia="en-IE"/>
        </w:rPr>
        <w:t>, in order to provide them with complete and correct information, in particular with regard to the information identified in the screening process</w:t>
      </w:r>
      <w:r w:rsidR="00C8505B" w:rsidRPr="135951A3">
        <w:rPr>
          <w:noProof/>
          <w:lang w:eastAsia="en-IE"/>
        </w:rPr>
        <w:t xml:space="preserve">. </w:t>
      </w:r>
    </w:p>
    <w:p w14:paraId="74E345E4" w14:textId="77777777" w:rsidR="00C8505B" w:rsidRPr="00185722" w:rsidRDefault="00C8505B" w:rsidP="00C8505B">
      <w:pPr>
        <w:pStyle w:val="Text1"/>
        <w:rPr>
          <w:noProof/>
          <w:lang w:eastAsia="en-IE"/>
        </w:rPr>
      </w:pPr>
      <w:r w:rsidRPr="00185722">
        <w:rPr>
          <w:noProof/>
          <w:lang w:eastAsia="en-IE"/>
        </w:rPr>
        <w:t>The project promoter shall ensure that the application file is complete and adequate, seeking the national competent authority’s opinion it as early as possible in the permit</w:t>
      </w:r>
      <w:r w:rsidR="002E0D8B">
        <w:rPr>
          <w:noProof/>
          <w:lang w:eastAsia="en-IE"/>
        </w:rPr>
        <w:t>-</w:t>
      </w:r>
      <w:r w:rsidRPr="00185722">
        <w:rPr>
          <w:noProof/>
          <w:lang w:eastAsia="en-IE"/>
        </w:rPr>
        <w:t xml:space="preserve">granting process. </w:t>
      </w:r>
    </w:p>
    <w:p w14:paraId="4DFD3463" w14:textId="77777777" w:rsidR="00C8505B" w:rsidRPr="00185722" w:rsidRDefault="00C8505B" w:rsidP="00C8505B">
      <w:pPr>
        <w:pStyle w:val="Text1"/>
        <w:rPr>
          <w:noProof/>
          <w:lang w:eastAsia="en-IE"/>
        </w:rPr>
      </w:pPr>
      <w:r w:rsidRPr="00185722">
        <w:rPr>
          <w:noProof/>
          <w:lang w:eastAsia="en-IE"/>
        </w:rPr>
        <w:t xml:space="preserve">The project promoter shall cooperate fully with the national competent authority in order to comply with the time limits set in this Regulation. Any delays due to the fault of the project promoter </w:t>
      </w:r>
      <w:r w:rsidR="000754BC">
        <w:rPr>
          <w:noProof/>
          <w:lang w:eastAsia="en-IE"/>
        </w:rPr>
        <w:t xml:space="preserve">in good faith </w:t>
      </w:r>
      <w:r w:rsidRPr="00185722">
        <w:rPr>
          <w:noProof/>
          <w:lang w:eastAsia="en-IE"/>
        </w:rPr>
        <w:t>in this respect, shall not count against the maximum permitting duration.</w:t>
      </w:r>
    </w:p>
    <w:p w14:paraId="05CF9DD9" w14:textId="36858515" w:rsidR="00C8505B" w:rsidRPr="00185722" w:rsidRDefault="00C44DD6" w:rsidP="00C44DD6">
      <w:pPr>
        <w:pStyle w:val="ManualNumPar1"/>
        <w:rPr>
          <w:noProof/>
          <w:lang w:eastAsia="en-IE"/>
        </w:rPr>
      </w:pPr>
      <w:r w:rsidRPr="00C44DD6">
        <w:rPr>
          <w:noProof/>
        </w:rPr>
        <w:t>11.</w:t>
      </w:r>
      <w:r w:rsidRPr="00C44DD6">
        <w:rPr>
          <w:noProof/>
        </w:rPr>
        <w:tab/>
      </w:r>
      <w:r w:rsidR="00C8505B" w:rsidRPr="00185722">
        <w:rPr>
          <w:noProof/>
          <w:lang w:eastAsia="en-IE"/>
        </w:rPr>
        <w:t>Member States shall ensure that any amendments to the national law do not lead to prolonging any permit</w:t>
      </w:r>
      <w:r w:rsidR="002E0D8B">
        <w:rPr>
          <w:noProof/>
          <w:lang w:eastAsia="en-IE"/>
        </w:rPr>
        <w:t>-</w:t>
      </w:r>
      <w:r w:rsidR="00C8505B" w:rsidRPr="00185722">
        <w:rPr>
          <w:noProof/>
          <w:lang w:eastAsia="en-IE"/>
        </w:rPr>
        <w:t>granting process started before the entry into force of those amendments. With a view of maintaining an accelerated permit</w:t>
      </w:r>
      <w:r w:rsidR="00382844">
        <w:rPr>
          <w:noProof/>
          <w:lang w:eastAsia="en-IE"/>
        </w:rPr>
        <w:t>-</w:t>
      </w:r>
      <w:r w:rsidR="00C8505B" w:rsidRPr="00185722">
        <w:rPr>
          <w:noProof/>
          <w:lang w:eastAsia="en-IE"/>
        </w:rPr>
        <w:t xml:space="preserve">granting process for projects on the Union list, national competent authorities shall adequately adapt the schedule established in </w:t>
      </w:r>
      <w:r w:rsidR="00656625">
        <w:rPr>
          <w:noProof/>
          <w:lang w:eastAsia="en-IE"/>
        </w:rPr>
        <w:t>accordance</w:t>
      </w:r>
      <w:r w:rsidR="00C8505B" w:rsidRPr="00185722">
        <w:rPr>
          <w:noProof/>
          <w:lang w:eastAsia="en-IE"/>
        </w:rPr>
        <w:t xml:space="preserve"> with paragraph 6, point (b), of this Article to ensure, to the extent possible, that the time limits for the permit</w:t>
      </w:r>
      <w:r w:rsidR="00382844">
        <w:rPr>
          <w:noProof/>
          <w:lang w:eastAsia="en-IE"/>
        </w:rPr>
        <w:t>-</w:t>
      </w:r>
      <w:r w:rsidR="00C8505B" w:rsidRPr="00185722">
        <w:rPr>
          <w:noProof/>
          <w:lang w:eastAsia="en-IE"/>
        </w:rPr>
        <w:t>granting process set in this Article are not exceeded.</w:t>
      </w:r>
    </w:p>
    <w:p w14:paraId="08E7462F" w14:textId="702E2D1C" w:rsidR="00C8505B" w:rsidRPr="00185722" w:rsidRDefault="00C44DD6" w:rsidP="00C44DD6">
      <w:pPr>
        <w:pStyle w:val="ManualNumPar1"/>
        <w:rPr>
          <w:noProof/>
        </w:rPr>
      </w:pPr>
      <w:r w:rsidRPr="00C44DD6">
        <w:rPr>
          <w:noProof/>
        </w:rPr>
        <w:t>12.</w:t>
      </w:r>
      <w:r w:rsidRPr="00C44DD6">
        <w:rPr>
          <w:noProof/>
        </w:rPr>
        <w:tab/>
      </w:r>
      <w:r w:rsidR="00C8505B" w:rsidRPr="4D22C09C">
        <w:rPr>
          <w:noProof/>
          <w:lang w:eastAsia="en-IE"/>
        </w:rPr>
        <w:t>The time limits set in this Article shall be without prejudice to obligations arising from Union and international law, and without prejudice to administrative appeal procedures and judicial remedies before a court or tribunal.</w:t>
      </w:r>
    </w:p>
    <w:p w14:paraId="2B7C1CF7" w14:textId="77777777" w:rsidR="00C8505B" w:rsidRPr="00185722" w:rsidRDefault="00C8505B" w:rsidP="00C8505B">
      <w:pPr>
        <w:pStyle w:val="Text1"/>
        <w:rPr>
          <w:noProof/>
          <w:color w:val="000000"/>
        </w:rPr>
      </w:pPr>
      <w:r w:rsidRPr="4D22C09C">
        <w:rPr>
          <w:noProof/>
          <w:lang w:eastAsia="en-IE"/>
        </w:rPr>
        <w:t>The time limits set in this Article for any of the permit</w:t>
      </w:r>
      <w:r w:rsidR="00382844">
        <w:rPr>
          <w:noProof/>
          <w:lang w:eastAsia="en-IE"/>
        </w:rPr>
        <w:t>-</w:t>
      </w:r>
      <w:r w:rsidRPr="4D22C09C">
        <w:rPr>
          <w:noProof/>
          <w:lang w:eastAsia="en-IE"/>
        </w:rPr>
        <w:t>granting procedures shall be without prejudice to any shorter time limits set by Member States.</w:t>
      </w:r>
    </w:p>
    <w:p w14:paraId="537009CB" w14:textId="77777777" w:rsidR="00D857BD" w:rsidRDefault="00D857BD" w:rsidP="00440924">
      <w:pPr>
        <w:pStyle w:val="Text1"/>
        <w:rPr>
          <w:noProof/>
        </w:rPr>
      </w:pPr>
    </w:p>
    <w:p w14:paraId="0C349754" w14:textId="77777777" w:rsidR="00C8505B" w:rsidRPr="00C8505B" w:rsidRDefault="00C8505B" w:rsidP="00C8505B">
      <w:pPr>
        <w:pStyle w:val="ChapterTitle"/>
        <w:rPr>
          <w:noProof/>
        </w:rPr>
      </w:pPr>
      <w:r w:rsidRPr="00C8505B">
        <w:rPr>
          <w:noProof/>
        </w:rPr>
        <w:t>CHAPTER IV</w:t>
      </w:r>
    </w:p>
    <w:p w14:paraId="589E182D" w14:textId="77777777" w:rsidR="00C8505B" w:rsidRPr="00C8505B" w:rsidRDefault="00C8505B" w:rsidP="00C8505B">
      <w:pPr>
        <w:pStyle w:val="ChapterTitle"/>
        <w:rPr>
          <w:noProof/>
        </w:rPr>
      </w:pPr>
      <w:bookmarkStart w:id="16" w:name="bookmark53"/>
      <w:r w:rsidRPr="00C8505B">
        <w:rPr>
          <w:noProof/>
        </w:rPr>
        <w:t>Cross-sectoral infrastructure planning</w:t>
      </w:r>
      <w:bookmarkEnd w:id="16"/>
    </w:p>
    <w:p w14:paraId="44126C0F" w14:textId="77777777" w:rsidR="00C8505B" w:rsidRPr="00C8505B" w:rsidRDefault="00C8505B" w:rsidP="00C8505B">
      <w:pPr>
        <w:pStyle w:val="Titrearticle"/>
        <w:rPr>
          <w:noProof/>
        </w:rPr>
      </w:pPr>
      <w:bookmarkStart w:id="17" w:name="_Hlk210818697"/>
      <w:r w:rsidRPr="00C8505B">
        <w:rPr>
          <w:rStyle w:val="normaltextrun"/>
          <w:noProof/>
        </w:rPr>
        <w:t>Article 11</w:t>
      </w:r>
    </w:p>
    <w:p w14:paraId="11C86301" w14:textId="77777777" w:rsidR="00C8505B" w:rsidRPr="00872170" w:rsidRDefault="00C8505B" w:rsidP="00C8505B">
      <w:pPr>
        <w:pStyle w:val="Titrearticle"/>
        <w:rPr>
          <w:b/>
          <w:bCs/>
          <w:noProof/>
        </w:rPr>
      </w:pPr>
      <w:r w:rsidRPr="00872170">
        <w:rPr>
          <w:rStyle w:val="normaltextrun"/>
          <w:b/>
          <w:bCs/>
          <w:noProof/>
        </w:rPr>
        <w:t>Central scenario for the ten-year network development plans</w:t>
      </w:r>
    </w:p>
    <w:p w14:paraId="4F8AD1E3" w14:textId="0F66A755" w:rsidR="00E2085E" w:rsidRPr="00E2085E" w:rsidRDefault="00C44DD6" w:rsidP="00C44DD6">
      <w:pPr>
        <w:pStyle w:val="ManualNumPar1"/>
        <w:rPr>
          <w:noProof/>
        </w:rPr>
      </w:pPr>
      <w:r w:rsidRPr="00C44DD6">
        <w:rPr>
          <w:noProof/>
        </w:rPr>
        <w:t>1.</w:t>
      </w:r>
      <w:r w:rsidRPr="00C44DD6">
        <w:rPr>
          <w:noProof/>
        </w:rPr>
        <w:tab/>
      </w:r>
      <w:r w:rsidR="00E2085E" w:rsidRPr="00E2085E">
        <w:rPr>
          <w:noProof/>
        </w:rPr>
        <w:t>By [two years after entry into force] and at least every four years thereafter, the Commission shall develop a central scenario for the electricity, hydrogen and gas sectors to be used for the Union-wide ten-year network development plans</w:t>
      </w:r>
      <w:r w:rsidR="005B368D">
        <w:rPr>
          <w:noProof/>
        </w:rPr>
        <w:t xml:space="preserve"> </w:t>
      </w:r>
      <w:r w:rsidR="005B368D" w:rsidRPr="00E64703">
        <w:rPr>
          <w:rStyle w:val="normaltextrun"/>
          <w:rFonts w:eastAsiaTheme="majorEastAsia"/>
          <w:noProof/>
        </w:rPr>
        <w:t>referred to in</w:t>
      </w:r>
      <w:r w:rsidR="004B78C0">
        <w:rPr>
          <w:rStyle w:val="normaltextrun"/>
          <w:rFonts w:eastAsiaTheme="majorEastAsia"/>
          <w:noProof/>
        </w:rPr>
        <w:t>:</w:t>
      </w:r>
      <w:r w:rsidR="005B368D" w:rsidRPr="00E64703">
        <w:rPr>
          <w:rStyle w:val="normaltextrun"/>
          <w:rFonts w:eastAsiaTheme="majorEastAsia"/>
          <w:noProof/>
        </w:rPr>
        <w:t xml:space="preserve"> Article 48 </w:t>
      </w:r>
      <w:r w:rsidR="00E64703">
        <w:rPr>
          <w:rStyle w:val="normaltextrun"/>
          <w:rFonts w:eastAsiaTheme="majorEastAsia"/>
          <w:noProof/>
        </w:rPr>
        <w:t xml:space="preserve">of </w:t>
      </w:r>
      <w:r w:rsidR="005B368D" w:rsidRPr="00E64703">
        <w:rPr>
          <w:rStyle w:val="normaltextrun"/>
          <w:rFonts w:eastAsiaTheme="majorEastAsia"/>
          <w:noProof/>
        </w:rPr>
        <w:t>Regulation (EU) 2019/943</w:t>
      </w:r>
      <w:r w:rsidR="3E653B82" w:rsidRPr="00E64703">
        <w:rPr>
          <w:rStyle w:val="normaltextrun"/>
          <w:rFonts w:eastAsiaTheme="majorEastAsia"/>
          <w:noProof/>
        </w:rPr>
        <w:t xml:space="preserve"> and </w:t>
      </w:r>
      <w:r w:rsidR="6B8551CA" w:rsidRPr="00E64703">
        <w:rPr>
          <w:rStyle w:val="normaltextrun"/>
          <w:rFonts w:eastAsiaTheme="majorEastAsia"/>
          <w:noProof/>
        </w:rPr>
        <w:t xml:space="preserve">Article 59 </w:t>
      </w:r>
      <w:r w:rsidR="00E64703">
        <w:rPr>
          <w:rStyle w:val="normaltextrun"/>
          <w:rFonts w:eastAsiaTheme="majorEastAsia"/>
          <w:noProof/>
        </w:rPr>
        <w:t xml:space="preserve">of </w:t>
      </w:r>
      <w:r w:rsidR="6B8551CA" w:rsidRPr="00E64703">
        <w:rPr>
          <w:rStyle w:val="normaltextrun"/>
          <w:rFonts w:eastAsiaTheme="majorEastAsia"/>
          <w:noProof/>
        </w:rPr>
        <w:t>Regulation (EU) 2024/1789</w:t>
      </w:r>
      <w:r w:rsidR="00FB27B5">
        <w:rPr>
          <w:rStyle w:val="normaltextrun"/>
          <w:rFonts w:eastAsiaTheme="majorEastAsia"/>
          <w:noProof/>
        </w:rPr>
        <w:t>,</w:t>
      </w:r>
      <w:r w:rsidR="00C10CC5" w:rsidRPr="00E64703">
        <w:rPr>
          <w:rStyle w:val="normaltextrun"/>
          <w:rFonts w:eastAsiaTheme="majorEastAsia"/>
          <w:noProof/>
        </w:rPr>
        <w:t xml:space="preserve"> </w:t>
      </w:r>
      <w:r w:rsidR="009321FA" w:rsidRPr="00E64703">
        <w:rPr>
          <w:rStyle w:val="normaltextrun"/>
          <w:rFonts w:eastAsiaTheme="majorEastAsia"/>
          <w:noProof/>
          <w:lang w:val="en-IE"/>
        </w:rPr>
        <w:t>the infrastructure needs identification process referred to in Article 12 of this Regulation</w:t>
      </w:r>
      <w:r w:rsidR="002D68F0">
        <w:rPr>
          <w:rStyle w:val="normaltextrun"/>
          <w:rFonts w:eastAsiaTheme="majorEastAsia"/>
          <w:noProof/>
          <w:lang w:val="en-IE"/>
        </w:rPr>
        <w:t>,</w:t>
      </w:r>
      <w:r w:rsidR="009321FA" w:rsidRPr="00E64703">
        <w:rPr>
          <w:rStyle w:val="normaltextrun"/>
          <w:rFonts w:eastAsiaTheme="majorEastAsia"/>
          <w:noProof/>
          <w:lang w:val="en-IE"/>
        </w:rPr>
        <w:t xml:space="preserve"> the energy system wide cost-benefit analysis referred to in Article 14 of this Regulation</w:t>
      </w:r>
      <w:r w:rsidR="002D68F0">
        <w:rPr>
          <w:rStyle w:val="normaltextrun"/>
          <w:rFonts w:eastAsiaTheme="majorEastAsia"/>
          <w:noProof/>
          <w:lang w:val="en-IE"/>
        </w:rPr>
        <w:t>,</w:t>
      </w:r>
      <w:r w:rsidR="009321FA" w:rsidRPr="00E64703">
        <w:rPr>
          <w:rStyle w:val="normaltextrun"/>
          <w:rFonts w:eastAsiaTheme="majorEastAsia"/>
          <w:noProof/>
          <w:lang w:val="en-IE"/>
        </w:rPr>
        <w:t xml:space="preserve"> and the cross-border cost allocation referred to in Article 17 of this Regulation</w:t>
      </w:r>
      <w:r w:rsidR="00E2085E">
        <w:rPr>
          <w:noProof/>
        </w:rPr>
        <w:t>.</w:t>
      </w:r>
    </w:p>
    <w:p w14:paraId="1BA2D7F8" w14:textId="08E334A1" w:rsidR="00AA1818" w:rsidRDefault="00C44DD6" w:rsidP="00C44DD6">
      <w:pPr>
        <w:pStyle w:val="ManualNumPar1"/>
        <w:rPr>
          <w:noProof/>
        </w:rPr>
      </w:pPr>
      <w:r w:rsidRPr="00C44DD6">
        <w:rPr>
          <w:noProof/>
        </w:rPr>
        <w:t>2.</w:t>
      </w:r>
      <w:r w:rsidRPr="00C44DD6">
        <w:rPr>
          <w:noProof/>
        </w:rPr>
        <w:tab/>
      </w:r>
      <w:r w:rsidR="00E2085E" w:rsidRPr="00E2085E">
        <w:rPr>
          <w:noProof/>
        </w:rPr>
        <w:t>The central scenario shall</w:t>
      </w:r>
      <w:r w:rsidR="00351171">
        <w:rPr>
          <w:noProof/>
        </w:rPr>
        <w:t>:</w:t>
      </w:r>
      <w:r w:rsidR="00E2085E" w:rsidRPr="00E2085E">
        <w:rPr>
          <w:noProof/>
        </w:rPr>
        <w:t xml:space="preserve"> </w:t>
      </w:r>
    </w:p>
    <w:p w14:paraId="51440B27" w14:textId="1AAA0DE1" w:rsidR="00A82A66" w:rsidRDefault="00C44DD6" w:rsidP="00C44DD6">
      <w:pPr>
        <w:pStyle w:val="Point1"/>
        <w:rPr>
          <w:noProof/>
        </w:rPr>
      </w:pPr>
      <w:r w:rsidRPr="00C44DD6">
        <w:rPr>
          <w:noProof/>
        </w:rPr>
        <w:t>(a)</w:t>
      </w:r>
      <w:r w:rsidRPr="00C44DD6">
        <w:rPr>
          <w:noProof/>
        </w:rPr>
        <w:tab/>
      </w:r>
      <w:r w:rsidR="00E2085E" w:rsidRPr="00E2085E">
        <w:rPr>
          <w:noProof/>
        </w:rPr>
        <w:t xml:space="preserve">be consistent with the Union’s targets for energy and climate and include a long-term perspective until at least 2050 in </w:t>
      </w:r>
      <w:r w:rsidR="00656625">
        <w:rPr>
          <w:noProof/>
        </w:rPr>
        <w:t>accordance</w:t>
      </w:r>
      <w:r w:rsidR="00E2085E" w:rsidRPr="00E2085E">
        <w:rPr>
          <w:noProof/>
        </w:rPr>
        <w:t xml:space="preserve"> with the Union’s climate neutrality objective</w:t>
      </w:r>
      <w:r w:rsidR="00A82A66">
        <w:rPr>
          <w:noProof/>
        </w:rPr>
        <w:t>;</w:t>
      </w:r>
    </w:p>
    <w:p w14:paraId="3A6CAAA4" w14:textId="0C0443CF" w:rsidR="00A82A66" w:rsidRDefault="00C44DD6" w:rsidP="00C44DD6">
      <w:pPr>
        <w:pStyle w:val="Point1"/>
        <w:rPr>
          <w:noProof/>
        </w:rPr>
      </w:pPr>
      <w:r w:rsidRPr="00C44DD6">
        <w:rPr>
          <w:noProof/>
        </w:rPr>
        <w:t>(a)</w:t>
      </w:r>
      <w:r w:rsidRPr="00C44DD6">
        <w:rPr>
          <w:noProof/>
        </w:rPr>
        <w:tab/>
      </w:r>
      <w:r w:rsidR="00E2085E" w:rsidRPr="00E2085E">
        <w:rPr>
          <w:noProof/>
        </w:rPr>
        <w:t>take a cross-sectoral approach ensuring consistency between the electricity, hydrogen and gas sectors</w:t>
      </w:r>
      <w:r w:rsidR="00B26763">
        <w:rPr>
          <w:noProof/>
        </w:rPr>
        <w:t xml:space="preserve">, optimizing </w:t>
      </w:r>
      <w:r w:rsidR="00C21118">
        <w:rPr>
          <w:noProof/>
        </w:rPr>
        <w:t xml:space="preserve">system </w:t>
      </w:r>
      <w:r w:rsidR="00B26763">
        <w:rPr>
          <w:noProof/>
        </w:rPr>
        <w:t>efficiency</w:t>
      </w:r>
      <w:r w:rsidR="00A82A66">
        <w:rPr>
          <w:noProof/>
        </w:rPr>
        <w:t>;</w:t>
      </w:r>
      <w:r w:rsidR="00E2085E" w:rsidRPr="00E2085E">
        <w:rPr>
          <w:noProof/>
        </w:rPr>
        <w:t xml:space="preserve"> </w:t>
      </w:r>
    </w:p>
    <w:p w14:paraId="75DB1663" w14:textId="741CB2CC" w:rsidR="00E2085E" w:rsidRPr="00185722" w:rsidRDefault="00C44DD6" w:rsidP="00C44DD6">
      <w:pPr>
        <w:pStyle w:val="Point1"/>
        <w:rPr>
          <w:noProof/>
        </w:rPr>
      </w:pPr>
      <w:r w:rsidRPr="00C44DD6">
        <w:rPr>
          <w:noProof/>
        </w:rPr>
        <w:t>(b)</w:t>
      </w:r>
      <w:r w:rsidRPr="00C44DD6">
        <w:rPr>
          <w:noProof/>
        </w:rPr>
        <w:tab/>
      </w:r>
      <w:r w:rsidR="00E2085E" w:rsidRPr="00E2085E">
        <w:rPr>
          <w:noProof/>
        </w:rPr>
        <w:t>include sensitivit</w:t>
      </w:r>
      <w:r w:rsidR="00A82A66">
        <w:rPr>
          <w:noProof/>
        </w:rPr>
        <w:t>y analys</w:t>
      </w:r>
      <w:r w:rsidR="00B37637">
        <w:rPr>
          <w:noProof/>
        </w:rPr>
        <w:t>es</w:t>
      </w:r>
      <w:r w:rsidR="00E2085E" w:rsidRPr="00E2085E">
        <w:rPr>
          <w:noProof/>
        </w:rPr>
        <w:t xml:space="preserve"> as appropriate</w:t>
      </w:r>
      <w:r w:rsidR="00E2085E">
        <w:rPr>
          <w:noProof/>
        </w:rPr>
        <w:t>.</w:t>
      </w:r>
      <w:bookmarkStart w:id="18" w:name="_Hlk210818907"/>
    </w:p>
    <w:p w14:paraId="70F6D8BC" w14:textId="49D89BFE" w:rsidR="00C8505B" w:rsidRPr="00185722" w:rsidRDefault="00C44DD6" w:rsidP="00C44DD6">
      <w:pPr>
        <w:pStyle w:val="ManualNumPar1"/>
        <w:rPr>
          <w:noProof/>
        </w:rPr>
      </w:pPr>
      <w:bookmarkStart w:id="19" w:name="_Hlk210818953"/>
      <w:r w:rsidRPr="00C44DD6">
        <w:rPr>
          <w:noProof/>
        </w:rPr>
        <w:t>3.</w:t>
      </w:r>
      <w:r w:rsidRPr="00C44DD6">
        <w:rPr>
          <w:noProof/>
        </w:rPr>
        <w:tab/>
      </w:r>
      <w:r w:rsidR="008732D3" w:rsidRPr="008732D3">
        <w:rPr>
          <w:noProof/>
        </w:rPr>
        <w:t xml:space="preserve">The </w:t>
      </w:r>
      <w:r w:rsidR="004A6DD5" w:rsidRPr="00424F9F">
        <w:rPr>
          <w:noProof/>
          <w:shd w:val="clear" w:color="auto" w:fill="FFFFFF"/>
        </w:rPr>
        <w:t xml:space="preserve">European Network of Transmission System Operators for Electricity </w:t>
      </w:r>
      <w:r w:rsidR="004A6DD5">
        <w:rPr>
          <w:noProof/>
          <w:shd w:val="clear" w:color="auto" w:fill="FFFFFF"/>
        </w:rPr>
        <w:t>(</w:t>
      </w:r>
      <w:r w:rsidR="008732D3" w:rsidRPr="008732D3">
        <w:rPr>
          <w:noProof/>
        </w:rPr>
        <w:t>ENTSO for Electricity</w:t>
      </w:r>
      <w:r w:rsidR="004A6DD5">
        <w:rPr>
          <w:noProof/>
        </w:rPr>
        <w:t>)</w:t>
      </w:r>
      <w:r w:rsidR="008732D3" w:rsidRPr="008732D3">
        <w:rPr>
          <w:noProof/>
        </w:rPr>
        <w:t xml:space="preserve">, the </w:t>
      </w:r>
      <w:r w:rsidR="00113E81" w:rsidRPr="00424F9F">
        <w:rPr>
          <w:noProof/>
          <w:shd w:val="clear" w:color="auto" w:fill="FFFFFF"/>
        </w:rPr>
        <w:t>European Network of Network Operators for Hydrogen</w:t>
      </w:r>
      <w:r w:rsidR="00113E81" w:rsidRPr="008732D3">
        <w:rPr>
          <w:noProof/>
        </w:rPr>
        <w:t xml:space="preserve"> </w:t>
      </w:r>
      <w:r w:rsidR="00113E81">
        <w:rPr>
          <w:noProof/>
        </w:rPr>
        <w:t>(</w:t>
      </w:r>
      <w:r w:rsidR="008732D3" w:rsidRPr="008732D3">
        <w:rPr>
          <w:noProof/>
        </w:rPr>
        <w:t>ENNOH</w:t>
      </w:r>
      <w:r w:rsidR="00113E81">
        <w:rPr>
          <w:noProof/>
        </w:rPr>
        <w:t>)</w:t>
      </w:r>
      <w:r w:rsidR="008732D3" w:rsidRPr="008732D3">
        <w:rPr>
          <w:noProof/>
        </w:rPr>
        <w:t xml:space="preserve">, the </w:t>
      </w:r>
      <w:r w:rsidR="00802D01" w:rsidRPr="00424F9F">
        <w:rPr>
          <w:noProof/>
          <w:shd w:val="clear" w:color="auto" w:fill="FFFFFF"/>
        </w:rPr>
        <w:t>European Network of Transmission System Operators for Gas</w:t>
      </w:r>
      <w:r w:rsidR="00802D01" w:rsidRPr="008732D3">
        <w:rPr>
          <w:noProof/>
        </w:rPr>
        <w:t xml:space="preserve"> </w:t>
      </w:r>
      <w:r w:rsidR="00802D01">
        <w:rPr>
          <w:noProof/>
        </w:rPr>
        <w:t>(</w:t>
      </w:r>
      <w:r w:rsidR="008732D3" w:rsidRPr="008732D3">
        <w:rPr>
          <w:noProof/>
        </w:rPr>
        <w:t>ENTSO for Gas</w:t>
      </w:r>
      <w:r w:rsidR="00802D01">
        <w:rPr>
          <w:noProof/>
        </w:rPr>
        <w:t>)</w:t>
      </w:r>
      <w:r w:rsidR="008732D3" w:rsidRPr="008732D3">
        <w:rPr>
          <w:noProof/>
        </w:rPr>
        <w:t xml:space="preserve"> and the Member States </w:t>
      </w:r>
      <w:r w:rsidR="00AB35BE">
        <w:rPr>
          <w:noProof/>
        </w:rPr>
        <w:t xml:space="preserve">shall provide, upon request from the Commission, </w:t>
      </w:r>
      <w:r w:rsidR="008732D3" w:rsidRPr="008732D3">
        <w:rPr>
          <w:noProof/>
        </w:rPr>
        <w:t xml:space="preserve">the data and information necessary for the development of the central scenario referred to in paragraph 1. </w:t>
      </w:r>
      <w:r w:rsidR="009A7C28">
        <w:rPr>
          <w:noProof/>
        </w:rPr>
        <w:t>That</w:t>
      </w:r>
      <w:r w:rsidR="008732D3" w:rsidRPr="008732D3">
        <w:rPr>
          <w:noProof/>
        </w:rPr>
        <w:t xml:space="preserve"> includes, but is not limited to market and network data, such as demand and supply projections, characteristics of power generation, hydrogen production and networks, flexibility sources, imports assumptions, as well as climatic years data. </w:t>
      </w:r>
      <w:r w:rsidR="00D32B3F">
        <w:rPr>
          <w:noProof/>
        </w:rPr>
        <w:t>The Comm</w:t>
      </w:r>
      <w:r w:rsidR="003B1C4C">
        <w:rPr>
          <w:noProof/>
        </w:rPr>
        <w:t xml:space="preserve">ission shall set a reasonable time limit within which </w:t>
      </w:r>
      <w:r w:rsidR="00F23DDB">
        <w:rPr>
          <w:noProof/>
        </w:rPr>
        <w:t xml:space="preserve">the data and information is to be provided, taking into account the complexity and urgency of the data and information required. </w:t>
      </w:r>
      <w:r w:rsidR="008732D3" w:rsidRPr="008732D3">
        <w:rPr>
          <w:noProof/>
        </w:rPr>
        <w:t>Where an addressee does not provide the information requested within the time limit set by the Commission or supplies incomplete information, the Commission may by decision require the information to be provided. The Commission may request the Agency to verify the data submitted to the Commission, including by verifying national data with the relevant national regulatory authorities.</w:t>
      </w:r>
      <w:bookmarkEnd w:id="17"/>
      <w:r w:rsidR="00C8505B" w:rsidRPr="00185722">
        <w:rPr>
          <w:noProof/>
        </w:rPr>
        <w:t xml:space="preserve"> </w:t>
      </w:r>
    </w:p>
    <w:p w14:paraId="48E59F67" w14:textId="748C6A58" w:rsidR="009A4AFE" w:rsidRPr="009A4AFE" w:rsidRDefault="00C44DD6" w:rsidP="00C44DD6">
      <w:pPr>
        <w:pStyle w:val="ManualNumPar1"/>
        <w:rPr>
          <w:noProof/>
          <w:lang w:val="en-IE"/>
        </w:rPr>
      </w:pPr>
      <w:r w:rsidRPr="00C44DD6">
        <w:rPr>
          <w:noProof/>
        </w:rPr>
        <w:t>4.</w:t>
      </w:r>
      <w:r w:rsidRPr="00C44DD6">
        <w:rPr>
          <w:noProof/>
        </w:rPr>
        <w:tab/>
      </w:r>
      <w:r w:rsidR="009A4AFE" w:rsidRPr="009A4AFE">
        <w:rPr>
          <w:noProof/>
          <w:lang w:val="en-IE"/>
        </w:rPr>
        <w:t xml:space="preserve">The Commission shall consult the Agency, national regulatory authorities, the ENTSO for Electricity, the ENNOH, the ENTSO for </w:t>
      </w:r>
      <w:r w:rsidR="009A4AFE" w:rsidRPr="00CC028B">
        <w:rPr>
          <w:noProof/>
          <w:lang w:val="en-IE"/>
        </w:rPr>
        <w:t>Gas, the</w:t>
      </w:r>
      <w:r w:rsidR="00CC028B" w:rsidRPr="00CC028B">
        <w:rPr>
          <w:noProof/>
        </w:rPr>
        <w:t xml:space="preserve"> </w:t>
      </w:r>
      <w:r w:rsidR="00CC028B" w:rsidRPr="00CC028B">
        <w:rPr>
          <w:noProof/>
          <w:lang w:val="en-IE"/>
        </w:rPr>
        <w:t>European entity for the cooperation of electricity distribution system operators in the European Union</w:t>
      </w:r>
      <w:r w:rsidR="009A4AFE" w:rsidRPr="00CC028B">
        <w:rPr>
          <w:noProof/>
          <w:lang w:val="en-IE"/>
        </w:rPr>
        <w:t xml:space="preserve"> </w:t>
      </w:r>
      <w:r w:rsidR="00C94F4C" w:rsidRPr="00CC028B">
        <w:rPr>
          <w:noProof/>
          <w:shd w:val="clear" w:color="auto" w:fill="F5F5F5"/>
        </w:rPr>
        <w:t>(</w:t>
      </w:r>
      <w:r w:rsidR="009A4AFE" w:rsidRPr="00CC028B">
        <w:rPr>
          <w:noProof/>
          <w:lang w:val="en-IE"/>
        </w:rPr>
        <w:t>EU</w:t>
      </w:r>
      <w:r w:rsidR="009A4AFE" w:rsidRPr="009A4AFE">
        <w:rPr>
          <w:noProof/>
          <w:lang w:val="en-IE"/>
        </w:rPr>
        <w:t xml:space="preserve"> DSO Entity</w:t>
      </w:r>
      <w:r w:rsidR="00C94F4C">
        <w:rPr>
          <w:noProof/>
          <w:lang w:val="en-IE"/>
        </w:rPr>
        <w:t>)</w:t>
      </w:r>
      <w:r w:rsidR="009A4AFE" w:rsidRPr="009A4AFE">
        <w:rPr>
          <w:noProof/>
          <w:lang w:val="en-IE"/>
        </w:rPr>
        <w:t>, the Member States as well as other relevant stakeholders on the data collected for the purpose of the central scenario development process, including assumptions and their use in the development of the central scenario.</w:t>
      </w:r>
    </w:p>
    <w:p w14:paraId="2C211D0B" w14:textId="3F7487D9" w:rsidR="009A4AFE" w:rsidRPr="009A4AFE" w:rsidRDefault="00C44DD6" w:rsidP="00C44DD6">
      <w:pPr>
        <w:pStyle w:val="ManualNumPar1"/>
        <w:rPr>
          <w:noProof/>
          <w:lang w:val="en-IE"/>
        </w:rPr>
      </w:pPr>
      <w:r w:rsidRPr="00C44DD6">
        <w:rPr>
          <w:noProof/>
        </w:rPr>
        <w:t>5.</w:t>
      </w:r>
      <w:r w:rsidRPr="00C44DD6">
        <w:rPr>
          <w:noProof/>
        </w:rPr>
        <w:tab/>
      </w:r>
      <w:r w:rsidR="009A4AFE" w:rsidRPr="009A4AFE">
        <w:rPr>
          <w:noProof/>
          <w:lang w:val="en-IE"/>
        </w:rPr>
        <w:t xml:space="preserve">The Commission shall submit the draft central scenario to the TEN-E Group, together with information on how the comments received in the consultation referred to in paragraph </w:t>
      </w:r>
      <w:r w:rsidR="00870FEC">
        <w:rPr>
          <w:noProof/>
          <w:lang w:val="en-IE"/>
        </w:rPr>
        <w:t>4</w:t>
      </w:r>
      <w:r w:rsidR="009A4AFE" w:rsidRPr="009A4AFE">
        <w:rPr>
          <w:noProof/>
          <w:lang w:val="en-IE"/>
        </w:rPr>
        <w:t xml:space="preserve"> have been taken into consideration. The TEN-E Group members shall deliver their comments, if any, within one month of receiving the draft central scenario. </w:t>
      </w:r>
    </w:p>
    <w:p w14:paraId="0D63F4AF" w14:textId="23885012" w:rsidR="009A4AFE" w:rsidRPr="009A4AFE" w:rsidRDefault="00C44DD6" w:rsidP="00C44DD6">
      <w:pPr>
        <w:pStyle w:val="ManualNumPar1"/>
        <w:rPr>
          <w:noProof/>
          <w:szCs w:val="24"/>
          <w:lang w:val="en-IE"/>
        </w:rPr>
      </w:pPr>
      <w:r w:rsidRPr="00C44DD6">
        <w:rPr>
          <w:noProof/>
        </w:rPr>
        <w:t>6.</w:t>
      </w:r>
      <w:r w:rsidRPr="00C44DD6">
        <w:rPr>
          <w:noProof/>
        </w:rPr>
        <w:tab/>
      </w:r>
      <w:r w:rsidR="7FEB638D" w:rsidRPr="7CF1263D">
        <w:rPr>
          <w:noProof/>
          <w:lang w:val="en-IE"/>
        </w:rPr>
        <w:t xml:space="preserve">The Commission is empowered to adopt delegated acts in accordance with Article </w:t>
      </w:r>
      <w:r w:rsidR="7FEB638D" w:rsidRPr="7C06090E">
        <w:rPr>
          <w:noProof/>
          <w:lang w:val="en-IE"/>
        </w:rPr>
        <w:t>2</w:t>
      </w:r>
      <w:r w:rsidR="4DBD28C6" w:rsidRPr="7C06090E">
        <w:rPr>
          <w:noProof/>
          <w:lang w:val="en-IE"/>
        </w:rPr>
        <w:t>3</w:t>
      </w:r>
      <w:r w:rsidR="7FEB638D" w:rsidRPr="7CF1263D">
        <w:rPr>
          <w:noProof/>
          <w:lang w:val="en-IE"/>
        </w:rPr>
        <w:t xml:space="preserve"> </w:t>
      </w:r>
      <w:r w:rsidR="69A44CC3" w:rsidRPr="30B191A1">
        <w:rPr>
          <w:noProof/>
          <w:lang w:val="en-IE"/>
        </w:rPr>
        <w:t xml:space="preserve">to </w:t>
      </w:r>
      <w:r w:rsidR="69A44CC3" w:rsidRPr="3E5BD265">
        <w:rPr>
          <w:noProof/>
          <w:lang w:val="en-IE"/>
        </w:rPr>
        <w:t>supplement</w:t>
      </w:r>
      <w:r w:rsidR="69A44CC3" w:rsidRPr="4094B553">
        <w:rPr>
          <w:noProof/>
          <w:lang w:val="en-IE"/>
        </w:rPr>
        <w:t xml:space="preserve"> this </w:t>
      </w:r>
      <w:r w:rsidR="69A44CC3" w:rsidRPr="68218516">
        <w:rPr>
          <w:noProof/>
          <w:lang w:val="en-IE"/>
        </w:rPr>
        <w:t xml:space="preserve">Regulation </w:t>
      </w:r>
      <w:r w:rsidR="69A44CC3" w:rsidRPr="23D17CDB">
        <w:rPr>
          <w:noProof/>
          <w:lang w:val="en-IE"/>
        </w:rPr>
        <w:t>by</w:t>
      </w:r>
      <w:r w:rsidR="7FEB638D" w:rsidRPr="7CF1263D">
        <w:rPr>
          <w:noProof/>
          <w:lang w:val="en-IE"/>
        </w:rPr>
        <w:t xml:space="preserve"> </w:t>
      </w:r>
      <w:r w:rsidR="7FEB638D" w:rsidRPr="65997DB5">
        <w:rPr>
          <w:noProof/>
          <w:lang w:val="en-IE"/>
        </w:rPr>
        <w:t>establish</w:t>
      </w:r>
      <w:r w:rsidR="55FA5D19" w:rsidRPr="65997DB5">
        <w:rPr>
          <w:noProof/>
          <w:lang w:val="en-IE"/>
        </w:rPr>
        <w:t>ing</w:t>
      </w:r>
      <w:r w:rsidR="7FEB638D" w:rsidRPr="7CF1263D">
        <w:rPr>
          <w:noProof/>
          <w:lang w:val="en-IE"/>
        </w:rPr>
        <w:t xml:space="preserve"> the central scenarios pursuant to this Article.</w:t>
      </w:r>
      <w:r w:rsidR="2BDD7DAC" w:rsidRPr="4BB7C712">
        <w:rPr>
          <w:noProof/>
          <w:lang w:val="en-IE"/>
        </w:rPr>
        <w:t xml:space="preserve"> </w:t>
      </w:r>
      <w:r w:rsidR="002B227A" w:rsidRPr="00226D36">
        <w:rPr>
          <w:rStyle w:val="normaltextrun"/>
          <w:rFonts w:eastAsiaTheme="majorEastAsia"/>
          <w:noProof/>
          <w:lang w:val="en-IE"/>
        </w:rPr>
        <w:t xml:space="preserve">The Commission shall adopt the central scenario taking into account the comments from the TEN-E Group. </w:t>
      </w:r>
      <w:r w:rsidR="009A4AFE" w:rsidRPr="009A4AFE">
        <w:rPr>
          <w:noProof/>
          <w:lang w:val="en-IE"/>
        </w:rPr>
        <w:t xml:space="preserve"> </w:t>
      </w:r>
    </w:p>
    <w:bookmarkEnd w:id="18"/>
    <w:bookmarkEnd w:id="19"/>
    <w:p w14:paraId="4EAE8E34" w14:textId="140BCB70" w:rsidR="009A4AFE" w:rsidRPr="009A4AFE" w:rsidRDefault="00C44DD6" w:rsidP="00C44DD6">
      <w:pPr>
        <w:pStyle w:val="ManualNumPar1"/>
        <w:rPr>
          <w:noProof/>
          <w:lang w:val="en-IE"/>
        </w:rPr>
      </w:pPr>
      <w:r w:rsidRPr="00C44DD6">
        <w:rPr>
          <w:noProof/>
        </w:rPr>
        <w:t>7.</w:t>
      </w:r>
      <w:r w:rsidRPr="00C44DD6">
        <w:rPr>
          <w:noProof/>
        </w:rPr>
        <w:tab/>
      </w:r>
      <w:r w:rsidR="00CB49AE">
        <w:rPr>
          <w:noProof/>
          <w:lang w:val="en-IE"/>
        </w:rPr>
        <w:t xml:space="preserve">Following the publication of </w:t>
      </w:r>
      <w:r w:rsidR="00403A28" w:rsidRPr="009A4AFE">
        <w:rPr>
          <w:noProof/>
          <w:lang w:val="en-IE"/>
        </w:rPr>
        <w:t xml:space="preserve">the delegated act on the central scenario </w:t>
      </w:r>
      <w:r w:rsidR="00CB49AE">
        <w:rPr>
          <w:noProof/>
          <w:lang w:val="en-IE"/>
        </w:rPr>
        <w:t>the</w:t>
      </w:r>
      <w:r w:rsidR="009A4AFE" w:rsidRPr="009A4AFE">
        <w:rPr>
          <w:noProof/>
          <w:lang w:val="en-IE"/>
        </w:rPr>
        <w:t xml:space="preserve"> Commission shall publish the </w:t>
      </w:r>
      <w:r w:rsidR="00196FDF">
        <w:rPr>
          <w:noProof/>
          <w:lang w:val="en-IE"/>
        </w:rPr>
        <w:t xml:space="preserve">underlying </w:t>
      </w:r>
      <w:r w:rsidR="009A4AFE" w:rsidRPr="009A4AFE">
        <w:rPr>
          <w:noProof/>
          <w:lang w:val="en-IE"/>
        </w:rPr>
        <w:t xml:space="preserve">input and output data </w:t>
      </w:r>
      <w:r w:rsidR="00196FDF">
        <w:rPr>
          <w:noProof/>
          <w:lang w:val="en-IE"/>
        </w:rPr>
        <w:t xml:space="preserve">for </w:t>
      </w:r>
      <w:r w:rsidR="009A4AFE" w:rsidRPr="009A4AFE">
        <w:rPr>
          <w:noProof/>
          <w:lang w:val="en-IE"/>
        </w:rPr>
        <w:t>the central scenario, subject to restrictions under national law and relevant confidentiality agreements.</w:t>
      </w:r>
    </w:p>
    <w:p w14:paraId="19923650" w14:textId="4CB698AC" w:rsidR="00F57D00" w:rsidRDefault="00C44DD6" w:rsidP="00C44DD6">
      <w:pPr>
        <w:pStyle w:val="ManualNumPar1"/>
        <w:rPr>
          <w:noProof/>
          <w:lang w:val="en-IE"/>
        </w:rPr>
      </w:pPr>
      <w:r w:rsidRPr="00C44DD6">
        <w:rPr>
          <w:noProof/>
        </w:rPr>
        <w:t>8.</w:t>
      </w:r>
      <w:r w:rsidRPr="00C44DD6">
        <w:rPr>
          <w:noProof/>
        </w:rPr>
        <w:tab/>
      </w:r>
      <w:r w:rsidR="009A4AFE" w:rsidRPr="009A4AFE">
        <w:rPr>
          <w:noProof/>
          <w:lang w:val="en-IE"/>
        </w:rPr>
        <w:t xml:space="preserve">The Commission, taking into account the views of the Agency, the Member States, national regulatory authorities, and relevant stakeholders, may develop </w:t>
      </w:r>
      <w:r w:rsidR="009471BA">
        <w:rPr>
          <w:noProof/>
          <w:lang w:val="en-IE"/>
        </w:rPr>
        <w:t>sensitivity analyses</w:t>
      </w:r>
      <w:r w:rsidR="009A4AFE" w:rsidRPr="009A4AFE">
        <w:rPr>
          <w:noProof/>
          <w:lang w:val="en-IE"/>
        </w:rPr>
        <w:t xml:space="preserve"> to the central scenario if this is necessary based on market or policy developments. The Commission </w:t>
      </w:r>
      <w:r w:rsidR="00196FDF">
        <w:rPr>
          <w:noProof/>
          <w:lang w:val="en-IE"/>
        </w:rPr>
        <w:t>may</w:t>
      </w:r>
      <w:r w:rsidR="009A4AFE" w:rsidRPr="009A4AFE">
        <w:rPr>
          <w:noProof/>
          <w:lang w:val="en-IE"/>
        </w:rPr>
        <w:t xml:space="preserve"> </w:t>
      </w:r>
      <w:r w:rsidR="00D21E8F">
        <w:rPr>
          <w:noProof/>
          <w:lang w:val="en-IE"/>
        </w:rPr>
        <w:t>amend</w:t>
      </w:r>
      <w:r w:rsidR="009A4AFE" w:rsidRPr="009A4AFE">
        <w:rPr>
          <w:noProof/>
          <w:lang w:val="en-IE"/>
        </w:rPr>
        <w:t xml:space="preserve"> the delegated act referred to in paragraph </w:t>
      </w:r>
      <w:r w:rsidR="00EC4BA1">
        <w:rPr>
          <w:noProof/>
          <w:lang w:val="en-IE"/>
        </w:rPr>
        <w:t>6</w:t>
      </w:r>
      <w:r w:rsidR="009A4AFE" w:rsidRPr="009A4AFE">
        <w:rPr>
          <w:noProof/>
          <w:lang w:val="en-IE"/>
        </w:rPr>
        <w:t xml:space="preserve"> of this Article in order to include any such </w:t>
      </w:r>
      <w:r w:rsidR="00D76FAB">
        <w:rPr>
          <w:noProof/>
          <w:lang w:val="en-IE"/>
        </w:rPr>
        <w:t>sensitivity analyses</w:t>
      </w:r>
      <w:r w:rsidR="009A4AFE" w:rsidRPr="009A4AFE">
        <w:rPr>
          <w:noProof/>
          <w:lang w:val="en-IE"/>
        </w:rPr>
        <w:t xml:space="preserve">. </w:t>
      </w:r>
    </w:p>
    <w:p w14:paraId="193A513D" w14:textId="77777777" w:rsidR="000C2D0C" w:rsidRPr="000C2D0C" w:rsidRDefault="000C2D0C" w:rsidP="000C2D0C">
      <w:pPr>
        <w:pStyle w:val="Titrearticle"/>
        <w:rPr>
          <w:noProof/>
          <w:lang w:val="fr-BE"/>
        </w:rPr>
      </w:pPr>
      <w:r w:rsidRPr="000C2D0C">
        <w:rPr>
          <w:rStyle w:val="normaltextrun"/>
          <w:rFonts w:ascii="inherit" w:hAnsi="inherit"/>
          <w:iCs/>
          <w:noProof/>
          <w:color w:val="000000"/>
          <w:lang w:val="fr-BE"/>
        </w:rPr>
        <w:t>Article 12</w:t>
      </w:r>
    </w:p>
    <w:p w14:paraId="6D4B5125" w14:textId="77777777" w:rsidR="000C2D0C" w:rsidRPr="00AE58B8" w:rsidRDefault="000C2D0C" w:rsidP="00872170">
      <w:pPr>
        <w:pStyle w:val="Titrearticle"/>
        <w:rPr>
          <w:rStyle w:val="normaltextrun"/>
          <w:b/>
          <w:noProof/>
          <w:lang w:val="fr-FR"/>
        </w:rPr>
      </w:pPr>
      <w:r w:rsidRPr="00AE58B8">
        <w:rPr>
          <w:rStyle w:val="normaltextrun"/>
          <w:b/>
          <w:noProof/>
          <w:lang w:val="fr-FR"/>
        </w:rPr>
        <w:t>Infrastructure needs identification</w:t>
      </w:r>
      <w:r w:rsidR="00F86D3C" w:rsidRPr="00AE58B8">
        <w:rPr>
          <w:rStyle w:val="normaltextrun"/>
          <w:b/>
          <w:bCs/>
          <w:noProof/>
          <w:lang w:val="fr-FR"/>
        </w:rPr>
        <w:t xml:space="preserve"> r</w:t>
      </w:r>
      <w:r w:rsidR="00F86D3C">
        <w:rPr>
          <w:rStyle w:val="normaltextrun"/>
          <w:b/>
          <w:bCs/>
          <w:noProof/>
          <w:lang w:val="fr-FR"/>
        </w:rPr>
        <w:t>eport</w:t>
      </w:r>
    </w:p>
    <w:p w14:paraId="7D74FD49" w14:textId="3214380A" w:rsidR="000C2D0C" w:rsidRPr="0015709A" w:rsidRDefault="00C44DD6" w:rsidP="00C44DD6">
      <w:pPr>
        <w:pStyle w:val="ManualNumPar1"/>
        <w:rPr>
          <w:noProof/>
          <w:lang w:val="en-IE"/>
        </w:rPr>
      </w:pPr>
      <w:r w:rsidRPr="00C44DD6">
        <w:rPr>
          <w:noProof/>
        </w:rPr>
        <w:t>1.</w:t>
      </w:r>
      <w:r w:rsidRPr="00C44DD6">
        <w:rPr>
          <w:noProof/>
        </w:rPr>
        <w:tab/>
      </w:r>
      <w:r w:rsidR="00A1123A">
        <w:rPr>
          <w:noProof/>
          <w:lang w:val="en-IE"/>
        </w:rPr>
        <w:t>T</w:t>
      </w:r>
      <w:r w:rsidR="000C2D0C" w:rsidRPr="0015709A">
        <w:rPr>
          <w:noProof/>
          <w:lang w:val="en-IE"/>
        </w:rPr>
        <w:t>he ENTSO for Electricity and the ENNOH respectively, shall develop an infrastructure needs identification report</w:t>
      </w:r>
      <w:r w:rsidR="00271304">
        <w:rPr>
          <w:noProof/>
          <w:lang w:val="en-IE"/>
        </w:rPr>
        <w:t xml:space="preserve"> </w:t>
      </w:r>
      <w:r w:rsidR="00271304" w:rsidRPr="00271304">
        <w:rPr>
          <w:noProof/>
          <w:lang w:val="en-IE"/>
        </w:rPr>
        <w:t>to identify infrastructure gaps affecting the Union’s objectives related to electricity and hydrogen</w:t>
      </w:r>
      <w:r w:rsidR="000C2D0C" w:rsidRPr="0015709A">
        <w:rPr>
          <w:noProof/>
          <w:lang w:val="en-IE"/>
        </w:rPr>
        <w:t>.</w:t>
      </w:r>
    </w:p>
    <w:p w14:paraId="0C25DBAC" w14:textId="3BD33E92" w:rsidR="00643FF0" w:rsidRDefault="00C44DD6" w:rsidP="00C44DD6">
      <w:pPr>
        <w:pStyle w:val="ManualNumPar1"/>
        <w:rPr>
          <w:noProof/>
          <w:lang w:val="en-IE"/>
        </w:rPr>
      </w:pPr>
      <w:r w:rsidRPr="00C44DD6">
        <w:rPr>
          <w:noProof/>
        </w:rPr>
        <w:t>2.</w:t>
      </w:r>
      <w:r w:rsidRPr="00C44DD6">
        <w:rPr>
          <w:noProof/>
        </w:rPr>
        <w:tab/>
      </w:r>
      <w:r w:rsidR="000C2D0C" w:rsidRPr="00C7528D">
        <w:rPr>
          <w:noProof/>
          <w:lang w:val="en-IE"/>
        </w:rPr>
        <w:t>The infrastructure needs identification reports shall</w:t>
      </w:r>
      <w:r w:rsidR="0043290F">
        <w:rPr>
          <w:noProof/>
          <w:lang w:val="en-IE"/>
        </w:rPr>
        <w:t>:</w:t>
      </w:r>
    </w:p>
    <w:p w14:paraId="23691C98" w14:textId="6C8B6CA1" w:rsidR="00643FF0" w:rsidRPr="003A63CF" w:rsidRDefault="00C44DD6" w:rsidP="00C44DD6">
      <w:pPr>
        <w:pStyle w:val="Point1"/>
        <w:rPr>
          <w:noProof/>
          <w:lang w:val="en-IE"/>
        </w:rPr>
      </w:pPr>
      <w:r w:rsidRPr="00C44DD6">
        <w:rPr>
          <w:noProof/>
        </w:rPr>
        <w:t>(a)</w:t>
      </w:r>
      <w:r w:rsidRPr="00C44DD6">
        <w:rPr>
          <w:noProof/>
        </w:rPr>
        <w:tab/>
      </w:r>
      <w:r w:rsidR="000C2D0C" w:rsidRPr="003A63CF">
        <w:rPr>
          <w:noProof/>
          <w:lang w:val="en-IE"/>
        </w:rPr>
        <w:t xml:space="preserve">be based on the central scenario developed by the Commission in </w:t>
      </w:r>
      <w:r w:rsidR="00C94F4C">
        <w:rPr>
          <w:noProof/>
          <w:lang w:val="en-IE"/>
        </w:rPr>
        <w:t>accordance</w:t>
      </w:r>
      <w:r w:rsidR="000C2D0C" w:rsidRPr="003A63CF">
        <w:rPr>
          <w:noProof/>
          <w:lang w:val="en-IE"/>
        </w:rPr>
        <w:t xml:space="preserve"> with Article 11 and its </w:t>
      </w:r>
      <w:r w:rsidR="009471BA" w:rsidRPr="003A63CF">
        <w:rPr>
          <w:noProof/>
          <w:lang w:val="en-IE"/>
        </w:rPr>
        <w:t>sensitivity analyses</w:t>
      </w:r>
      <w:r w:rsidR="00643FF0" w:rsidRPr="003A63CF">
        <w:rPr>
          <w:noProof/>
          <w:lang w:val="en-IE"/>
        </w:rPr>
        <w:t>;</w:t>
      </w:r>
      <w:r w:rsidR="000C2D0C" w:rsidRPr="003A63CF">
        <w:rPr>
          <w:noProof/>
          <w:lang w:val="en-IE"/>
        </w:rPr>
        <w:t xml:space="preserve"> </w:t>
      </w:r>
    </w:p>
    <w:p w14:paraId="127AB529" w14:textId="5945F9C2" w:rsidR="00F958E1" w:rsidRDefault="00C44DD6" w:rsidP="00C44DD6">
      <w:pPr>
        <w:pStyle w:val="Point1"/>
        <w:rPr>
          <w:noProof/>
          <w:lang w:val="en-IE"/>
        </w:rPr>
      </w:pPr>
      <w:r w:rsidRPr="00C44DD6">
        <w:rPr>
          <w:noProof/>
        </w:rPr>
        <w:t>(b)</w:t>
      </w:r>
      <w:r w:rsidRPr="00C44DD6">
        <w:rPr>
          <w:noProof/>
        </w:rPr>
        <w:tab/>
      </w:r>
      <w:r w:rsidR="000C2D0C" w:rsidRPr="00C7528D">
        <w:rPr>
          <w:noProof/>
          <w:lang w:val="en-IE"/>
        </w:rPr>
        <w:t xml:space="preserve">comply with the methodology developed by the Agency pursuant to paragraph </w:t>
      </w:r>
      <w:r w:rsidR="00F81C76">
        <w:rPr>
          <w:noProof/>
          <w:lang w:val="en-IE"/>
        </w:rPr>
        <w:t>11</w:t>
      </w:r>
      <w:r w:rsidR="00F958E1">
        <w:rPr>
          <w:noProof/>
          <w:lang w:val="en-IE"/>
        </w:rPr>
        <w:t>;</w:t>
      </w:r>
    </w:p>
    <w:p w14:paraId="08849361" w14:textId="525D1D9D" w:rsidR="004E3403" w:rsidRDefault="00C44DD6" w:rsidP="00C44DD6">
      <w:pPr>
        <w:pStyle w:val="Point1"/>
        <w:rPr>
          <w:noProof/>
          <w:lang w:val="en-IE"/>
        </w:rPr>
      </w:pPr>
      <w:r w:rsidRPr="00C44DD6">
        <w:rPr>
          <w:noProof/>
        </w:rPr>
        <w:t>(c)</w:t>
      </w:r>
      <w:r w:rsidRPr="00C44DD6">
        <w:rPr>
          <w:noProof/>
        </w:rPr>
        <w:tab/>
      </w:r>
      <w:r w:rsidR="008E3B8F">
        <w:rPr>
          <w:noProof/>
          <w:lang w:val="en-IE"/>
        </w:rPr>
        <w:t>comply with</w:t>
      </w:r>
      <w:r w:rsidR="000C2D0C" w:rsidRPr="00C7528D">
        <w:rPr>
          <w:noProof/>
          <w:lang w:val="en-IE"/>
        </w:rPr>
        <w:t xml:space="preserve"> the principles laid down in Annex VII of this Regulation</w:t>
      </w:r>
      <w:r w:rsidR="004E3403">
        <w:rPr>
          <w:noProof/>
          <w:lang w:val="en-IE"/>
        </w:rPr>
        <w:t xml:space="preserve">; </w:t>
      </w:r>
    </w:p>
    <w:p w14:paraId="6116AD87" w14:textId="71C5F536" w:rsidR="000C2D0C" w:rsidRPr="00C7528D" w:rsidRDefault="00C44DD6" w:rsidP="00C44DD6">
      <w:pPr>
        <w:pStyle w:val="Point1"/>
        <w:rPr>
          <w:noProof/>
          <w:lang w:val="en-IE"/>
        </w:rPr>
      </w:pPr>
      <w:r w:rsidRPr="00C44DD6">
        <w:rPr>
          <w:noProof/>
        </w:rPr>
        <w:t>(d)</w:t>
      </w:r>
      <w:r w:rsidRPr="00C44DD6">
        <w:rPr>
          <w:noProof/>
        </w:rPr>
        <w:tab/>
      </w:r>
      <w:r w:rsidR="000C2D0C" w:rsidRPr="00C7528D">
        <w:rPr>
          <w:noProof/>
          <w:lang w:val="en-IE"/>
        </w:rPr>
        <w:t xml:space="preserve">ensure a cross-sectoral approach </w:t>
      </w:r>
      <w:r w:rsidR="00131414" w:rsidRPr="00E2085E">
        <w:rPr>
          <w:noProof/>
        </w:rPr>
        <w:t>ensuring consistency between</w:t>
      </w:r>
      <w:r w:rsidR="00131414" w:rsidRPr="00C7528D">
        <w:rPr>
          <w:noProof/>
          <w:lang w:val="en-IE"/>
        </w:rPr>
        <w:t xml:space="preserve"> </w:t>
      </w:r>
      <w:r w:rsidR="000C2D0C" w:rsidRPr="00C7528D">
        <w:rPr>
          <w:noProof/>
          <w:lang w:val="en-IE"/>
        </w:rPr>
        <w:t>the electricity and hydrogen sectors as well as, where applicable, gas, district heating and CO</w:t>
      </w:r>
      <w:r w:rsidR="000C2D0C" w:rsidRPr="004D60A9">
        <w:rPr>
          <w:noProof/>
          <w:vertAlign w:val="subscript"/>
          <w:lang w:val="en-IE"/>
        </w:rPr>
        <w:t>2</w:t>
      </w:r>
      <w:r w:rsidR="000C2D0C" w:rsidRPr="00C7528D">
        <w:rPr>
          <w:noProof/>
          <w:lang w:val="en-IE"/>
        </w:rPr>
        <w:t xml:space="preserve"> sectors.</w:t>
      </w:r>
    </w:p>
    <w:p w14:paraId="3E0C0436" w14:textId="782D0281" w:rsidR="000C2D0C" w:rsidRPr="00C7528D" w:rsidRDefault="00C44DD6" w:rsidP="00C44DD6">
      <w:pPr>
        <w:pStyle w:val="ManualNumPar1"/>
        <w:rPr>
          <w:noProof/>
          <w:lang w:val="en-IE"/>
        </w:rPr>
      </w:pPr>
      <w:r w:rsidRPr="00C44DD6">
        <w:rPr>
          <w:noProof/>
        </w:rPr>
        <w:t>3.</w:t>
      </w:r>
      <w:r w:rsidRPr="00C44DD6">
        <w:rPr>
          <w:noProof/>
        </w:rPr>
        <w:tab/>
      </w:r>
      <w:r w:rsidR="000C2D0C" w:rsidRPr="00C7528D">
        <w:rPr>
          <w:noProof/>
          <w:lang w:val="en-IE"/>
        </w:rPr>
        <w:t xml:space="preserve">The ENTSO for Electricity </w:t>
      </w:r>
      <w:r w:rsidR="0051199E">
        <w:rPr>
          <w:noProof/>
          <w:lang w:val="en-IE"/>
        </w:rPr>
        <w:t>and</w:t>
      </w:r>
      <w:r w:rsidR="0051199E" w:rsidRPr="00C7528D">
        <w:rPr>
          <w:noProof/>
          <w:lang w:val="en-IE"/>
        </w:rPr>
        <w:t xml:space="preserve"> </w:t>
      </w:r>
      <w:r w:rsidR="000C2D0C" w:rsidRPr="00C7528D">
        <w:rPr>
          <w:noProof/>
          <w:lang w:val="en-IE"/>
        </w:rPr>
        <w:t>the ENNOH</w:t>
      </w:r>
      <w:r w:rsidR="0051199E">
        <w:rPr>
          <w:noProof/>
          <w:lang w:val="en-IE"/>
        </w:rPr>
        <w:t>, respectively,</w:t>
      </w:r>
      <w:r w:rsidR="000C2D0C" w:rsidRPr="00C7528D">
        <w:rPr>
          <w:noProof/>
          <w:lang w:val="en-IE"/>
        </w:rPr>
        <w:t xml:space="preserve"> shall consult </w:t>
      </w:r>
      <w:r w:rsidR="0051199E">
        <w:rPr>
          <w:noProof/>
          <w:lang w:val="en-IE"/>
        </w:rPr>
        <w:t>relevant</w:t>
      </w:r>
      <w:r w:rsidR="000C2D0C" w:rsidRPr="00C7528D">
        <w:rPr>
          <w:noProof/>
          <w:lang w:val="en-IE"/>
        </w:rPr>
        <w:t xml:space="preserve"> stakeholders on the additional data</w:t>
      </w:r>
      <w:r w:rsidR="000C2D0C" w:rsidRPr="30258028">
        <w:rPr>
          <w:noProof/>
          <w:lang w:val="en-IE"/>
        </w:rPr>
        <w:t>,</w:t>
      </w:r>
      <w:r w:rsidR="000C2D0C" w:rsidRPr="00C7528D">
        <w:rPr>
          <w:noProof/>
          <w:lang w:val="en-IE"/>
        </w:rPr>
        <w:t xml:space="preserve"> assumptions and their use for the development of the</w:t>
      </w:r>
      <w:r w:rsidR="0051199E">
        <w:rPr>
          <w:noProof/>
          <w:lang w:val="en-IE"/>
        </w:rPr>
        <w:t>ir</w:t>
      </w:r>
      <w:r w:rsidR="000C2D0C" w:rsidRPr="00C7528D">
        <w:rPr>
          <w:noProof/>
          <w:lang w:val="en-IE"/>
        </w:rPr>
        <w:t xml:space="preserve"> infrastructure needs identification report. </w:t>
      </w:r>
    </w:p>
    <w:p w14:paraId="6E0A623B" w14:textId="27836E59" w:rsidR="000C2D0C" w:rsidRPr="00C7528D" w:rsidRDefault="00C44DD6" w:rsidP="00C44DD6">
      <w:pPr>
        <w:pStyle w:val="ManualNumPar1"/>
        <w:rPr>
          <w:noProof/>
          <w:lang w:val="en-IE"/>
        </w:rPr>
      </w:pPr>
      <w:r w:rsidRPr="00C44DD6">
        <w:rPr>
          <w:noProof/>
        </w:rPr>
        <w:t>4.</w:t>
      </w:r>
      <w:r w:rsidRPr="00C44DD6">
        <w:rPr>
          <w:noProof/>
        </w:rPr>
        <w:tab/>
      </w:r>
      <w:r w:rsidR="000C2D0C" w:rsidRPr="00C7528D">
        <w:rPr>
          <w:noProof/>
          <w:lang w:val="en-IE"/>
        </w:rPr>
        <w:t xml:space="preserve">Within </w:t>
      </w:r>
      <w:r w:rsidR="00F6122B">
        <w:rPr>
          <w:noProof/>
          <w:lang w:val="en-IE"/>
        </w:rPr>
        <w:t>six</w:t>
      </w:r>
      <w:r w:rsidR="00F6122B" w:rsidRPr="00C7528D">
        <w:rPr>
          <w:noProof/>
          <w:lang w:val="en-IE"/>
        </w:rPr>
        <w:t xml:space="preserve"> </w:t>
      </w:r>
      <w:r w:rsidR="000C2D0C" w:rsidRPr="00C7528D">
        <w:rPr>
          <w:noProof/>
          <w:lang w:val="en-IE"/>
        </w:rPr>
        <w:t xml:space="preserve">months of the publication of </w:t>
      </w:r>
      <w:r w:rsidR="00050D9C">
        <w:rPr>
          <w:noProof/>
          <w:lang w:val="en-IE"/>
        </w:rPr>
        <w:t>a</w:t>
      </w:r>
      <w:r w:rsidR="00050D9C" w:rsidRPr="00C7528D">
        <w:rPr>
          <w:noProof/>
          <w:lang w:val="en-IE"/>
        </w:rPr>
        <w:t xml:space="preserve"> </w:t>
      </w:r>
      <w:r w:rsidR="000C2D0C" w:rsidRPr="00C7528D">
        <w:rPr>
          <w:noProof/>
          <w:lang w:val="en-IE"/>
        </w:rPr>
        <w:t xml:space="preserve">central scenario pursuant to Article 11, </w:t>
      </w:r>
      <w:r w:rsidR="00FA4E46" w:rsidRPr="00FA4E46">
        <w:rPr>
          <w:noProof/>
          <w:lang w:val="en-IE"/>
        </w:rPr>
        <w:t>except where the publication is limited to adding a sensitivity analysis</w:t>
      </w:r>
      <w:r w:rsidR="00961D8F">
        <w:rPr>
          <w:noProof/>
          <w:lang w:val="en-IE"/>
        </w:rPr>
        <w:t>,</w:t>
      </w:r>
      <w:r w:rsidR="00FA4E46" w:rsidRPr="00FA4E46">
        <w:rPr>
          <w:noProof/>
          <w:lang w:val="en-IE"/>
        </w:rPr>
        <w:t xml:space="preserve"> </w:t>
      </w:r>
      <w:r w:rsidR="000C2D0C" w:rsidRPr="00C7528D">
        <w:rPr>
          <w:noProof/>
          <w:lang w:val="en-IE"/>
        </w:rPr>
        <w:t xml:space="preserve">the ENTSO for Electricity and the ENNOH shall submit their respective draft infrastructure needs identification report, including the assessment of how projects </w:t>
      </w:r>
      <w:r w:rsidR="00050D9C">
        <w:rPr>
          <w:noProof/>
          <w:lang w:val="en-IE"/>
        </w:rPr>
        <w:t>submitted for inclusion</w:t>
      </w:r>
      <w:r w:rsidR="000C2D0C" w:rsidRPr="00C7528D">
        <w:rPr>
          <w:noProof/>
          <w:lang w:val="en-IE"/>
        </w:rPr>
        <w:t xml:space="preserve"> </w:t>
      </w:r>
      <w:r w:rsidR="004D7151" w:rsidRPr="004D7151">
        <w:rPr>
          <w:noProof/>
          <w:lang w:val="en-IE"/>
        </w:rPr>
        <w:t>in the Union wide ten-year network development plan</w:t>
      </w:r>
      <w:r w:rsidR="000C2D0C" w:rsidRPr="00C7528D">
        <w:rPr>
          <w:noProof/>
          <w:lang w:val="en-IE"/>
        </w:rPr>
        <w:t xml:space="preserve"> match the needs identified, to the TEN-E Group. </w:t>
      </w:r>
      <w:r w:rsidR="00EC654C" w:rsidRPr="00EC654C">
        <w:rPr>
          <w:noProof/>
          <w:lang w:val="en-IE"/>
        </w:rPr>
        <w:t xml:space="preserve">In case the publication is limited to adding a sensitivity analysis, the Commission may request the ENTSO for Electricity and the ENNOH to develop a new infrastructure needs identification report in </w:t>
      </w:r>
      <w:r w:rsidR="00326106">
        <w:rPr>
          <w:noProof/>
          <w:lang w:val="en-IE"/>
        </w:rPr>
        <w:t>accordance</w:t>
      </w:r>
      <w:r w:rsidR="00EC654C" w:rsidRPr="00EC654C">
        <w:rPr>
          <w:noProof/>
          <w:lang w:val="en-IE"/>
        </w:rPr>
        <w:t xml:space="preserve"> with the procedure </w:t>
      </w:r>
      <w:r w:rsidR="00980391">
        <w:rPr>
          <w:noProof/>
          <w:lang w:val="en-IE"/>
        </w:rPr>
        <w:t xml:space="preserve">laid down </w:t>
      </w:r>
      <w:r w:rsidR="00EC654C" w:rsidRPr="00EC654C">
        <w:rPr>
          <w:noProof/>
          <w:lang w:val="en-IE"/>
        </w:rPr>
        <w:t>in this Article.</w:t>
      </w:r>
    </w:p>
    <w:p w14:paraId="1F6770BD" w14:textId="6BA802E1" w:rsidR="000C2D0C" w:rsidRPr="00C7528D" w:rsidRDefault="00C44DD6" w:rsidP="00C44DD6">
      <w:pPr>
        <w:pStyle w:val="ManualNumPar1"/>
        <w:rPr>
          <w:noProof/>
          <w:lang w:val="en-IE"/>
        </w:rPr>
      </w:pPr>
      <w:r w:rsidRPr="00C44DD6">
        <w:rPr>
          <w:noProof/>
        </w:rPr>
        <w:t>5.</w:t>
      </w:r>
      <w:r w:rsidRPr="00C44DD6">
        <w:rPr>
          <w:noProof/>
        </w:rPr>
        <w:tab/>
      </w:r>
      <w:r w:rsidR="00F56738" w:rsidRPr="00F56738">
        <w:rPr>
          <w:noProof/>
          <w:lang w:val="en-IE"/>
        </w:rPr>
        <w:t>Within two months of receipt of the draft infrastructure needs identification reports</w:t>
      </w:r>
      <w:r w:rsidR="009D675A">
        <w:rPr>
          <w:noProof/>
          <w:lang w:val="en-IE"/>
        </w:rPr>
        <w:t xml:space="preserve"> by the TEN-E Group</w:t>
      </w:r>
      <w:r w:rsidR="00F56738">
        <w:rPr>
          <w:noProof/>
          <w:lang w:val="en-IE"/>
        </w:rPr>
        <w:t>,</w:t>
      </w:r>
      <w:r w:rsidR="00F56738" w:rsidRPr="00F56738">
        <w:rPr>
          <w:noProof/>
          <w:lang w:val="en-IE"/>
        </w:rPr>
        <w:t xml:space="preserve"> </w:t>
      </w:r>
      <w:r w:rsidR="00F56738">
        <w:rPr>
          <w:noProof/>
          <w:lang w:val="en-IE"/>
        </w:rPr>
        <w:t>t</w:t>
      </w:r>
      <w:r w:rsidR="000C2D0C" w:rsidRPr="00C7528D">
        <w:rPr>
          <w:noProof/>
          <w:lang w:val="en-IE"/>
        </w:rPr>
        <w:t>he Agency shall assess compliance of the draft infrastructure needs identification</w:t>
      </w:r>
      <w:r w:rsidR="00DF6FD9">
        <w:rPr>
          <w:noProof/>
          <w:lang w:val="en-IE"/>
        </w:rPr>
        <w:t xml:space="preserve"> reports</w:t>
      </w:r>
      <w:r w:rsidR="000C2D0C" w:rsidRPr="00C7528D">
        <w:rPr>
          <w:noProof/>
          <w:lang w:val="en-IE"/>
        </w:rPr>
        <w:t xml:space="preserve">, including the assessment to what extent projects </w:t>
      </w:r>
      <w:r w:rsidR="00080DCD">
        <w:rPr>
          <w:noProof/>
          <w:lang w:val="en-IE"/>
        </w:rPr>
        <w:t xml:space="preserve">submitted for inclusion </w:t>
      </w:r>
      <w:r w:rsidR="00080DCD" w:rsidRPr="004D7151">
        <w:rPr>
          <w:noProof/>
          <w:lang w:val="en-IE"/>
        </w:rPr>
        <w:t>in the Union wide ten-year network development plan</w:t>
      </w:r>
      <w:r w:rsidR="000C2D0C" w:rsidRPr="00C7528D">
        <w:rPr>
          <w:noProof/>
          <w:lang w:val="en-IE"/>
        </w:rPr>
        <w:t xml:space="preserve"> match the needs identified, with the methodology referred to in paragraph </w:t>
      </w:r>
      <w:r w:rsidR="00805A8A">
        <w:rPr>
          <w:noProof/>
          <w:lang w:val="en-IE"/>
        </w:rPr>
        <w:t>1</w:t>
      </w:r>
      <w:r w:rsidR="00565569">
        <w:rPr>
          <w:noProof/>
          <w:lang w:val="en-IE"/>
        </w:rPr>
        <w:t>2</w:t>
      </w:r>
      <w:r w:rsidR="00080DCD" w:rsidRPr="00C7528D">
        <w:rPr>
          <w:noProof/>
          <w:lang w:val="en-IE"/>
        </w:rPr>
        <w:t xml:space="preserve"> </w:t>
      </w:r>
      <w:r w:rsidR="000C2D0C" w:rsidRPr="00C7528D">
        <w:rPr>
          <w:noProof/>
          <w:lang w:val="en-IE"/>
        </w:rPr>
        <w:t xml:space="preserve">and the principles set out in Annex VII and inform the TEN-E Group. </w:t>
      </w:r>
    </w:p>
    <w:p w14:paraId="5E5CCD83" w14:textId="786C3E89" w:rsidR="008F50BB" w:rsidRDefault="00C44DD6" w:rsidP="00C44DD6">
      <w:pPr>
        <w:pStyle w:val="ManualNumPar1"/>
        <w:rPr>
          <w:noProof/>
          <w:lang w:val="en-IE"/>
        </w:rPr>
      </w:pPr>
      <w:r w:rsidRPr="00C44DD6">
        <w:rPr>
          <w:noProof/>
        </w:rPr>
        <w:t>6.</w:t>
      </w:r>
      <w:r w:rsidRPr="00C44DD6">
        <w:rPr>
          <w:noProof/>
        </w:rPr>
        <w:tab/>
      </w:r>
      <w:r w:rsidR="0096230E" w:rsidRPr="0096230E">
        <w:rPr>
          <w:noProof/>
          <w:lang w:val="en-IE"/>
        </w:rPr>
        <w:t xml:space="preserve">Within </w:t>
      </w:r>
      <w:r w:rsidR="0050779A">
        <w:rPr>
          <w:noProof/>
          <w:lang w:val="en-IE"/>
        </w:rPr>
        <w:t>one</w:t>
      </w:r>
      <w:r w:rsidR="0096230E" w:rsidRPr="0096230E">
        <w:rPr>
          <w:noProof/>
          <w:lang w:val="en-IE"/>
        </w:rPr>
        <w:t xml:space="preserve"> month of being informed by the Agency about the compliance of the draft</w:t>
      </w:r>
      <w:r w:rsidR="00565569">
        <w:rPr>
          <w:noProof/>
          <w:lang w:val="en-IE"/>
        </w:rPr>
        <w:t xml:space="preserve"> infrastructure</w:t>
      </w:r>
      <w:r w:rsidR="0096230E" w:rsidRPr="0096230E">
        <w:rPr>
          <w:noProof/>
          <w:lang w:val="en-IE"/>
        </w:rPr>
        <w:t xml:space="preserve"> needs identification report</w:t>
      </w:r>
      <w:r w:rsidR="00D4019A">
        <w:rPr>
          <w:noProof/>
          <w:lang w:val="en-IE"/>
        </w:rPr>
        <w:t>s</w:t>
      </w:r>
      <w:r w:rsidR="00AD31E7">
        <w:rPr>
          <w:noProof/>
          <w:lang w:val="en-IE"/>
        </w:rPr>
        <w:t>,</w:t>
      </w:r>
      <w:r w:rsidR="0096230E" w:rsidRPr="0096230E">
        <w:rPr>
          <w:noProof/>
          <w:lang w:val="en-IE"/>
        </w:rPr>
        <w:t xml:space="preserve"> </w:t>
      </w:r>
      <w:r w:rsidR="00AD31E7">
        <w:rPr>
          <w:noProof/>
          <w:lang w:val="en-IE"/>
        </w:rPr>
        <w:t>t</w:t>
      </w:r>
      <w:r w:rsidR="000C2D0C" w:rsidRPr="00C7528D">
        <w:rPr>
          <w:noProof/>
          <w:lang w:val="en-IE"/>
        </w:rPr>
        <w:t xml:space="preserve">he TEN-E Group members, taking into account the Agency’s input on compliance, may deliver their comments </w:t>
      </w:r>
      <w:r w:rsidR="00C73868">
        <w:rPr>
          <w:noProof/>
          <w:lang w:val="en-IE"/>
        </w:rPr>
        <w:t>and inform the ENTSO for Electricity and the ENNOH respectively</w:t>
      </w:r>
      <w:r w:rsidR="000C2D0C" w:rsidRPr="00C7528D">
        <w:rPr>
          <w:noProof/>
          <w:lang w:val="en-IE"/>
        </w:rPr>
        <w:t xml:space="preserve">. </w:t>
      </w:r>
    </w:p>
    <w:p w14:paraId="2945060A" w14:textId="652931E6" w:rsidR="000C2D0C" w:rsidRPr="00C7528D" w:rsidRDefault="00C44DD6" w:rsidP="00C44DD6">
      <w:pPr>
        <w:pStyle w:val="ManualNumPar1"/>
        <w:rPr>
          <w:noProof/>
          <w:lang w:val="en-IE"/>
        </w:rPr>
      </w:pPr>
      <w:r w:rsidRPr="00C44DD6">
        <w:rPr>
          <w:noProof/>
        </w:rPr>
        <w:t>7.</w:t>
      </w:r>
      <w:r w:rsidRPr="00C44DD6">
        <w:rPr>
          <w:noProof/>
        </w:rPr>
        <w:tab/>
      </w:r>
      <w:r w:rsidR="00DA731B">
        <w:rPr>
          <w:noProof/>
          <w:lang w:val="en-IE"/>
        </w:rPr>
        <w:t>Wi</w:t>
      </w:r>
      <w:r w:rsidR="0050779A">
        <w:rPr>
          <w:noProof/>
          <w:lang w:val="en-IE"/>
        </w:rPr>
        <w:t>thin two months of having received the comments from the TEN-E Group members, t</w:t>
      </w:r>
      <w:r w:rsidR="000C2D0C" w:rsidRPr="00C7528D">
        <w:rPr>
          <w:noProof/>
          <w:lang w:val="en-IE"/>
        </w:rPr>
        <w:t>he ENTSO for Electricity and the ENNOH shall adapt the draft infrastructure needs identification reports</w:t>
      </w:r>
      <w:r w:rsidR="00D0135F">
        <w:rPr>
          <w:noProof/>
          <w:lang w:val="en-IE"/>
        </w:rPr>
        <w:t xml:space="preserve">, </w:t>
      </w:r>
      <w:r w:rsidR="00D0135F" w:rsidRPr="00D0135F">
        <w:rPr>
          <w:noProof/>
          <w:lang w:val="en-IE"/>
        </w:rPr>
        <w:t>taking into account the comments of the TEN-E Group and the Agency,</w:t>
      </w:r>
      <w:r w:rsidR="000C2D0C" w:rsidRPr="00C7528D">
        <w:rPr>
          <w:noProof/>
          <w:lang w:val="en-IE"/>
        </w:rPr>
        <w:t xml:space="preserve"> to ensure full compliance with the </w:t>
      </w:r>
      <w:r w:rsidR="00D0135F">
        <w:rPr>
          <w:noProof/>
          <w:lang w:val="en-IE"/>
        </w:rPr>
        <w:t>requirements in paragraph 2</w:t>
      </w:r>
      <w:r w:rsidR="00EF50AB">
        <w:rPr>
          <w:noProof/>
          <w:lang w:val="en-IE"/>
        </w:rPr>
        <w:t>,</w:t>
      </w:r>
      <w:r w:rsidR="00D0135F">
        <w:rPr>
          <w:noProof/>
          <w:lang w:val="en-IE"/>
        </w:rPr>
        <w:t xml:space="preserve"> </w:t>
      </w:r>
      <w:r w:rsidR="000C2D0C" w:rsidRPr="00C7528D">
        <w:rPr>
          <w:noProof/>
          <w:lang w:val="en-IE"/>
        </w:rPr>
        <w:t xml:space="preserve">and shall submit the final infrastructure identification report to the Commission. </w:t>
      </w:r>
    </w:p>
    <w:p w14:paraId="5805733D" w14:textId="0D788F96" w:rsidR="000C2D0C" w:rsidRPr="001A10EC" w:rsidRDefault="00C44DD6" w:rsidP="00C44DD6">
      <w:pPr>
        <w:pStyle w:val="ManualNumPar1"/>
        <w:rPr>
          <w:rStyle w:val="normaltextrun"/>
          <w:noProof/>
          <w:color w:val="000000"/>
        </w:rPr>
      </w:pPr>
      <w:r w:rsidRPr="00C44DD6">
        <w:rPr>
          <w:rStyle w:val="normaltextrun"/>
          <w:noProof/>
        </w:rPr>
        <w:t>8.</w:t>
      </w:r>
      <w:r w:rsidRPr="00C44DD6">
        <w:rPr>
          <w:rStyle w:val="normaltextrun"/>
          <w:noProof/>
        </w:rPr>
        <w:tab/>
      </w:r>
      <w:r w:rsidR="00800726" w:rsidRPr="004D60A9">
        <w:rPr>
          <w:rStyle w:val="normaltextrun"/>
          <w:noProof/>
        </w:rPr>
        <w:t xml:space="preserve">The Commission shall submit the final draft infrastructure </w:t>
      </w:r>
      <w:r w:rsidR="00565569">
        <w:rPr>
          <w:rStyle w:val="normaltextrun"/>
          <w:noProof/>
        </w:rPr>
        <w:t xml:space="preserve">needs </w:t>
      </w:r>
      <w:r w:rsidR="00426FBF">
        <w:rPr>
          <w:rStyle w:val="normaltextrun"/>
          <w:noProof/>
        </w:rPr>
        <w:t xml:space="preserve">identification </w:t>
      </w:r>
      <w:r w:rsidR="00800726" w:rsidRPr="004D60A9">
        <w:rPr>
          <w:rStyle w:val="normaltextrun"/>
          <w:noProof/>
        </w:rPr>
        <w:t xml:space="preserve">report to the decision-making body of the TEN-E Group for endorsement. Before </w:t>
      </w:r>
      <w:r w:rsidR="00CB2794" w:rsidRPr="004D60A9">
        <w:rPr>
          <w:rStyle w:val="normaltextrun"/>
          <w:noProof/>
        </w:rPr>
        <w:t xml:space="preserve">submitting the final draft </w:t>
      </w:r>
      <w:r w:rsidR="00760B2B" w:rsidRPr="004D60A9">
        <w:rPr>
          <w:rStyle w:val="normaltextrun"/>
          <w:noProof/>
        </w:rPr>
        <w:t>infrastructure</w:t>
      </w:r>
      <w:r w:rsidR="00426FBF">
        <w:rPr>
          <w:rStyle w:val="normaltextrun"/>
          <w:noProof/>
        </w:rPr>
        <w:t xml:space="preserve"> needs identification</w:t>
      </w:r>
      <w:r w:rsidR="00760B2B" w:rsidRPr="004D60A9">
        <w:rPr>
          <w:rStyle w:val="normaltextrun"/>
          <w:noProof/>
        </w:rPr>
        <w:t xml:space="preserve"> reports to the decision-making body of the TEN-E Group,</w:t>
      </w:r>
      <w:r w:rsidR="00F52BFB">
        <w:rPr>
          <w:rStyle w:val="normaltextrun"/>
          <w:noProof/>
        </w:rPr>
        <w:t xml:space="preserve"> </w:t>
      </w:r>
      <w:r w:rsidR="00760B2B" w:rsidRPr="004D60A9">
        <w:rPr>
          <w:rStyle w:val="normaltextrun"/>
          <w:noProof/>
          <w:color w:val="000000"/>
        </w:rPr>
        <w:t>the</w:t>
      </w:r>
      <w:r w:rsidR="00F35880" w:rsidRPr="004D60A9">
        <w:rPr>
          <w:rStyle w:val="normaltextrun"/>
          <w:noProof/>
          <w:color w:val="000000"/>
        </w:rPr>
        <w:t xml:space="preserve"> Commission may request updates and improvements with due justification and within a reasonable timeframe, where it finds</w:t>
      </w:r>
      <w:r w:rsidR="0013049F" w:rsidRPr="004D60A9">
        <w:rPr>
          <w:rStyle w:val="normaltextrun"/>
          <w:noProof/>
          <w:color w:val="000000"/>
        </w:rPr>
        <w:t xml:space="preserve"> that the final draft infrastructure needs identification reports do not appropriately reflect the comments from the members of the TEN-E Group </w:t>
      </w:r>
      <w:r w:rsidR="006032CD" w:rsidRPr="004D60A9">
        <w:rPr>
          <w:rStyle w:val="normaltextrun"/>
          <w:noProof/>
          <w:color w:val="000000"/>
        </w:rPr>
        <w:t>and</w:t>
      </w:r>
      <w:r w:rsidR="0013049F" w:rsidRPr="004D60A9">
        <w:rPr>
          <w:rStyle w:val="normaltextrun"/>
          <w:noProof/>
          <w:color w:val="000000"/>
        </w:rPr>
        <w:t xml:space="preserve"> </w:t>
      </w:r>
      <w:r w:rsidR="00455AB5" w:rsidRPr="004D60A9">
        <w:rPr>
          <w:rStyle w:val="normaltextrun"/>
          <w:noProof/>
          <w:color w:val="000000"/>
        </w:rPr>
        <w:t>to</w:t>
      </w:r>
      <w:r w:rsidR="003D103E" w:rsidRPr="004D60A9">
        <w:rPr>
          <w:rStyle w:val="normaltextrun"/>
          <w:noProof/>
          <w:color w:val="000000"/>
        </w:rPr>
        <w:t xml:space="preserve"> </w:t>
      </w:r>
      <w:r w:rsidR="000C2D0C" w:rsidRPr="001A10EC">
        <w:rPr>
          <w:rStyle w:val="normaltextrun"/>
          <w:noProof/>
          <w:color w:val="000000"/>
        </w:rPr>
        <w:t xml:space="preserve">ensure full compliance with the principles set out in Annex VII. The ENTSO for Electricity and the ENNOH respectively, shall fully address </w:t>
      </w:r>
      <w:r w:rsidR="00B1514B">
        <w:rPr>
          <w:rStyle w:val="normaltextrun"/>
          <w:noProof/>
          <w:color w:val="000000"/>
        </w:rPr>
        <w:t>such</w:t>
      </w:r>
      <w:r w:rsidR="000C2D0C" w:rsidRPr="001A10EC">
        <w:rPr>
          <w:rStyle w:val="normaltextrun"/>
          <w:noProof/>
          <w:color w:val="000000"/>
        </w:rPr>
        <w:t xml:space="preserve"> requests within one month and </w:t>
      </w:r>
      <w:r w:rsidR="00DF392D">
        <w:rPr>
          <w:rStyle w:val="normaltextrun"/>
          <w:noProof/>
          <w:color w:val="000000"/>
        </w:rPr>
        <w:t>re-</w:t>
      </w:r>
      <w:r w:rsidR="000C2D0C" w:rsidRPr="001A10EC">
        <w:rPr>
          <w:rStyle w:val="normaltextrun"/>
          <w:noProof/>
          <w:color w:val="000000"/>
        </w:rPr>
        <w:t xml:space="preserve">submit the revised </w:t>
      </w:r>
      <w:r w:rsidR="00241422">
        <w:rPr>
          <w:rStyle w:val="normaltextrun"/>
          <w:noProof/>
          <w:color w:val="000000"/>
        </w:rPr>
        <w:t xml:space="preserve">final </w:t>
      </w:r>
      <w:r w:rsidR="00EA72F7">
        <w:rPr>
          <w:rStyle w:val="normaltextrun"/>
          <w:noProof/>
          <w:color w:val="000000"/>
        </w:rPr>
        <w:t xml:space="preserve">draft </w:t>
      </w:r>
      <w:r w:rsidR="00EA72F7" w:rsidRPr="00CE7E6D">
        <w:rPr>
          <w:rStyle w:val="normaltextrun"/>
          <w:noProof/>
          <w:color w:val="000000"/>
        </w:rPr>
        <w:t xml:space="preserve">infrastructure needs identification reports </w:t>
      </w:r>
      <w:r w:rsidR="000C2D0C" w:rsidRPr="001A10EC">
        <w:rPr>
          <w:rStyle w:val="normaltextrun"/>
          <w:noProof/>
          <w:color w:val="000000"/>
        </w:rPr>
        <w:t>to the Commission.</w:t>
      </w:r>
    </w:p>
    <w:p w14:paraId="6422E18C" w14:textId="56DA3D90" w:rsidR="000C2D0C" w:rsidRPr="00C7528D" w:rsidRDefault="00C44DD6" w:rsidP="00C44DD6">
      <w:pPr>
        <w:pStyle w:val="ManualNumPar1"/>
        <w:rPr>
          <w:rStyle w:val="normaltextrun"/>
          <w:noProof/>
          <w:color w:val="000000"/>
        </w:rPr>
      </w:pPr>
      <w:r w:rsidRPr="00C44DD6">
        <w:rPr>
          <w:rStyle w:val="normaltextrun"/>
          <w:noProof/>
        </w:rPr>
        <w:t>9.</w:t>
      </w:r>
      <w:r w:rsidRPr="00C44DD6">
        <w:rPr>
          <w:rStyle w:val="normaltextrun"/>
          <w:noProof/>
        </w:rPr>
        <w:tab/>
      </w:r>
      <w:r w:rsidR="000C2D0C" w:rsidRPr="00C7528D">
        <w:rPr>
          <w:rStyle w:val="normaltextrun"/>
          <w:noProof/>
          <w:color w:val="000000"/>
        </w:rPr>
        <w:t xml:space="preserve">The decision-making body of the TEN-E Group shall endorse the final infrastructure needs identification reports within one month of their receipt.  </w:t>
      </w:r>
    </w:p>
    <w:p w14:paraId="29339167" w14:textId="448FAC85" w:rsidR="000C2D0C" w:rsidRPr="00C7528D" w:rsidRDefault="00C44DD6" w:rsidP="00C44DD6">
      <w:pPr>
        <w:pStyle w:val="ManualNumPar1"/>
        <w:rPr>
          <w:noProof/>
          <w:lang w:val="en-IE"/>
        </w:rPr>
      </w:pPr>
      <w:r w:rsidRPr="00C44DD6">
        <w:rPr>
          <w:noProof/>
        </w:rPr>
        <w:t>10.</w:t>
      </w:r>
      <w:r w:rsidRPr="00C44DD6">
        <w:rPr>
          <w:noProof/>
        </w:rPr>
        <w:tab/>
      </w:r>
      <w:r w:rsidR="000C2D0C" w:rsidRPr="00C7528D">
        <w:rPr>
          <w:noProof/>
          <w:lang w:val="en-IE"/>
        </w:rPr>
        <w:t xml:space="preserve">Within two weeks of the endorsement of the infrastructure needs identification reports pursuant to paragraph 8, the ENTSO for Electricity and the ENNOH shall publish them on their website respectively. Where relevant, the ENTSO for Electricity and the ENNOH shall update the infrastructure needs identification reports in </w:t>
      </w:r>
      <w:r w:rsidR="007D10DF">
        <w:rPr>
          <w:noProof/>
          <w:lang w:val="en-IE"/>
        </w:rPr>
        <w:t>accordance</w:t>
      </w:r>
      <w:r w:rsidR="000C2D0C" w:rsidRPr="00C7528D">
        <w:rPr>
          <w:noProof/>
          <w:lang w:val="en-IE"/>
        </w:rPr>
        <w:t xml:space="preserve"> with the </w:t>
      </w:r>
      <w:r w:rsidR="006E0551">
        <w:rPr>
          <w:noProof/>
          <w:lang w:val="en-IE"/>
        </w:rPr>
        <w:t>sensitivity analyses</w:t>
      </w:r>
      <w:r w:rsidR="000C2D0C" w:rsidRPr="00C7528D">
        <w:rPr>
          <w:noProof/>
          <w:lang w:val="en-IE"/>
        </w:rPr>
        <w:t xml:space="preserve"> adopted pursuant to Article 11</w:t>
      </w:r>
      <w:r w:rsidR="0072174F">
        <w:rPr>
          <w:noProof/>
          <w:lang w:val="en-IE"/>
        </w:rPr>
        <w:t>(</w:t>
      </w:r>
      <w:r w:rsidR="00426FBF">
        <w:rPr>
          <w:noProof/>
          <w:lang w:val="en-IE"/>
        </w:rPr>
        <w:t>8</w:t>
      </w:r>
      <w:r w:rsidR="003F6CEE">
        <w:rPr>
          <w:noProof/>
          <w:lang w:val="en-IE"/>
        </w:rPr>
        <w:t>)</w:t>
      </w:r>
      <w:r w:rsidR="000C2D0C" w:rsidRPr="00C7528D">
        <w:rPr>
          <w:noProof/>
          <w:lang w:val="en-IE"/>
        </w:rPr>
        <w:t>, when requested by the Commission. </w:t>
      </w:r>
    </w:p>
    <w:p w14:paraId="3A5DD238" w14:textId="7E48A931" w:rsidR="00961D8F" w:rsidRPr="00961D8F" w:rsidRDefault="00C44DD6" w:rsidP="00C44DD6">
      <w:pPr>
        <w:pStyle w:val="ManualNumPar1"/>
        <w:rPr>
          <w:noProof/>
          <w:lang w:val="en-IE"/>
        </w:rPr>
      </w:pPr>
      <w:r w:rsidRPr="00C44DD6">
        <w:rPr>
          <w:noProof/>
        </w:rPr>
        <w:t>11.</w:t>
      </w:r>
      <w:r w:rsidRPr="00C44DD6">
        <w:rPr>
          <w:noProof/>
        </w:rPr>
        <w:tab/>
      </w:r>
      <w:r w:rsidR="00961D8F" w:rsidRPr="00961D8F">
        <w:rPr>
          <w:noProof/>
          <w:lang w:val="en-IE"/>
        </w:rPr>
        <w:t>By [</w:t>
      </w:r>
      <w:r w:rsidR="005C4EBF">
        <w:rPr>
          <w:noProof/>
          <w:lang w:val="en-IE"/>
        </w:rPr>
        <w:t>9</w:t>
      </w:r>
      <w:r w:rsidR="00961D8F" w:rsidRPr="00961D8F">
        <w:rPr>
          <w:noProof/>
          <w:lang w:val="en-IE"/>
        </w:rPr>
        <w:t xml:space="preserve"> month</w:t>
      </w:r>
      <w:r w:rsidR="00A83086">
        <w:rPr>
          <w:noProof/>
          <w:lang w:val="en-IE"/>
        </w:rPr>
        <w:t>s</w:t>
      </w:r>
      <w:r w:rsidR="00961D8F" w:rsidRPr="00961D8F">
        <w:rPr>
          <w:noProof/>
          <w:lang w:val="en-IE"/>
        </w:rPr>
        <w:t xml:space="preserve"> after entry into force</w:t>
      </w:r>
      <w:r w:rsidR="007D10DF">
        <w:rPr>
          <w:noProof/>
          <w:lang w:val="en-IE"/>
        </w:rPr>
        <w:t xml:space="preserve"> of this Regulation</w:t>
      </w:r>
      <w:r w:rsidR="00961D8F" w:rsidRPr="00961D8F">
        <w:rPr>
          <w:noProof/>
          <w:lang w:val="en-IE"/>
        </w:rPr>
        <w:t>] the Agency, after having conducted an extensive consultation involving the Commission, the Member States the ENTSO for Electricity, the ENTSO for Gas</w:t>
      </w:r>
      <w:r w:rsidR="00426FBF">
        <w:rPr>
          <w:noProof/>
          <w:lang w:val="en-IE"/>
        </w:rPr>
        <w:t xml:space="preserve">, </w:t>
      </w:r>
      <w:r w:rsidR="00961D8F" w:rsidRPr="00961D8F">
        <w:rPr>
          <w:noProof/>
          <w:lang w:val="en-IE"/>
        </w:rPr>
        <w:t xml:space="preserve">the ENNOH, the EU DSO </w:t>
      </w:r>
      <w:r w:rsidR="00962C75">
        <w:rPr>
          <w:noProof/>
          <w:lang w:val="en-IE"/>
        </w:rPr>
        <w:t>E</w:t>
      </w:r>
      <w:r w:rsidR="00961D8F" w:rsidRPr="00961D8F">
        <w:rPr>
          <w:noProof/>
          <w:lang w:val="en-IE"/>
        </w:rPr>
        <w:t>ntity and other relevant stakeholders, shall publish a binding methodology for the identification of infrastructure needs.</w:t>
      </w:r>
    </w:p>
    <w:p w14:paraId="3C5671DB" w14:textId="77E09889" w:rsidR="00961D8F" w:rsidRPr="00961D8F" w:rsidRDefault="00C44DD6" w:rsidP="00C44DD6">
      <w:pPr>
        <w:pStyle w:val="ManualNumPar1"/>
        <w:rPr>
          <w:noProof/>
          <w:lang w:val="en-IE"/>
        </w:rPr>
      </w:pPr>
      <w:r w:rsidRPr="00C44DD6">
        <w:rPr>
          <w:noProof/>
        </w:rPr>
        <w:t>12.</w:t>
      </w:r>
      <w:r w:rsidRPr="00C44DD6">
        <w:rPr>
          <w:noProof/>
        </w:rPr>
        <w:tab/>
      </w:r>
      <w:r w:rsidR="00961D8F" w:rsidRPr="00961D8F">
        <w:rPr>
          <w:noProof/>
          <w:lang w:val="en-IE"/>
        </w:rPr>
        <w:t>The methodology shall ensure that the infrastructure needs identification report complies with the principles laid down in Annex VII.</w:t>
      </w:r>
    </w:p>
    <w:p w14:paraId="5B5AAB49" w14:textId="7DA68245" w:rsidR="00961D8F" w:rsidRPr="00961D8F" w:rsidRDefault="00C44DD6" w:rsidP="00C44DD6">
      <w:pPr>
        <w:pStyle w:val="ManualNumPar1"/>
        <w:rPr>
          <w:noProof/>
          <w:lang w:val="en-IE"/>
        </w:rPr>
      </w:pPr>
      <w:r w:rsidRPr="00C44DD6">
        <w:rPr>
          <w:noProof/>
        </w:rPr>
        <w:t>13.</w:t>
      </w:r>
      <w:r w:rsidRPr="00C44DD6">
        <w:rPr>
          <w:noProof/>
        </w:rPr>
        <w:tab/>
      </w:r>
      <w:r w:rsidR="00961D8F" w:rsidRPr="00961D8F">
        <w:rPr>
          <w:noProof/>
          <w:lang w:val="en-IE"/>
        </w:rPr>
        <w:t xml:space="preserve">The Agency on its own initiative, or upon request of the Commission, shall update the methodology </w:t>
      </w:r>
      <w:r w:rsidR="007D10DF">
        <w:rPr>
          <w:noProof/>
          <w:lang w:val="en-IE"/>
        </w:rPr>
        <w:t>where</w:t>
      </w:r>
      <w:r w:rsidR="00961D8F" w:rsidRPr="00961D8F">
        <w:rPr>
          <w:noProof/>
          <w:lang w:val="en-IE"/>
        </w:rPr>
        <w:t xml:space="preserve"> necessary.</w:t>
      </w:r>
    </w:p>
    <w:p w14:paraId="4069E95C" w14:textId="55C4E588" w:rsidR="000C2D0C" w:rsidRPr="00C7528D" w:rsidRDefault="00C44DD6" w:rsidP="00C44DD6">
      <w:pPr>
        <w:pStyle w:val="ManualNumPar1"/>
        <w:rPr>
          <w:noProof/>
          <w:lang w:val="en-IE"/>
        </w:rPr>
      </w:pPr>
      <w:r w:rsidRPr="00C44DD6">
        <w:rPr>
          <w:noProof/>
        </w:rPr>
        <w:t>14.</w:t>
      </w:r>
      <w:r w:rsidRPr="00C44DD6">
        <w:rPr>
          <w:noProof/>
        </w:rPr>
        <w:tab/>
      </w:r>
      <w:r w:rsidR="000C2D0C" w:rsidRPr="00C7528D">
        <w:rPr>
          <w:noProof/>
          <w:lang w:val="en-IE"/>
        </w:rPr>
        <w:t>Until 1 January 2027, this Article applies subject to the transitional provisions set out in Article 61 of Regulation (EU) 2024/1789. </w:t>
      </w:r>
    </w:p>
    <w:p w14:paraId="3A2A4018" w14:textId="77777777" w:rsidR="000C2D0C" w:rsidRPr="00185722" w:rsidRDefault="000C2D0C" w:rsidP="000C2D0C">
      <w:pPr>
        <w:pStyle w:val="Titrearticle"/>
        <w:rPr>
          <w:noProof/>
          <w:lang w:eastAsia="en-IE"/>
        </w:rPr>
      </w:pPr>
      <w:r w:rsidRPr="00185722">
        <w:rPr>
          <w:noProof/>
          <w:lang w:eastAsia="en-IE"/>
        </w:rPr>
        <w:t>Article 13</w:t>
      </w:r>
    </w:p>
    <w:p w14:paraId="01E9B21D" w14:textId="77777777" w:rsidR="000C2D0C" w:rsidRPr="00872170" w:rsidRDefault="000C2D0C" w:rsidP="000C2D0C">
      <w:pPr>
        <w:pStyle w:val="Titrearticle"/>
        <w:rPr>
          <w:rStyle w:val="normaltextrun"/>
          <w:b/>
          <w:bCs/>
          <w:noProof/>
        </w:rPr>
      </w:pPr>
      <w:r w:rsidRPr="00872170">
        <w:rPr>
          <w:rStyle w:val="normaltextrun"/>
          <w:b/>
          <w:bCs/>
          <w:noProof/>
        </w:rPr>
        <w:t>Needs matching process in the electricity system</w:t>
      </w:r>
    </w:p>
    <w:p w14:paraId="7D62AA65" w14:textId="75A854AA" w:rsidR="000C2D0C" w:rsidRPr="00185722" w:rsidRDefault="00C44DD6" w:rsidP="00C44DD6">
      <w:pPr>
        <w:pStyle w:val="ManualNumPar1"/>
        <w:rPr>
          <w:noProof/>
          <w:lang w:eastAsia="en-IE"/>
        </w:rPr>
      </w:pPr>
      <w:r w:rsidRPr="00C44DD6">
        <w:rPr>
          <w:noProof/>
        </w:rPr>
        <w:t>1.</w:t>
      </w:r>
      <w:r w:rsidRPr="00C44DD6">
        <w:rPr>
          <w:noProof/>
        </w:rPr>
        <w:tab/>
      </w:r>
      <w:r w:rsidR="005D3921">
        <w:rPr>
          <w:noProof/>
          <w:lang w:eastAsia="en-IE"/>
        </w:rPr>
        <w:t>When</w:t>
      </w:r>
      <w:r w:rsidR="000C2D0C" w:rsidRPr="00185722">
        <w:rPr>
          <w:noProof/>
          <w:lang w:eastAsia="en-IE"/>
        </w:rPr>
        <w:t xml:space="preserve"> the </w:t>
      </w:r>
      <w:r w:rsidR="00996BAF">
        <w:rPr>
          <w:noProof/>
          <w:lang w:eastAsia="en-IE"/>
        </w:rPr>
        <w:t xml:space="preserve">infrastructure needs identification report </w:t>
      </w:r>
      <w:r w:rsidR="001810CB">
        <w:rPr>
          <w:noProof/>
          <w:lang w:eastAsia="en-IE"/>
        </w:rPr>
        <w:t>for electricity</w:t>
      </w:r>
      <w:r w:rsidR="00996BAF">
        <w:rPr>
          <w:noProof/>
          <w:lang w:eastAsia="en-IE"/>
        </w:rPr>
        <w:t xml:space="preserve"> </w:t>
      </w:r>
      <w:r w:rsidR="00627B3F">
        <w:rPr>
          <w:noProof/>
          <w:lang w:eastAsia="en-IE"/>
        </w:rPr>
        <w:t>concludes</w:t>
      </w:r>
      <w:r w:rsidR="00FE6716">
        <w:rPr>
          <w:noProof/>
          <w:lang w:eastAsia="en-IE"/>
        </w:rPr>
        <w:t xml:space="preserve"> that projects submitted for inclusion in the Union wide ten-year network development plan</w:t>
      </w:r>
      <w:r w:rsidR="008067FB" w:rsidRPr="008067FB">
        <w:rPr>
          <w:noProof/>
          <w:lang w:eastAsia="en-IE"/>
        </w:rPr>
        <w:t xml:space="preserve"> </w:t>
      </w:r>
      <w:r w:rsidR="000C2D0C" w:rsidRPr="00185722">
        <w:rPr>
          <w:noProof/>
          <w:lang w:eastAsia="en-IE"/>
        </w:rPr>
        <w:t>do not fully meet the infrastructure needs identified</w:t>
      </w:r>
      <w:r w:rsidR="00980A73" w:rsidRPr="00980A73">
        <w:rPr>
          <w:noProof/>
          <w:lang w:eastAsia="en-IE"/>
        </w:rPr>
        <w:t xml:space="preserve"> </w:t>
      </w:r>
      <w:r w:rsidR="00980A73" w:rsidRPr="008067FB">
        <w:rPr>
          <w:noProof/>
          <w:lang w:eastAsia="en-IE"/>
        </w:rPr>
        <w:t>pursuant to Article 12</w:t>
      </w:r>
      <w:r w:rsidR="000C2D0C" w:rsidRPr="00185722">
        <w:rPr>
          <w:noProof/>
          <w:lang w:eastAsia="en-IE"/>
        </w:rPr>
        <w:t xml:space="preserve">, the Commission </w:t>
      </w:r>
      <w:r w:rsidR="000C12DE">
        <w:rPr>
          <w:noProof/>
          <w:lang w:eastAsia="en-IE"/>
        </w:rPr>
        <w:t>may</w:t>
      </w:r>
      <w:r w:rsidR="000C12DE" w:rsidRPr="00185722">
        <w:rPr>
          <w:noProof/>
          <w:lang w:eastAsia="en-IE"/>
        </w:rPr>
        <w:t xml:space="preserve"> </w:t>
      </w:r>
      <w:r w:rsidR="000C2D0C" w:rsidRPr="00185722">
        <w:rPr>
          <w:noProof/>
          <w:lang w:eastAsia="en-IE"/>
        </w:rPr>
        <w:t xml:space="preserve">launch a process to identify possible solutions to address the unmatched needs. </w:t>
      </w:r>
    </w:p>
    <w:p w14:paraId="4D2FD6CF" w14:textId="4D8B577E" w:rsidR="000C2D0C" w:rsidRPr="00185722" w:rsidRDefault="00C44DD6" w:rsidP="00C44DD6">
      <w:pPr>
        <w:pStyle w:val="ManualNumPar1"/>
        <w:rPr>
          <w:rFonts w:eastAsia="Times New Roman"/>
          <w:noProof/>
          <w:color w:val="000000" w:themeColor="text1"/>
          <w:lang w:eastAsia="en-IE"/>
        </w:rPr>
      </w:pPr>
      <w:r w:rsidRPr="00C44DD6">
        <w:rPr>
          <w:noProof/>
        </w:rPr>
        <w:t>2.</w:t>
      </w:r>
      <w:r w:rsidRPr="00C44DD6">
        <w:rPr>
          <w:noProof/>
        </w:rPr>
        <w:tab/>
      </w:r>
      <w:r w:rsidR="000C2D0C" w:rsidRPr="00185722">
        <w:rPr>
          <w:rFonts w:eastAsia="Times New Roman"/>
          <w:noProof/>
          <w:color w:val="000000" w:themeColor="text1"/>
          <w:lang w:eastAsia="en-IE"/>
        </w:rPr>
        <w:t>The Commission, in cooperation with</w:t>
      </w:r>
      <w:r w:rsidR="006E31F7">
        <w:rPr>
          <w:rFonts w:eastAsia="Times New Roman"/>
          <w:noProof/>
          <w:color w:val="000000" w:themeColor="text1"/>
          <w:lang w:eastAsia="en-IE"/>
        </w:rPr>
        <w:t xml:space="preserve"> the</w:t>
      </w:r>
      <w:r w:rsidR="000C2D0C" w:rsidRPr="00185722">
        <w:rPr>
          <w:rFonts w:eastAsia="Times New Roman"/>
          <w:noProof/>
          <w:color w:val="000000" w:themeColor="text1"/>
          <w:lang w:eastAsia="en-IE"/>
        </w:rPr>
        <w:t xml:space="preserve"> ENTSO for Electricity, the </w:t>
      </w:r>
      <w:r w:rsidR="000C2D0C" w:rsidRPr="00185722">
        <w:rPr>
          <w:noProof/>
        </w:rPr>
        <w:t>Member States and the Agency</w:t>
      </w:r>
      <w:r w:rsidR="00634B6A">
        <w:rPr>
          <w:noProof/>
        </w:rPr>
        <w:t>,</w:t>
      </w:r>
      <w:r w:rsidR="000C2D0C" w:rsidRPr="00185722">
        <w:rPr>
          <w:noProof/>
        </w:rPr>
        <w:t xml:space="preserve"> shall </w:t>
      </w:r>
      <w:r w:rsidR="0069654D">
        <w:rPr>
          <w:noProof/>
        </w:rPr>
        <w:t>invite</w:t>
      </w:r>
      <w:r w:rsidR="000C2D0C" w:rsidRPr="00185722">
        <w:rPr>
          <w:noProof/>
        </w:rPr>
        <w:t xml:space="preserve"> system operators </w:t>
      </w:r>
      <w:r w:rsidR="0069654D">
        <w:rPr>
          <w:noProof/>
        </w:rPr>
        <w:t xml:space="preserve">in the </w:t>
      </w:r>
      <w:r w:rsidR="00304796">
        <w:rPr>
          <w:noProof/>
        </w:rPr>
        <w:t xml:space="preserve">relevant </w:t>
      </w:r>
      <w:r w:rsidR="00457682">
        <w:rPr>
          <w:noProof/>
        </w:rPr>
        <w:t>G</w:t>
      </w:r>
      <w:r w:rsidR="0069654D">
        <w:rPr>
          <w:noProof/>
        </w:rPr>
        <w:t xml:space="preserve">roups </w:t>
      </w:r>
      <w:r w:rsidR="000C2D0C" w:rsidRPr="00185722">
        <w:rPr>
          <w:noProof/>
        </w:rPr>
        <w:t>to propose</w:t>
      </w:r>
      <w:r w:rsidR="00DF267F">
        <w:rPr>
          <w:noProof/>
        </w:rPr>
        <w:t>,</w:t>
      </w:r>
      <w:r w:rsidR="000C2D0C" w:rsidRPr="00185722">
        <w:rPr>
          <w:noProof/>
        </w:rPr>
        <w:t xml:space="preserve"> </w:t>
      </w:r>
      <w:r w:rsidR="00DF267F" w:rsidRPr="00185722">
        <w:rPr>
          <w:noProof/>
        </w:rPr>
        <w:t xml:space="preserve">within </w:t>
      </w:r>
      <w:r w:rsidR="007C0FD2">
        <w:rPr>
          <w:noProof/>
        </w:rPr>
        <w:t>six</w:t>
      </w:r>
      <w:r w:rsidR="008D220F">
        <w:rPr>
          <w:noProof/>
        </w:rPr>
        <w:t xml:space="preserve"> </w:t>
      </w:r>
      <w:r w:rsidR="00DF267F" w:rsidRPr="00185722">
        <w:rPr>
          <w:noProof/>
        </w:rPr>
        <w:t xml:space="preserve">months of the </w:t>
      </w:r>
      <w:r w:rsidR="00DF267F">
        <w:rPr>
          <w:noProof/>
        </w:rPr>
        <w:t>invitation,</w:t>
      </w:r>
      <w:r w:rsidR="000C2D0C" w:rsidRPr="00185722">
        <w:rPr>
          <w:noProof/>
        </w:rPr>
        <w:t xml:space="preserve"> projects </w:t>
      </w:r>
      <w:r w:rsidR="00ED53F7">
        <w:rPr>
          <w:noProof/>
        </w:rPr>
        <w:t xml:space="preserve">capable of </w:t>
      </w:r>
      <w:r w:rsidR="000C2D0C" w:rsidRPr="00185722">
        <w:rPr>
          <w:noProof/>
        </w:rPr>
        <w:t>address</w:t>
      </w:r>
      <w:r w:rsidR="00ED53F7">
        <w:rPr>
          <w:noProof/>
        </w:rPr>
        <w:t>ing</w:t>
      </w:r>
      <w:r w:rsidR="000C2D0C" w:rsidRPr="00185722">
        <w:rPr>
          <w:noProof/>
        </w:rPr>
        <w:t xml:space="preserve"> the unmatched needs. The Commission shall submit the proposed projects to the relevant Groups established </w:t>
      </w:r>
      <w:r w:rsidR="00B375D0">
        <w:rPr>
          <w:noProof/>
        </w:rPr>
        <w:t xml:space="preserve">in accordance with Article 3 </w:t>
      </w:r>
      <w:r w:rsidR="000C2D0C" w:rsidRPr="00185722">
        <w:rPr>
          <w:noProof/>
        </w:rPr>
        <w:t>for discussion</w:t>
      </w:r>
      <w:r w:rsidR="00B608B5">
        <w:rPr>
          <w:noProof/>
        </w:rPr>
        <w:t>. The Commission</w:t>
      </w:r>
      <w:r w:rsidR="000C2D0C" w:rsidRPr="00185722">
        <w:rPr>
          <w:noProof/>
        </w:rPr>
        <w:t xml:space="preserve"> may involve other relevant </w:t>
      </w:r>
      <w:r w:rsidR="00CC5453">
        <w:rPr>
          <w:noProof/>
        </w:rPr>
        <w:t>stakeholders and other</w:t>
      </w:r>
      <w:r w:rsidR="001D1E88">
        <w:rPr>
          <w:noProof/>
        </w:rPr>
        <w:t xml:space="preserve"> </w:t>
      </w:r>
      <w:r w:rsidR="000C2D0C" w:rsidRPr="00185722">
        <w:rPr>
          <w:noProof/>
        </w:rPr>
        <w:t>regional cooperation fora.</w:t>
      </w:r>
      <w:r w:rsidR="000C2D0C" w:rsidRPr="00185722">
        <w:rPr>
          <w:noProof/>
          <w:color w:val="000000" w:themeColor="text1"/>
        </w:rPr>
        <w:t xml:space="preserve"> </w:t>
      </w:r>
      <w:r w:rsidR="00001F6A">
        <w:rPr>
          <w:noProof/>
          <w:color w:val="000000" w:themeColor="text1"/>
        </w:rPr>
        <w:t xml:space="preserve">Project </w:t>
      </w:r>
      <w:r w:rsidR="00001F6A">
        <w:rPr>
          <w:rFonts w:eastAsia="Times New Roman"/>
          <w:noProof/>
          <w:color w:val="000000" w:themeColor="text1"/>
          <w:lang w:eastAsia="en-IE"/>
        </w:rPr>
        <w:t>p</w:t>
      </w:r>
      <w:r w:rsidR="000C2D0C" w:rsidRPr="00185722">
        <w:rPr>
          <w:rFonts w:eastAsia="Times New Roman"/>
          <w:noProof/>
          <w:color w:val="000000" w:themeColor="text1"/>
          <w:lang w:eastAsia="en-IE"/>
        </w:rPr>
        <w:t>romoters</w:t>
      </w:r>
      <w:r w:rsidR="00E725E2">
        <w:rPr>
          <w:rFonts w:eastAsia="Times New Roman"/>
          <w:noProof/>
          <w:color w:val="000000" w:themeColor="text1"/>
          <w:lang w:eastAsia="en-IE"/>
        </w:rPr>
        <w:t xml:space="preserve"> capable of addressing </w:t>
      </w:r>
      <w:r w:rsidR="00EF2202">
        <w:rPr>
          <w:rFonts w:eastAsia="Times New Roman"/>
          <w:noProof/>
          <w:color w:val="000000" w:themeColor="text1"/>
          <w:lang w:eastAsia="en-IE"/>
        </w:rPr>
        <w:t>the unmatched needs</w:t>
      </w:r>
      <w:r w:rsidR="000C2D0C" w:rsidRPr="00185722">
        <w:rPr>
          <w:rFonts w:eastAsia="Times New Roman"/>
          <w:noProof/>
          <w:color w:val="000000" w:themeColor="text1"/>
          <w:lang w:eastAsia="en-IE"/>
        </w:rPr>
        <w:t xml:space="preserve"> shall submit eligible projects as soon as possible </w:t>
      </w:r>
      <w:r w:rsidR="000C2D0C" w:rsidRPr="00185722">
        <w:rPr>
          <w:rFonts w:eastAsia="Times New Roman"/>
          <w:noProof/>
          <w:color w:val="000000"/>
          <w:lang w:eastAsia="en-IE"/>
        </w:rPr>
        <w:t xml:space="preserve">for inclusion in the subsequent </w:t>
      </w:r>
      <w:r w:rsidR="000C2D0C" w:rsidRPr="00963631">
        <w:rPr>
          <w:rFonts w:eastAsia="Times New Roman"/>
          <w:noProof/>
          <w:color w:val="000000"/>
          <w:lang w:eastAsia="en-IE"/>
        </w:rPr>
        <w:t>national development plans, the</w:t>
      </w:r>
      <w:r w:rsidR="000C2D0C">
        <w:rPr>
          <w:rFonts w:eastAsia="Times New Roman"/>
          <w:noProof/>
          <w:color w:val="000000"/>
          <w:lang w:eastAsia="en-IE"/>
        </w:rPr>
        <w:t xml:space="preserve"> </w:t>
      </w:r>
      <w:r w:rsidR="000C2D0C" w:rsidRPr="00185722">
        <w:rPr>
          <w:rFonts w:eastAsia="Times New Roman"/>
          <w:noProof/>
          <w:color w:val="000000"/>
          <w:lang w:eastAsia="en-IE"/>
        </w:rPr>
        <w:t xml:space="preserve">Union-wide ten-year network development plan and </w:t>
      </w:r>
      <w:r w:rsidR="00C3400D">
        <w:rPr>
          <w:rFonts w:eastAsia="Times New Roman"/>
          <w:noProof/>
          <w:color w:val="000000"/>
          <w:lang w:eastAsia="en-IE"/>
        </w:rPr>
        <w:t xml:space="preserve">the </w:t>
      </w:r>
      <w:r w:rsidR="000C2D0C" w:rsidRPr="00185722">
        <w:rPr>
          <w:rFonts w:eastAsia="Times New Roman"/>
          <w:noProof/>
          <w:color w:val="000000"/>
          <w:lang w:eastAsia="en-IE"/>
        </w:rPr>
        <w:t>Union list.</w:t>
      </w:r>
      <w:r w:rsidR="000C2D0C" w:rsidRPr="00185722">
        <w:rPr>
          <w:rFonts w:eastAsia="Times New Roman"/>
          <w:noProof/>
          <w:color w:val="000000" w:themeColor="text1"/>
          <w:lang w:eastAsia="en-IE"/>
        </w:rPr>
        <w:t xml:space="preserve"> </w:t>
      </w:r>
    </w:p>
    <w:p w14:paraId="3F50A62E" w14:textId="00E7894F" w:rsidR="000C2D0C" w:rsidRPr="00185722" w:rsidRDefault="00C44DD6" w:rsidP="00C44DD6">
      <w:pPr>
        <w:pStyle w:val="ManualNumPar1"/>
        <w:rPr>
          <w:noProof/>
        </w:rPr>
      </w:pPr>
      <w:r w:rsidRPr="00C44DD6">
        <w:rPr>
          <w:noProof/>
        </w:rPr>
        <w:t>3.</w:t>
      </w:r>
      <w:r w:rsidRPr="00C44DD6">
        <w:rPr>
          <w:noProof/>
        </w:rPr>
        <w:tab/>
      </w:r>
      <w:r w:rsidR="000C2D0C" w:rsidRPr="00185722">
        <w:rPr>
          <w:noProof/>
          <w:lang w:eastAsia="en-IE"/>
        </w:rPr>
        <w:t xml:space="preserve">Where the process </w:t>
      </w:r>
      <w:r w:rsidR="007E4179">
        <w:rPr>
          <w:noProof/>
          <w:lang w:eastAsia="en-IE"/>
        </w:rPr>
        <w:t>under</w:t>
      </w:r>
      <w:r w:rsidR="000C2D0C" w:rsidRPr="00185722">
        <w:rPr>
          <w:noProof/>
          <w:lang w:eastAsia="en-IE"/>
        </w:rPr>
        <w:t xml:space="preserve"> paragraph 2 does not </w:t>
      </w:r>
      <w:r w:rsidR="007D3B80">
        <w:rPr>
          <w:noProof/>
          <w:lang w:eastAsia="en-IE"/>
        </w:rPr>
        <w:t>identify</w:t>
      </w:r>
      <w:r w:rsidR="000C2D0C" w:rsidRPr="00185722">
        <w:rPr>
          <w:noProof/>
          <w:lang w:eastAsia="en-IE"/>
        </w:rPr>
        <w:t xml:space="preserve"> projects </w:t>
      </w:r>
      <w:r w:rsidR="008D03A7">
        <w:rPr>
          <w:noProof/>
          <w:lang w:eastAsia="en-IE"/>
        </w:rPr>
        <w:t>capa</w:t>
      </w:r>
      <w:r w:rsidR="00293E3C">
        <w:rPr>
          <w:noProof/>
          <w:lang w:eastAsia="en-IE"/>
        </w:rPr>
        <w:t>ble of</w:t>
      </w:r>
      <w:r w:rsidR="000C2D0C" w:rsidRPr="00185722">
        <w:rPr>
          <w:noProof/>
          <w:lang w:eastAsia="en-IE"/>
        </w:rPr>
        <w:t xml:space="preserve"> addressing the </w:t>
      </w:r>
      <w:r w:rsidR="006A2FD6">
        <w:rPr>
          <w:noProof/>
          <w:lang w:eastAsia="en-IE"/>
        </w:rPr>
        <w:t xml:space="preserve">unmatched </w:t>
      </w:r>
      <w:r w:rsidR="000C2D0C" w:rsidRPr="00185722">
        <w:rPr>
          <w:noProof/>
          <w:lang w:eastAsia="en-IE"/>
        </w:rPr>
        <w:t>needs, the Commission</w:t>
      </w:r>
      <w:r w:rsidR="000C2D0C" w:rsidRPr="00185722">
        <w:rPr>
          <w:noProof/>
        </w:rPr>
        <w:t xml:space="preserve"> may launch a call for proposals open to any third party capable of becoming a project promoter to propose projects </w:t>
      </w:r>
      <w:r w:rsidR="00A511B9">
        <w:rPr>
          <w:noProof/>
        </w:rPr>
        <w:t>capable of</w:t>
      </w:r>
      <w:r w:rsidR="000C2D0C" w:rsidRPr="00185722">
        <w:rPr>
          <w:noProof/>
        </w:rPr>
        <w:t xml:space="preserve"> addressing the unmatched needs. </w:t>
      </w:r>
      <w:r w:rsidR="006E3DAF">
        <w:rPr>
          <w:noProof/>
          <w:color w:val="000000" w:themeColor="text1"/>
        </w:rPr>
        <w:t xml:space="preserve">Project </w:t>
      </w:r>
      <w:r w:rsidR="006E3DAF">
        <w:rPr>
          <w:noProof/>
        </w:rPr>
        <w:t>p</w:t>
      </w:r>
      <w:r w:rsidR="000C2D0C" w:rsidRPr="00185722">
        <w:rPr>
          <w:noProof/>
        </w:rPr>
        <w:t>romoters</w:t>
      </w:r>
      <w:r w:rsidR="00347DFC">
        <w:rPr>
          <w:noProof/>
        </w:rPr>
        <w:t xml:space="preserve"> capable of addressing the unmatched needs</w:t>
      </w:r>
      <w:r w:rsidR="000C2D0C" w:rsidRPr="00185722">
        <w:rPr>
          <w:noProof/>
        </w:rPr>
        <w:t xml:space="preserve"> shall submit </w:t>
      </w:r>
      <w:r w:rsidR="00377EC5">
        <w:rPr>
          <w:noProof/>
        </w:rPr>
        <w:t xml:space="preserve">eligible </w:t>
      </w:r>
      <w:r w:rsidR="005E4DE4">
        <w:rPr>
          <w:noProof/>
        </w:rPr>
        <w:t>projects</w:t>
      </w:r>
      <w:r w:rsidR="00F973CF">
        <w:rPr>
          <w:noProof/>
        </w:rPr>
        <w:t xml:space="preserve"> as soon as possible</w:t>
      </w:r>
      <w:r w:rsidR="000C2D0C" w:rsidRPr="00185722">
        <w:rPr>
          <w:noProof/>
        </w:rPr>
        <w:t xml:space="preserve"> for inclusion in the subsequent </w:t>
      </w:r>
      <w:r w:rsidR="000C2D0C" w:rsidRPr="00963631">
        <w:rPr>
          <w:noProof/>
          <w:color w:val="000000"/>
          <w:lang w:eastAsia="en-IE"/>
        </w:rPr>
        <w:t xml:space="preserve">national development plans, the </w:t>
      </w:r>
      <w:r w:rsidR="000C2D0C" w:rsidRPr="00963631">
        <w:rPr>
          <w:noProof/>
        </w:rPr>
        <w:t>U</w:t>
      </w:r>
      <w:r w:rsidR="000C2D0C" w:rsidRPr="00185722">
        <w:rPr>
          <w:noProof/>
        </w:rPr>
        <w:t xml:space="preserve">nion-wide ten-year network development plan and </w:t>
      </w:r>
      <w:r w:rsidR="0068112D">
        <w:rPr>
          <w:noProof/>
        </w:rPr>
        <w:t xml:space="preserve">the </w:t>
      </w:r>
      <w:r w:rsidR="000C2D0C" w:rsidRPr="00185722">
        <w:rPr>
          <w:noProof/>
        </w:rPr>
        <w:t xml:space="preserve">Union list. </w:t>
      </w:r>
    </w:p>
    <w:p w14:paraId="14040A88" w14:textId="4865B542" w:rsidR="000C2D0C" w:rsidRPr="00185722" w:rsidRDefault="00C44DD6" w:rsidP="00C44DD6">
      <w:pPr>
        <w:pStyle w:val="ManualNumPar1"/>
        <w:rPr>
          <w:noProof/>
        </w:rPr>
      </w:pPr>
      <w:r w:rsidRPr="00C44DD6">
        <w:rPr>
          <w:noProof/>
        </w:rPr>
        <w:t>4.</w:t>
      </w:r>
      <w:r w:rsidRPr="00C44DD6">
        <w:rPr>
          <w:noProof/>
        </w:rPr>
        <w:tab/>
      </w:r>
      <w:r w:rsidR="000C2D0C" w:rsidRPr="00185722">
        <w:rPr>
          <w:noProof/>
        </w:rPr>
        <w:t>The Commission shall monitor the outcome of the process and progress of the projects referred to in paragraphs 2 and 3</w:t>
      </w:r>
      <w:r w:rsidR="002822B6">
        <w:rPr>
          <w:noProof/>
        </w:rPr>
        <w:t xml:space="preserve"> and</w:t>
      </w:r>
      <w:r w:rsidR="000C2D0C" w:rsidRPr="00185722">
        <w:rPr>
          <w:noProof/>
        </w:rPr>
        <w:t xml:space="preserve"> closely involve the relevant Groups established </w:t>
      </w:r>
      <w:r w:rsidR="00C906B6">
        <w:rPr>
          <w:noProof/>
        </w:rPr>
        <w:t xml:space="preserve">in accordance </w:t>
      </w:r>
      <w:r w:rsidR="00C6240B">
        <w:rPr>
          <w:noProof/>
        </w:rPr>
        <w:t>with Article 3</w:t>
      </w:r>
      <w:r w:rsidR="000C2D0C" w:rsidRPr="00185722">
        <w:rPr>
          <w:noProof/>
        </w:rPr>
        <w:t xml:space="preserve"> and other relevant regional cooperation fora. </w:t>
      </w:r>
    </w:p>
    <w:p w14:paraId="7A14B262" w14:textId="77777777" w:rsidR="000C2D0C" w:rsidRPr="00185722" w:rsidRDefault="000C2D0C" w:rsidP="000C2D0C">
      <w:pPr>
        <w:pStyle w:val="Titrearticle"/>
        <w:rPr>
          <w:noProof/>
          <w:lang w:eastAsia="en-IE"/>
        </w:rPr>
      </w:pPr>
      <w:r w:rsidRPr="00185722">
        <w:rPr>
          <w:noProof/>
          <w:lang w:eastAsia="en-IE"/>
        </w:rPr>
        <w:t>Article 14</w:t>
      </w:r>
    </w:p>
    <w:p w14:paraId="070C5589" w14:textId="77777777" w:rsidR="000C2D0C" w:rsidRPr="00872170" w:rsidRDefault="00A27D17" w:rsidP="000C2D0C">
      <w:pPr>
        <w:pStyle w:val="Titrearticle"/>
        <w:rPr>
          <w:b/>
          <w:bCs/>
          <w:noProof/>
        </w:rPr>
      </w:pPr>
      <w:bookmarkStart w:id="20" w:name="bookmark55"/>
      <w:r w:rsidRPr="00872170">
        <w:rPr>
          <w:b/>
          <w:bCs/>
          <w:noProof/>
        </w:rPr>
        <w:t xml:space="preserve"> </w:t>
      </w:r>
      <w:r w:rsidR="000C2D0C" w:rsidRPr="00872170">
        <w:rPr>
          <w:b/>
          <w:bCs/>
          <w:noProof/>
        </w:rPr>
        <w:t>Energy system wide cost-benefit analysis</w:t>
      </w:r>
      <w:bookmarkEnd w:id="20"/>
    </w:p>
    <w:p w14:paraId="7F3A2D07" w14:textId="594BB4D8" w:rsidR="008F3A8A" w:rsidRPr="004D60A9" w:rsidRDefault="00C44DD6" w:rsidP="00C44DD6">
      <w:pPr>
        <w:pStyle w:val="ManualNumPar1"/>
        <w:rPr>
          <w:noProof/>
        </w:rPr>
      </w:pPr>
      <w:bookmarkStart w:id="21" w:name="bookmark57"/>
      <w:r w:rsidRPr="00C44DD6">
        <w:rPr>
          <w:noProof/>
        </w:rPr>
        <w:t>1.</w:t>
      </w:r>
      <w:r w:rsidRPr="00C44DD6">
        <w:rPr>
          <w:noProof/>
        </w:rPr>
        <w:tab/>
      </w:r>
      <w:r w:rsidR="00CD0383">
        <w:rPr>
          <w:noProof/>
        </w:rPr>
        <w:t>F</w:t>
      </w:r>
      <w:r w:rsidR="000C2D0C" w:rsidRPr="00185722">
        <w:rPr>
          <w:noProof/>
        </w:rPr>
        <w:t>or projects falling under the infrastructure categories set out in point</w:t>
      </w:r>
      <w:r w:rsidR="009D558A">
        <w:rPr>
          <w:noProof/>
        </w:rPr>
        <w:t>s</w:t>
      </w:r>
      <w:r w:rsidR="000C2D0C" w:rsidRPr="00185722">
        <w:rPr>
          <w:noProof/>
        </w:rPr>
        <w:t xml:space="preserve"> (1)(a), (b), </w:t>
      </w:r>
      <w:r w:rsidR="00094078">
        <w:rPr>
          <w:noProof/>
        </w:rPr>
        <w:t>(c),</w:t>
      </w:r>
      <w:r w:rsidR="000C2D0C" w:rsidRPr="00185722">
        <w:rPr>
          <w:noProof/>
        </w:rPr>
        <w:t xml:space="preserve"> </w:t>
      </w:r>
      <w:r w:rsidR="000C2D0C" w:rsidRPr="00E455CF">
        <w:rPr>
          <w:rFonts w:eastAsia="Times New Roman"/>
          <w:noProof/>
          <w:lang w:eastAsia="en-IE"/>
        </w:rPr>
        <w:t>(</w:t>
      </w:r>
      <w:r w:rsidR="000C2D0C" w:rsidRPr="00185722">
        <w:rPr>
          <w:noProof/>
        </w:rPr>
        <w:t>d), (e),</w:t>
      </w:r>
      <w:r w:rsidR="00D30AF2">
        <w:rPr>
          <w:noProof/>
        </w:rPr>
        <w:t xml:space="preserve"> </w:t>
      </w:r>
      <w:r w:rsidR="000C2D0C" w:rsidRPr="00185722">
        <w:rPr>
          <w:noProof/>
        </w:rPr>
        <w:t>(f) and (h) and point</w:t>
      </w:r>
      <w:r w:rsidR="009D558A">
        <w:rPr>
          <w:noProof/>
        </w:rPr>
        <w:t>s</w:t>
      </w:r>
      <w:r w:rsidR="000C2D0C" w:rsidRPr="00185722">
        <w:rPr>
          <w:noProof/>
        </w:rPr>
        <w:t xml:space="preserve"> (2) </w:t>
      </w:r>
      <w:r w:rsidR="4AF29C58">
        <w:rPr>
          <w:noProof/>
        </w:rPr>
        <w:t xml:space="preserve">and (3) </w:t>
      </w:r>
      <w:r w:rsidR="000C2D0C" w:rsidRPr="00185722">
        <w:rPr>
          <w:noProof/>
        </w:rPr>
        <w:t>of Annex</w:t>
      </w:r>
      <w:r w:rsidR="000C2D0C" w:rsidRPr="00E455CF">
        <w:rPr>
          <w:rFonts w:eastAsia="Times New Roman"/>
          <w:noProof/>
          <w:lang w:eastAsia="en-IE"/>
        </w:rPr>
        <w:t> </w:t>
      </w:r>
      <w:r w:rsidR="000C2D0C" w:rsidRPr="00185722">
        <w:rPr>
          <w:noProof/>
        </w:rPr>
        <w:t xml:space="preserve">II </w:t>
      </w:r>
      <w:r w:rsidR="00D30AF2">
        <w:rPr>
          <w:noProof/>
        </w:rPr>
        <w:t>, t</w:t>
      </w:r>
      <w:r w:rsidR="00D30AF2" w:rsidRPr="00185722">
        <w:rPr>
          <w:noProof/>
        </w:rPr>
        <w:t xml:space="preserve">he ENTSO for Electricity and the ENNOH shall </w:t>
      </w:r>
      <w:r w:rsidR="003B1210">
        <w:rPr>
          <w:noProof/>
        </w:rPr>
        <w:t>use</w:t>
      </w:r>
      <w:r w:rsidR="00D30AF2" w:rsidRPr="00185722">
        <w:rPr>
          <w:noProof/>
        </w:rPr>
        <w:t xml:space="preserve"> consistent single sector methodologies for a harmonised energy system-wide cost-benefit analysis at Union level </w:t>
      </w:r>
      <w:r w:rsidR="00AF39ED" w:rsidRPr="00AF39ED">
        <w:rPr>
          <w:noProof/>
        </w:rPr>
        <w:t>when assessing projects for their inclusion in their respective Union</w:t>
      </w:r>
      <w:r w:rsidR="00CA78C4">
        <w:rPr>
          <w:noProof/>
        </w:rPr>
        <w:t>-</w:t>
      </w:r>
      <w:r w:rsidR="00AF39ED" w:rsidRPr="00AF39ED">
        <w:rPr>
          <w:noProof/>
        </w:rPr>
        <w:t>wide ten-year network development plans</w:t>
      </w:r>
      <w:r w:rsidR="000C2D0C" w:rsidRPr="00E455CF">
        <w:rPr>
          <w:rFonts w:eastAsia="Times New Roman"/>
          <w:noProof/>
          <w:lang w:eastAsia="en-IE"/>
        </w:rPr>
        <w:t xml:space="preserve">. </w:t>
      </w:r>
    </w:p>
    <w:p w14:paraId="75DE5196" w14:textId="5A827191" w:rsidR="002A678A" w:rsidRPr="004D60A9" w:rsidRDefault="00C44DD6" w:rsidP="00C44DD6">
      <w:pPr>
        <w:pStyle w:val="ManualNumPar1"/>
        <w:rPr>
          <w:noProof/>
        </w:rPr>
      </w:pPr>
      <w:r w:rsidRPr="00C44DD6">
        <w:rPr>
          <w:noProof/>
        </w:rPr>
        <w:t>2.</w:t>
      </w:r>
      <w:r w:rsidRPr="00C44DD6">
        <w:rPr>
          <w:noProof/>
        </w:rPr>
        <w:tab/>
      </w:r>
      <w:r w:rsidR="000C2D0C" w:rsidRPr="000C2D0C">
        <w:rPr>
          <w:noProof/>
          <w:lang w:eastAsia="en-IE"/>
        </w:rPr>
        <w:t xml:space="preserve">The methodologies </w:t>
      </w:r>
      <w:r w:rsidR="002A678A" w:rsidRPr="004D60A9">
        <w:rPr>
          <w:noProof/>
          <w:lang w:eastAsia="en-IE"/>
        </w:rPr>
        <w:t>shall</w:t>
      </w:r>
      <w:r w:rsidR="0043290F">
        <w:rPr>
          <w:noProof/>
          <w:lang w:eastAsia="en-IE"/>
        </w:rPr>
        <w:t>:</w:t>
      </w:r>
    </w:p>
    <w:bookmarkEnd w:id="21"/>
    <w:p w14:paraId="6CECE4FF" w14:textId="51202D9B" w:rsidR="00CF55F8" w:rsidRDefault="00C44DD6" w:rsidP="00C44DD6">
      <w:pPr>
        <w:pStyle w:val="Point1"/>
        <w:rPr>
          <w:noProof/>
        </w:rPr>
      </w:pPr>
      <w:r w:rsidRPr="00C44DD6">
        <w:rPr>
          <w:noProof/>
        </w:rPr>
        <w:t>(a)</w:t>
      </w:r>
      <w:r w:rsidRPr="00C44DD6">
        <w:rPr>
          <w:noProof/>
        </w:rPr>
        <w:tab/>
      </w:r>
      <w:r w:rsidR="000C2D0C" w:rsidRPr="00185722">
        <w:rPr>
          <w:noProof/>
        </w:rPr>
        <w:t xml:space="preserve">be drawn up in </w:t>
      </w:r>
      <w:r w:rsidR="00A65624">
        <w:rPr>
          <w:noProof/>
        </w:rPr>
        <w:t>accordance</w:t>
      </w:r>
      <w:r w:rsidR="000C2D0C" w:rsidRPr="00185722">
        <w:rPr>
          <w:noProof/>
        </w:rPr>
        <w:t xml:space="preserve"> with the principles laid down in Annex</w:t>
      </w:r>
      <w:r w:rsidR="000C2D0C" w:rsidRPr="00E455CF">
        <w:rPr>
          <w:rFonts w:eastAsia="Times New Roman"/>
          <w:noProof/>
          <w:lang w:eastAsia="en-IE"/>
        </w:rPr>
        <w:t> </w:t>
      </w:r>
      <w:r w:rsidR="000C2D0C" w:rsidRPr="00185722">
        <w:rPr>
          <w:noProof/>
        </w:rPr>
        <w:t>V</w:t>
      </w:r>
      <w:r w:rsidR="0043290F">
        <w:rPr>
          <w:noProof/>
        </w:rPr>
        <w:t>;</w:t>
      </w:r>
      <w:r w:rsidR="000C2D0C" w:rsidRPr="00185722">
        <w:rPr>
          <w:noProof/>
        </w:rPr>
        <w:t xml:space="preserve"> </w:t>
      </w:r>
    </w:p>
    <w:p w14:paraId="5719EE11" w14:textId="2E997B69" w:rsidR="008F6BFF" w:rsidRDefault="00C44DD6" w:rsidP="00C44DD6">
      <w:pPr>
        <w:pStyle w:val="Point1"/>
        <w:rPr>
          <w:noProof/>
        </w:rPr>
      </w:pPr>
      <w:r w:rsidRPr="00C44DD6">
        <w:rPr>
          <w:noProof/>
        </w:rPr>
        <w:t>(b)</w:t>
      </w:r>
      <w:r w:rsidRPr="00C44DD6">
        <w:rPr>
          <w:noProof/>
        </w:rPr>
        <w:tab/>
      </w:r>
      <w:r w:rsidR="000C2D0C" w:rsidRPr="00185722">
        <w:rPr>
          <w:noProof/>
        </w:rPr>
        <w:t>be based on common assumptions allowing for project comparison</w:t>
      </w:r>
      <w:r w:rsidR="0043290F">
        <w:rPr>
          <w:noProof/>
        </w:rPr>
        <w:t>;</w:t>
      </w:r>
      <w:r w:rsidR="000C2D0C" w:rsidRPr="00185722">
        <w:rPr>
          <w:noProof/>
        </w:rPr>
        <w:t xml:space="preserve"> </w:t>
      </w:r>
    </w:p>
    <w:p w14:paraId="18CEDD84" w14:textId="6EF7AC4A" w:rsidR="000C2D0C" w:rsidRPr="00185722" w:rsidRDefault="00C44DD6" w:rsidP="00C44DD6">
      <w:pPr>
        <w:pStyle w:val="Point1"/>
        <w:rPr>
          <w:noProof/>
        </w:rPr>
      </w:pPr>
      <w:r w:rsidRPr="00C44DD6">
        <w:rPr>
          <w:noProof/>
        </w:rPr>
        <w:t>(c)</w:t>
      </w:r>
      <w:r w:rsidRPr="00C44DD6">
        <w:rPr>
          <w:noProof/>
        </w:rPr>
        <w:tab/>
      </w:r>
      <w:r w:rsidR="000C2D0C" w:rsidRPr="00185722">
        <w:rPr>
          <w:noProof/>
        </w:rPr>
        <w:t>be consistent with the Union’s targets for energy and climate and its 2050 climate neutrality objective</w:t>
      </w:r>
      <w:r w:rsidR="000C2D0C" w:rsidRPr="00185722">
        <w:rPr>
          <w:rFonts w:eastAsia="Times New Roman"/>
          <w:noProof/>
          <w:lang w:eastAsia="en-IE"/>
        </w:rPr>
        <w:t xml:space="preserve"> and the central scenario referred to in Article 11</w:t>
      </w:r>
      <w:r w:rsidR="000C2D0C" w:rsidRPr="00185722">
        <w:rPr>
          <w:noProof/>
        </w:rPr>
        <w:t>, as well as with the rules and indicators set out in Annex</w:t>
      </w:r>
      <w:r w:rsidR="000C2D0C" w:rsidRPr="00185722">
        <w:rPr>
          <w:rFonts w:eastAsia="Times New Roman"/>
          <w:noProof/>
          <w:lang w:eastAsia="en-IE"/>
        </w:rPr>
        <w:t> </w:t>
      </w:r>
      <w:r w:rsidR="000C2D0C" w:rsidRPr="00185722">
        <w:rPr>
          <w:noProof/>
        </w:rPr>
        <w:t>IV</w:t>
      </w:r>
      <w:r w:rsidR="0043290F">
        <w:rPr>
          <w:noProof/>
        </w:rPr>
        <w:t>;</w:t>
      </w:r>
    </w:p>
    <w:p w14:paraId="5314D48A" w14:textId="2C73BBC8" w:rsidR="00B66037" w:rsidRPr="004D60A9" w:rsidRDefault="00C44DD6" w:rsidP="00C44DD6">
      <w:pPr>
        <w:pStyle w:val="Point1"/>
        <w:rPr>
          <w:noProof/>
        </w:rPr>
      </w:pPr>
      <w:r w:rsidRPr="00C44DD6">
        <w:rPr>
          <w:noProof/>
        </w:rPr>
        <w:t>(d)</w:t>
      </w:r>
      <w:r w:rsidRPr="00C44DD6">
        <w:rPr>
          <w:noProof/>
        </w:rPr>
        <w:tab/>
      </w:r>
      <w:r w:rsidR="003A4D00" w:rsidRPr="000C2D0C">
        <w:rPr>
          <w:noProof/>
          <w:lang w:eastAsia="en-IE"/>
        </w:rPr>
        <w:t>allow for the assessment of project bundles pursuant to Article 18 and, in the electricity sector, for the consideration of non-wire solutions</w:t>
      </w:r>
      <w:r w:rsidR="0043290F">
        <w:rPr>
          <w:noProof/>
          <w:lang w:eastAsia="en-IE"/>
        </w:rPr>
        <w:t>;</w:t>
      </w:r>
    </w:p>
    <w:p w14:paraId="612A85D3" w14:textId="49D28637" w:rsidR="003A4D00" w:rsidRPr="00185722" w:rsidRDefault="00C44DD6" w:rsidP="00C44DD6">
      <w:pPr>
        <w:pStyle w:val="Point1"/>
        <w:rPr>
          <w:noProof/>
        </w:rPr>
      </w:pPr>
      <w:r w:rsidRPr="00C44DD6">
        <w:rPr>
          <w:noProof/>
        </w:rPr>
        <w:t>(e)</w:t>
      </w:r>
      <w:r w:rsidRPr="00C44DD6">
        <w:rPr>
          <w:noProof/>
        </w:rPr>
        <w:tab/>
      </w:r>
      <w:r w:rsidR="00B66037">
        <w:rPr>
          <w:noProof/>
          <w:lang w:eastAsia="en-IE"/>
        </w:rPr>
        <w:t>shall take a cross-sectoral approach</w:t>
      </w:r>
      <w:r w:rsidR="003A4D00" w:rsidRPr="00185722">
        <w:rPr>
          <w:noProof/>
        </w:rPr>
        <w:t>.</w:t>
      </w:r>
    </w:p>
    <w:p w14:paraId="375CEBBC" w14:textId="1A44508A" w:rsidR="000C2D0C" w:rsidRPr="00185722" w:rsidRDefault="00C44DD6" w:rsidP="00C44DD6">
      <w:pPr>
        <w:pStyle w:val="ManualNumPar1"/>
        <w:rPr>
          <w:noProof/>
        </w:rPr>
      </w:pPr>
      <w:r w:rsidRPr="00C44DD6">
        <w:rPr>
          <w:noProof/>
        </w:rPr>
        <w:t>3.</w:t>
      </w:r>
      <w:r w:rsidRPr="00C44DD6">
        <w:rPr>
          <w:noProof/>
        </w:rPr>
        <w:tab/>
      </w:r>
      <w:r w:rsidR="00677395">
        <w:rPr>
          <w:noProof/>
        </w:rPr>
        <w:t>T</w:t>
      </w:r>
      <w:r w:rsidR="0067641D" w:rsidRPr="00185722">
        <w:rPr>
          <w:noProof/>
        </w:rPr>
        <w:t xml:space="preserve">he ENTSO for Electricity and the ENNOH shall </w:t>
      </w:r>
      <w:r w:rsidR="004E75E3">
        <w:rPr>
          <w:noProof/>
        </w:rPr>
        <w:t>develop and publish preliminary draft</w:t>
      </w:r>
      <w:r w:rsidR="0067641D" w:rsidRPr="00185722">
        <w:rPr>
          <w:noProof/>
        </w:rPr>
        <w:t xml:space="preserve"> methodologies for </w:t>
      </w:r>
      <w:r w:rsidR="00207323" w:rsidRPr="00207323">
        <w:rPr>
          <w:noProof/>
        </w:rPr>
        <w:t xml:space="preserve">the purpose of consulting </w:t>
      </w:r>
      <w:r w:rsidR="00207323" w:rsidRPr="003C2D8A">
        <w:rPr>
          <w:noProof/>
        </w:rPr>
        <w:t xml:space="preserve">the EU DSO </w:t>
      </w:r>
      <w:r w:rsidR="00962C75">
        <w:rPr>
          <w:noProof/>
        </w:rPr>
        <w:t>E</w:t>
      </w:r>
      <w:r w:rsidR="00207323" w:rsidRPr="003C2D8A">
        <w:rPr>
          <w:noProof/>
        </w:rPr>
        <w:t>ntity, and other</w:t>
      </w:r>
      <w:r w:rsidR="00207323" w:rsidRPr="00207323">
        <w:rPr>
          <w:noProof/>
        </w:rPr>
        <w:t xml:space="preserve"> relevant stakeholders. The consultation process shall be open, timely and transparent. The ENTSO for Electricity and the ENNOH shall prepare and make public a report on the consultation process.</w:t>
      </w:r>
    </w:p>
    <w:p w14:paraId="02CC5D59" w14:textId="68E7A8D1" w:rsidR="00DC4180" w:rsidRPr="00185722" w:rsidRDefault="00C44DD6" w:rsidP="00C44DD6">
      <w:pPr>
        <w:pStyle w:val="ManualNumPar1"/>
        <w:rPr>
          <w:noProof/>
        </w:rPr>
      </w:pPr>
      <w:r w:rsidRPr="00C44DD6">
        <w:rPr>
          <w:noProof/>
        </w:rPr>
        <w:t>4.</w:t>
      </w:r>
      <w:r w:rsidRPr="00C44DD6">
        <w:rPr>
          <w:noProof/>
        </w:rPr>
        <w:tab/>
      </w:r>
      <w:r w:rsidR="00BD7D39">
        <w:rPr>
          <w:noProof/>
        </w:rPr>
        <w:t>T</w:t>
      </w:r>
      <w:r w:rsidR="00DC4180" w:rsidRPr="00185722">
        <w:rPr>
          <w:noProof/>
        </w:rPr>
        <w:t xml:space="preserve">he ENTSO for Electricity </w:t>
      </w:r>
      <w:r w:rsidR="00DC4180" w:rsidRPr="000C2D0C">
        <w:rPr>
          <w:noProof/>
        </w:rPr>
        <w:t>and</w:t>
      </w:r>
      <w:r w:rsidR="00DC4180" w:rsidRPr="00185722">
        <w:rPr>
          <w:noProof/>
        </w:rPr>
        <w:t xml:space="preserve"> the ENNOH shall publish and submit to Member States, the Commission and the Agency </w:t>
      </w:r>
      <w:r w:rsidR="00DC4180" w:rsidRPr="000C2D0C">
        <w:rPr>
          <w:noProof/>
        </w:rPr>
        <w:t>their</w:t>
      </w:r>
      <w:r w:rsidR="00DC4180" w:rsidRPr="00185722">
        <w:rPr>
          <w:noProof/>
        </w:rPr>
        <w:t xml:space="preserve"> draft </w:t>
      </w:r>
      <w:r w:rsidR="00DC4180" w:rsidRPr="000C2D0C">
        <w:rPr>
          <w:noProof/>
        </w:rPr>
        <w:t xml:space="preserve">methodologies. </w:t>
      </w:r>
      <w:r w:rsidR="00DC2EA2" w:rsidRPr="70B2EE71">
        <w:rPr>
          <w:noProof/>
          <w:lang w:val="en-IE"/>
        </w:rPr>
        <w:t>The ENTSO for Electricity and the ENNOH shall provide reasons where they have not, or have only partly, taken into account the comments from Member States, national authorities, or other stakeholders.</w:t>
      </w:r>
      <w:r w:rsidR="00BD7D39">
        <w:rPr>
          <w:noProof/>
          <w:lang w:val="en-IE"/>
        </w:rPr>
        <w:t xml:space="preserve"> </w:t>
      </w:r>
      <w:r w:rsidR="00BD7D39" w:rsidRPr="00BD7D39">
        <w:rPr>
          <w:noProof/>
          <w:lang w:val="en-IE"/>
        </w:rPr>
        <w:t>The ENTSO for Electricity and the ENNOH shall publish and submit to Member States, the Commission and the Agency their</w:t>
      </w:r>
      <w:r w:rsidR="00BD7D39">
        <w:rPr>
          <w:noProof/>
          <w:lang w:val="en-IE"/>
        </w:rPr>
        <w:t xml:space="preserve"> first</w:t>
      </w:r>
      <w:r w:rsidR="00BD7D39" w:rsidRPr="00BD7D39">
        <w:rPr>
          <w:noProof/>
          <w:lang w:val="en-IE"/>
        </w:rPr>
        <w:t xml:space="preserve"> consistent single sector draft methodologies</w:t>
      </w:r>
      <w:r w:rsidR="00BD7D39">
        <w:rPr>
          <w:noProof/>
          <w:lang w:val="en-IE"/>
        </w:rPr>
        <w:t xml:space="preserve"> </w:t>
      </w:r>
      <w:r w:rsidR="00BD7D39" w:rsidRPr="00615F22">
        <w:rPr>
          <w:noProof/>
          <w:lang w:val="en-IE"/>
        </w:rPr>
        <w:t>by December 2027.</w:t>
      </w:r>
    </w:p>
    <w:p w14:paraId="7525CED5" w14:textId="1694E37B" w:rsidR="000C2D0C" w:rsidRPr="00185722" w:rsidRDefault="00C44DD6" w:rsidP="00C44DD6">
      <w:pPr>
        <w:pStyle w:val="ManualNumPar1"/>
        <w:rPr>
          <w:noProof/>
        </w:rPr>
      </w:pPr>
      <w:r w:rsidRPr="00C44DD6">
        <w:rPr>
          <w:noProof/>
        </w:rPr>
        <w:t>5.</w:t>
      </w:r>
      <w:r w:rsidRPr="00C44DD6">
        <w:rPr>
          <w:noProof/>
        </w:rPr>
        <w:tab/>
      </w:r>
      <w:r w:rsidR="000C2D0C" w:rsidRPr="00185722">
        <w:rPr>
          <w:noProof/>
        </w:rPr>
        <w:t xml:space="preserve">Within three months of receipt of the draft methodologies, the Agency </w:t>
      </w:r>
      <w:r w:rsidR="000C2D0C" w:rsidRPr="00185722">
        <w:rPr>
          <w:rFonts w:eastAsia="Times New Roman"/>
          <w:noProof/>
          <w:lang w:eastAsia="en-IE"/>
        </w:rPr>
        <w:t>and</w:t>
      </w:r>
      <w:r w:rsidR="000C2D0C" w:rsidRPr="00185722">
        <w:rPr>
          <w:noProof/>
        </w:rPr>
        <w:t xml:space="preserve"> Member States may deliver their opinions to the ENTSO for Electricity and the ENNOH and the Commission. </w:t>
      </w:r>
      <w:r w:rsidR="003F0E9F">
        <w:rPr>
          <w:noProof/>
        </w:rPr>
        <w:t>T</w:t>
      </w:r>
      <w:r w:rsidR="000C2D0C" w:rsidRPr="00185722">
        <w:rPr>
          <w:noProof/>
        </w:rPr>
        <w:t>he Commission may organise specific meetings of the Groups to discuss the draft methodologies.</w:t>
      </w:r>
    </w:p>
    <w:p w14:paraId="467CC7BA" w14:textId="28DF38DB" w:rsidR="00FD66A2" w:rsidRDefault="00C44DD6" w:rsidP="00C44DD6">
      <w:pPr>
        <w:pStyle w:val="ManualNumPar1"/>
        <w:rPr>
          <w:noProof/>
        </w:rPr>
      </w:pPr>
      <w:r w:rsidRPr="00C44DD6">
        <w:rPr>
          <w:noProof/>
        </w:rPr>
        <w:t>6.</w:t>
      </w:r>
      <w:r w:rsidRPr="00C44DD6">
        <w:rPr>
          <w:noProof/>
        </w:rPr>
        <w:tab/>
      </w:r>
      <w:r w:rsidR="000C2D0C" w:rsidRPr="00185722">
        <w:rPr>
          <w:noProof/>
        </w:rPr>
        <w:t xml:space="preserve">Within three months of receipt of the opinions of the Agency and Member States, the ENTSO for Electricity and the ENNOH shall amend their respective methodologies to fully take into account the opinions of the Agency and the Member States and submit them to the Commission for its approval. </w:t>
      </w:r>
    </w:p>
    <w:p w14:paraId="3C070F33" w14:textId="76C619F8" w:rsidR="000C2D0C" w:rsidRPr="00185722" w:rsidRDefault="00C44DD6" w:rsidP="00C44DD6">
      <w:pPr>
        <w:pStyle w:val="ManualNumPar1"/>
        <w:rPr>
          <w:noProof/>
        </w:rPr>
      </w:pPr>
      <w:r w:rsidRPr="00C44DD6">
        <w:rPr>
          <w:noProof/>
        </w:rPr>
        <w:t>7.</w:t>
      </w:r>
      <w:r w:rsidRPr="00C44DD6">
        <w:rPr>
          <w:noProof/>
        </w:rPr>
        <w:tab/>
      </w:r>
      <w:r w:rsidR="00FD66A2">
        <w:rPr>
          <w:noProof/>
        </w:rPr>
        <w:t xml:space="preserve">Within three months of receipt </w:t>
      </w:r>
      <w:r w:rsidR="00C91B46">
        <w:rPr>
          <w:noProof/>
        </w:rPr>
        <w:t>of the respective methodologies, t</w:t>
      </w:r>
      <w:r w:rsidR="000C2D0C" w:rsidRPr="00185722">
        <w:rPr>
          <w:noProof/>
        </w:rPr>
        <w:t>he Commission shall issue its decision.</w:t>
      </w:r>
    </w:p>
    <w:p w14:paraId="75DEEF31" w14:textId="414E6003" w:rsidR="00B96010" w:rsidRDefault="00C44DD6" w:rsidP="00C44DD6">
      <w:pPr>
        <w:pStyle w:val="ManualNumPar1"/>
        <w:rPr>
          <w:noProof/>
        </w:rPr>
      </w:pPr>
      <w:r w:rsidRPr="00C44DD6">
        <w:rPr>
          <w:noProof/>
        </w:rPr>
        <w:t>8.</w:t>
      </w:r>
      <w:r w:rsidRPr="00C44DD6">
        <w:rPr>
          <w:noProof/>
        </w:rPr>
        <w:tab/>
      </w:r>
      <w:r w:rsidR="00BA2B10" w:rsidRPr="00BA2B10">
        <w:rPr>
          <w:noProof/>
        </w:rPr>
        <w:t xml:space="preserve">If the Commission rejects the draft methodology, it shall provide reasons. </w:t>
      </w:r>
      <w:r w:rsidR="00A65624">
        <w:rPr>
          <w:noProof/>
        </w:rPr>
        <w:t xml:space="preserve">The </w:t>
      </w:r>
      <w:r w:rsidR="00BA2B10" w:rsidRPr="00BA2B10">
        <w:rPr>
          <w:noProof/>
        </w:rPr>
        <w:t>ENTSO</w:t>
      </w:r>
      <w:r w:rsidR="00A65624">
        <w:rPr>
          <w:noProof/>
        </w:rPr>
        <w:t xml:space="preserve"> for </w:t>
      </w:r>
      <w:r w:rsidR="00A65624" w:rsidRPr="00BA2B10">
        <w:rPr>
          <w:noProof/>
        </w:rPr>
        <w:t>E</w:t>
      </w:r>
      <w:r w:rsidR="00A65624">
        <w:rPr>
          <w:noProof/>
        </w:rPr>
        <w:t>lectricity</w:t>
      </w:r>
      <w:r w:rsidR="00BA2B10" w:rsidRPr="00BA2B10">
        <w:rPr>
          <w:noProof/>
        </w:rPr>
        <w:t xml:space="preserve"> and </w:t>
      </w:r>
      <w:r w:rsidR="00A65624">
        <w:rPr>
          <w:noProof/>
        </w:rPr>
        <w:t xml:space="preserve">the </w:t>
      </w:r>
      <w:r w:rsidR="00BA2B10" w:rsidRPr="00BA2B10">
        <w:rPr>
          <w:noProof/>
        </w:rPr>
        <w:t>ENNOH respectively shall revise the draft methodology and resubmit it to the Commission for its approval</w:t>
      </w:r>
      <w:r w:rsidR="00BA2B10">
        <w:rPr>
          <w:noProof/>
        </w:rPr>
        <w:t>.</w:t>
      </w:r>
    </w:p>
    <w:p w14:paraId="048B1893" w14:textId="169DDDB0" w:rsidR="00626A39" w:rsidRPr="00185722" w:rsidRDefault="00C44DD6" w:rsidP="00C44DD6">
      <w:pPr>
        <w:pStyle w:val="ManualNumPar1"/>
        <w:rPr>
          <w:noProof/>
        </w:rPr>
      </w:pPr>
      <w:r w:rsidRPr="00C44DD6">
        <w:rPr>
          <w:noProof/>
        </w:rPr>
        <w:t>9.</w:t>
      </w:r>
      <w:r w:rsidRPr="00C44DD6">
        <w:rPr>
          <w:noProof/>
        </w:rPr>
        <w:tab/>
      </w:r>
      <w:r w:rsidR="00626A39" w:rsidRPr="00185722">
        <w:rPr>
          <w:noProof/>
        </w:rPr>
        <w:t xml:space="preserve">Within two weeks of the approval by the Commission, the ENTSO for Electricity and the ENNOH shall publish their respective methodologies on their websites. </w:t>
      </w:r>
    </w:p>
    <w:p w14:paraId="673A76EC" w14:textId="6BAAE847" w:rsidR="000C2D0C" w:rsidRPr="00185722" w:rsidRDefault="00C44DD6" w:rsidP="00C44DD6">
      <w:pPr>
        <w:pStyle w:val="ManualNumPar1"/>
        <w:rPr>
          <w:noProof/>
        </w:rPr>
      </w:pPr>
      <w:r w:rsidRPr="00C44DD6">
        <w:rPr>
          <w:noProof/>
        </w:rPr>
        <w:t>10.</w:t>
      </w:r>
      <w:r w:rsidRPr="00C44DD6">
        <w:rPr>
          <w:noProof/>
        </w:rPr>
        <w:tab/>
      </w:r>
      <w:r w:rsidR="000C2D0C" w:rsidRPr="00185722">
        <w:rPr>
          <w:noProof/>
        </w:rPr>
        <w:t>The Commission</w:t>
      </w:r>
      <w:r w:rsidR="00DF76F4">
        <w:rPr>
          <w:noProof/>
        </w:rPr>
        <w:t xml:space="preserve"> and the Agency</w:t>
      </w:r>
      <w:r w:rsidR="000C2D0C" w:rsidRPr="00185722">
        <w:rPr>
          <w:noProof/>
        </w:rPr>
        <w:t xml:space="preserve"> may request </w:t>
      </w:r>
      <w:r w:rsidR="00A65624">
        <w:rPr>
          <w:noProof/>
        </w:rPr>
        <w:t xml:space="preserve">the </w:t>
      </w:r>
      <w:r w:rsidR="00D53199">
        <w:rPr>
          <w:noProof/>
        </w:rPr>
        <w:t>ENTSO</w:t>
      </w:r>
      <w:r w:rsidR="00A65624">
        <w:rPr>
          <w:noProof/>
        </w:rPr>
        <w:t xml:space="preserve"> for Electricity</w:t>
      </w:r>
      <w:r w:rsidR="00D53199">
        <w:rPr>
          <w:noProof/>
        </w:rPr>
        <w:t xml:space="preserve"> and </w:t>
      </w:r>
      <w:r w:rsidR="006E31F7">
        <w:rPr>
          <w:noProof/>
        </w:rPr>
        <w:t xml:space="preserve">the </w:t>
      </w:r>
      <w:r w:rsidR="00D53199">
        <w:rPr>
          <w:noProof/>
        </w:rPr>
        <w:t>ENNOH, as applicable, to</w:t>
      </w:r>
      <w:r w:rsidR="000C2D0C" w:rsidRPr="00185722">
        <w:rPr>
          <w:noProof/>
        </w:rPr>
        <w:t xml:space="preserve"> update</w:t>
      </w:r>
      <w:r w:rsidR="000C2D0C" w:rsidRPr="00185722">
        <w:rPr>
          <w:rFonts w:eastAsia="Times New Roman"/>
          <w:noProof/>
          <w:lang w:eastAsia="en-IE"/>
        </w:rPr>
        <w:t xml:space="preserve"> the</w:t>
      </w:r>
      <w:r w:rsidR="00D53199">
        <w:rPr>
          <w:rFonts w:eastAsia="Times New Roman"/>
          <w:noProof/>
          <w:lang w:eastAsia="en-IE"/>
        </w:rPr>
        <w:t>ir</w:t>
      </w:r>
      <w:r w:rsidR="000C2D0C" w:rsidRPr="00185722">
        <w:rPr>
          <w:rFonts w:eastAsia="Times New Roman"/>
          <w:noProof/>
          <w:lang w:eastAsia="en-IE"/>
        </w:rPr>
        <w:t xml:space="preserve"> </w:t>
      </w:r>
      <w:r w:rsidR="000C2D0C" w:rsidRPr="00CB7B06">
        <w:rPr>
          <w:rFonts w:eastAsia="Times New Roman"/>
          <w:noProof/>
          <w:lang w:eastAsia="en-IE"/>
        </w:rPr>
        <w:t>methodologies</w:t>
      </w:r>
      <w:r w:rsidR="00D53199" w:rsidRPr="00CB7B06">
        <w:rPr>
          <w:rFonts w:eastAsia="Times New Roman"/>
          <w:noProof/>
          <w:lang w:eastAsia="en-IE"/>
        </w:rPr>
        <w:t xml:space="preserve"> and set a timetable</w:t>
      </w:r>
      <w:r w:rsidR="000C2D0C" w:rsidRPr="00185722">
        <w:rPr>
          <w:noProof/>
        </w:rPr>
        <w:t xml:space="preserve">. The Agency </w:t>
      </w:r>
      <w:r w:rsidR="00563F90">
        <w:rPr>
          <w:noProof/>
        </w:rPr>
        <w:t>may act on its own initiative</w:t>
      </w:r>
      <w:r w:rsidR="007B794C">
        <w:rPr>
          <w:noProof/>
        </w:rPr>
        <w:t>, or upon</w:t>
      </w:r>
      <w:r w:rsidR="00287EEF" w:rsidRPr="00287EEF">
        <w:rPr>
          <w:noProof/>
        </w:rPr>
        <w:t xml:space="preserve"> a duly reasoned request by national regulatory authorities or stakeholders</w:t>
      </w:r>
      <w:r w:rsidR="00287EEF">
        <w:rPr>
          <w:noProof/>
        </w:rPr>
        <w:t xml:space="preserve">. </w:t>
      </w:r>
      <w:r w:rsidR="000C2D0C" w:rsidRPr="00185722">
        <w:rPr>
          <w:noProof/>
        </w:rPr>
        <w:t xml:space="preserve">The Agency shall publish the requests </w:t>
      </w:r>
      <w:r w:rsidR="003A3816">
        <w:rPr>
          <w:noProof/>
        </w:rPr>
        <w:t>it receives</w:t>
      </w:r>
      <w:r w:rsidR="000C2D0C" w:rsidRPr="00185722">
        <w:rPr>
          <w:noProof/>
        </w:rPr>
        <w:t xml:space="preserve"> and all relevant non-commercially sensitive documents </w:t>
      </w:r>
      <w:r w:rsidR="00C17637" w:rsidRPr="00B8405D">
        <w:rPr>
          <w:noProof/>
          <w:lang w:val="en-IE"/>
        </w:rPr>
        <w:t>on which its request is based</w:t>
      </w:r>
      <w:r w:rsidR="000C2D0C" w:rsidRPr="00185722">
        <w:rPr>
          <w:noProof/>
        </w:rPr>
        <w:t>.</w:t>
      </w:r>
    </w:p>
    <w:p w14:paraId="48F12C6D" w14:textId="2A9D3299" w:rsidR="000C2D0C" w:rsidRPr="00185722" w:rsidRDefault="00C44DD6" w:rsidP="00C44DD6">
      <w:pPr>
        <w:pStyle w:val="ManualNumPar1"/>
        <w:rPr>
          <w:noProof/>
          <w:lang w:eastAsia="en-IE"/>
        </w:rPr>
      </w:pPr>
      <w:r w:rsidRPr="00C44DD6">
        <w:rPr>
          <w:noProof/>
        </w:rPr>
        <w:t>11.</w:t>
      </w:r>
      <w:r w:rsidRPr="00C44DD6">
        <w:rPr>
          <w:noProof/>
        </w:rPr>
        <w:tab/>
      </w:r>
      <w:r w:rsidR="00A65624">
        <w:rPr>
          <w:noProof/>
          <w:lang w:eastAsia="en-IE"/>
        </w:rPr>
        <w:t>Where</w:t>
      </w:r>
      <w:r w:rsidR="000C2D0C" w:rsidRPr="00185722">
        <w:rPr>
          <w:noProof/>
          <w:lang w:eastAsia="en-IE"/>
        </w:rPr>
        <w:t xml:space="preserve"> requested by the Agency or by the Commission, the ENTSO</w:t>
      </w:r>
      <w:r w:rsidR="00A65624">
        <w:rPr>
          <w:noProof/>
          <w:lang w:eastAsia="en-IE"/>
        </w:rPr>
        <w:t xml:space="preserve"> for </w:t>
      </w:r>
      <w:r w:rsidR="000C2D0C" w:rsidRPr="00185722">
        <w:rPr>
          <w:noProof/>
          <w:lang w:eastAsia="en-IE"/>
        </w:rPr>
        <w:t>E</w:t>
      </w:r>
      <w:r w:rsidR="00A65624">
        <w:rPr>
          <w:noProof/>
          <w:lang w:eastAsia="en-IE"/>
        </w:rPr>
        <w:t>lectricity</w:t>
      </w:r>
      <w:r w:rsidR="000C2D0C" w:rsidRPr="00185722">
        <w:rPr>
          <w:noProof/>
          <w:lang w:eastAsia="en-IE"/>
        </w:rPr>
        <w:t xml:space="preserve"> and the ENNOH shall update the consistent single sector cost-benefit methodologies in accordance with the approval procedure pursuant to paragraphs </w:t>
      </w:r>
      <w:r w:rsidR="005B12AB">
        <w:rPr>
          <w:noProof/>
          <w:lang w:eastAsia="en-IE"/>
        </w:rPr>
        <w:t>3</w:t>
      </w:r>
      <w:r w:rsidR="000C2D0C" w:rsidRPr="00185722">
        <w:rPr>
          <w:noProof/>
          <w:lang w:eastAsia="en-IE"/>
        </w:rPr>
        <w:t xml:space="preserve"> to </w:t>
      </w:r>
      <w:r w:rsidR="00F80591">
        <w:rPr>
          <w:noProof/>
          <w:lang w:eastAsia="en-IE"/>
        </w:rPr>
        <w:t>9</w:t>
      </w:r>
      <w:r w:rsidR="000C2D0C" w:rsidRPr="00185722">
        <w:rPr>
          <w:noProof/>
          <w:lang w:eastAsia="en-IE"/>
        </w:rPr>
        <w:t>.</w:t>
      </w:r>
    </w:p>
    <w:p w14:paraId="674232A1" w14:textId="7DFB3E97" w:rsidR="00071B40" w:rsidRDefault="00C44DD6" w:rsidP="00C44DD6">
      <w:pPr>
        <w:pStyle w:val="ManualNumPar1"/>
        <w:rPr>
          <w:noProof/>
        </w:rPr>
      </w:pPr>
      <w:r w:rsidRPr="00C44DD6">
        <w:rPr>
          <w:noProof/>
        </w:rPr>
        <w:t>12.</w:t>
      </w:r>
      <w:r w:rsidRPr="00C44DD6">
        <w:rPr>
          <w:noProof/>
        </w:rPr>
        <w:tab/>
      </w:r>
      <w:r w:rsidR="00A65624">
        <w:rPr>
          <w:noProof/>
        </w:rPr>
        <w:t>The ENTSO for Electricity</w:t>
      </w:r>
      <w:r w:rsidR="00071B40" w:rsidRPr="00071B40">
        <w:rPr>
          <w:noProof/>
        </w:rPr>
        <w:t xml:space="preserve"> and </w:t>
      </w:r>
      <w:r w:rsidR="009D2C05">
        <w:rPr>
          <w:noProof/>
        </w:rPr>
        <w:t xml:space="preserve">the </w:t>
      </w:r>
      <w:r w:rsidR="00071B40" w:rsidRPr="00071B40">
        <w:rPr>
          <w:noProof/>
        </w:rPr>
        <w:t>ENNOH shall publish in the context of each Union</w:t>
      </w:r>
      <w:r w:rsidR="00F80591">
        <w:rPr>
          <w:noProof/>
        </w:rPr>
        <w:t>-</w:t>
      </w:r>
      <w:r w:rsidR="00071B40" w:rsidRPr="00071B40">
        <w:rPr>
          <w:noProof/>
        </w:rPr>
        <w:t>wide ten-year network development plan the updated input data relevant for application of the methodologies, including calculation methods, network models, relevant load flow and market data. These data shall be published in a sufficiently accurate form subject to restrictions under national law and relevant confidentiality agreements. The Commission and the Agency shall ensure the confidential treatment of the data received by them and by any party that carries out analytical work on the basis of those data on their behalf.</w:t>
      </w:r>
    </w:p>
    <w:p w14:paraId="719D2CF1" w14:textId="3BD88F39" w:rsidR="000C2D0C" w:rsidRPr="00185722" w:rsidRDefault="00C44DD6" w:rsidP="00C44DD6">
      <w:pPr>
        <w:pStyle w:val="ManualNumPar1"/>
        <w:rPr>
          <w:noProof/>
        </w:rPr>
      </w:pPr>
      <w:r w:rsidRPr="00C44DD6">
        <w:rPr>
          <w:noProof/>
        </w:rPr>
        <w:t>13.</w:t>
      </w:r>
      <w:r w:rsidRPr="00C44DD6">
        <w:rPr>
          <w:noProof/>
        </w:rPr>
        <w:tab/>
      </w:r>
      <w:r w:rsidR="009D2C05">
        <w:rPr>
          <w:noProof/>
        </w:rPr>
        <w:t>The ENTSO for Electricity</w:t>
      </w:r>
      <w:r w:rsidR="009D2C05" w:rsidRPr="00071B40">
        <w:rPr>
          <w:noProof/>
        </w:rPr>
        <w:t xml:space="preserve"> </w:t>
      </w:r>
      <w:r w:rsidR="000C2D0C" w:rsidRPr="00185722">
        <w:rPr>
          <w:noProof/>
        </w:rPr>
        <w:t xml:space="preserve">and </w:t>
      </w:r>
      <w:r w:rsidR="009D2C05">
        <w:rPr>
          <w:noProof/>
        </w:rPr>
        <w:t xml:space="preserve">the </w:t>
      </w:r>
      <w:r w:rsidR="000C2D0C" w:rsidRPr="00185722">
        <w:rPr>
          <w:noProof/>
        </w:rPr>
        <w:t xml:space="preserve">ENNOH shall calculate and publish, as part of the Union-wide </w:t>
      </w:r>
      <w:r w:rsidR="00AF31DA">
        <w:rPr>
          <w:noProof/>
        </w:rPr>
        <w:t>t</w:t>
      </w:r>
      <w:r w:rsidR="000C2D0C" w:rsidRPr="00185722">
        <w:rPr>
          <w:noProof/>
        </w:rPr>
        <w:t>en-</w:t>
      </w:r>
      <w:r w:rsidR="00AF31DA">
        <w:rPr>
          <w:noProof/>
        </w:rPr>
        <w:t>y</w:t>
      </w:r>
      <w:r w:rsidR="000C2D0C" w:rsidRPr="00185722">
        <w:rPr>
          <w:noProof/>
        </w:rPr>
        <w:t xml:space="preserve">ear </w:t>
      </w:r>
      <w:r w:rsidR="00AF31DA">
        <w:rPr>
          <w:noProof/>
        </w:rPr>
        <w:t>n</w:t>
      </w:r>
      <w:r w:rsidR="000C2D0C" w:rsidRPr="00185722">
        <w:rPr>
          <w:noProof/>
        </w:rPr>
        <w:t xml:space="preserve">etwork </w:t>
      </w:r>
      <w:r w:rsidR="00AF31DA">
        <w:rPr>
          <w:noProof/>
        </w:rPr>
        <w:t>d</w:t>
      </w:r>
      <w:r w:rsidR="000C2D0C" w:rsidRPr="00185722">
        <w:rPr>
          <w:noProof/>
        </w:rPr>
        <w:t xml:space="preserve">evelopment </w:t>
      </w:r>
      <w:r w:rsidR="00AF31DA">
        <w:rPr>
          <w:noProof/>
        </w:rPr>
        <w:t>p</w:t>
      </w:r>
      <w:r w:rsidR="000C2D0C" w:rsidRPr="00185722">
        <w:rPr>
          <w:noProof/>
        </w:rPr>
        <w:t>lan, the results of cost-benefit analyses for all projects, showing how the benefits are distributed across countries. This shall include benefits for both hosting countries and non-hosting countries that benefit from the respective project.</w:t>
      </w:r>
    </w:p>
    <w:p w14:paraId="35D20D51" w14:textId="2AF95FAF" w:rsidR="000C2D0C" w:rsidRPr="00185722" w:rsidRDefault="00C44DD6" w:rsidP="00C44DD6">
      <w:pPr>
        <w:pStyle w:val="ManualNumPar1"/>
        <w:rPr>
          <w:noProof/>
        </w:rPr>
      </w:pPr>
      <w:r w:rsidRPr="00C44DD6">
        <w:rPr>
          <w:noProof/>
        </w:rPr>
        <w:t>14.</w:t>
      </w:r>
      <w:r w:rsidRPr="00C44DD6">
        <w:rPr>
          <w:noProof/>
        </w:rPr>
        <w:tab/>
      </w:r>
      <w:r w:rsidR="000C2D0C" w:rsidRPr="00185722">
        <w:rPr>
          <w:noProof/>
        </w:rPr>
        <w:t xml:space="preserve">For projects falling under the energy </w:t>
      </w:r>
      <w:r w:rsidR="000C2D0C" w:rsidRPr="00963631">
        <w:rPr>
          <w:noProof/>
        </w:rPr>
        <w:t>infrastructure categories set out in point (1)(</w:t>
      </w:r>
      <w:r w:rsidR="00606394">
        <w:rPr>
          <w:noProof/>
        </w:rPr>
        <w:t>g</w:t>
      </w:r>
      <w:r w:rsidR="000C2D0C" w:rsidRPr="00963631">
        <w:rPr>
          <w:noProof/>
        </w:rPr>
        <w:t>) and in point (4) of Annex</w:t>
      </w:r>
      <w:r w:rsidR="000C2D0C" w:rsidRPr="00963631">
        <w:rPr>
          <w:rFonts w:eastAsia="Times New Roman"/>
          <w:noProof/>
          <w:color w:val="000000" w:themeColor="text1"/>
          <w:lang w:eastAsia="en-IE"/>
        </w:rPr>
        <w:t> </w:t>
      </w:r>
      <w:r w:rsidR="000C2D0C" w:rsidRPr="00963631">
        <w:rPr>
          <w:noProof/>
        </w:rPr>
        <w:t>II, the Commission shall ensure the development of methodologies for a</w:t>
      </w:r>
      <w:r w:rsidR="000C2D0C" w:rsidRPr="00963631">
        <w:rPr>
          <w:rFonts w:eastAsia="Times New Roman"/>
          <w:noProof/>
          <w:color w:val="000000" w:themeColor="text1"/>
          <w:lang w:eastAsia="en-IE"/>
        </w:rPr>
        <w:t> </w:t>
      </w:r>
      <w:r w:rsidR="000C2D0C" w:rsidRPr="00963631">
        <w:rPr>
          <w:noProof/>
        </w:rPr>
        <w:t>harmonised energy system</w:t>
      </w:r>
      <w:r w:rsidR="000C2D0C" w:rsidRPr="00185722">
        <w:rPr>
          <w:noProof/>
        </w:rPr>
        <w:t>-wide cost-benefit analysis at Union level. Those methodologies shall be compatible in terms of benefits and costs with the methodologies developed by the ENTSO for Electricity and the ENNOH. The methodologies shall be developed in a</w:t>
      </w:r>
      <w:r w:rsidR="000C2D0C" w:rsidRPr="00185722">
        <w:rPr>
          <w:rFonts w:eastAsia="Times New Roman"/>
          <w:noProof/>
          <w:color w:val="000000" w:themeColor="text1"/>
          <w:lang w:eastAsia="en-IE"/>
        </w:rPr>
        <w:t> </w:t>
      </w:r>
      <w:r w:rsidR="000C2D0C" w:rsidRPr="00185722">
        <w:rPr>
          <w:noProof/>
        </w:rPr>
        <w:t xml:space="preserve">transparent manner, including extensive consultation of </w:t>
      </w:r>
      <w:r w:rsidR="00DC294F">
        <w:rPr>
          <w:rFonts w:eastAsia="Times New Roman"/>
          <w:noProof/>
          <w:color w:val="000000" w:themeColor="text1"/>
          <w:lang w:eastAsia="en-IE"/>
        </w:rPr>
        <w:t>the Agency</w:t>
      </w:r>
      <w:r w:rsidR="000C2D0C" w:rsidRPr="00185722">
        <w:rPr>
          <w:rFonts w:eastAsia="Times New Roman"/>
          <w:noProof/>
          <w:color w:val="000000" w:themeColor="text1"/>
          <w:lang w:eastAsia="en-IE"/>
        </w:rPr>
        <w:t xml:space="preserve">, the </w:t>
      </w:r>
      <w:r w:rsidR="000C2D0C" w:rsidRPr="00185722">
        <w:rPr>
          <w:noProof/>
        </w:rPr>
        <w:t>Member States and all relevant stakeholders.</w:t>
      </w:r>
    </w:p>
    <w:p w14:paraId="5655A854" w14:textId="60E0CBDA" w:rsidR="000C2D0C" w:rsidRDefault="00C44DD6" w:rsidP="00C44DD6">
      <w:pPr>
        <w:pStyle w:val="ManualNumPar1"/>
        <w:rPr>
          <w:noProof/>
        </w:rPr>
      </w:pPr>
      <w:r w:rsidRPr="00C44DD6">
        <w:rPr>
          <w:noProof/>
        </w:rPr>
        <w:t>15.</w:t>
      </w:r>
      <w:r w:rsidRPr="00C44DD6">
        <w:rPr>
          <w:noProof/>
        </w:rPr>
        <w:tab/>
      </w:r>
      <w:r w:rsidR="00B97503">
        <w:rPr>
          <w:noProof/>
        </w:rPr>
        <w:t xml:space="preserve">Starting from </w:t>
      </w:r>
      <w:r w:rsidR="00D65CD9" w:rsidRPr="00836A4F">
        <w:rPr>
          <w:noProof/>
          <w:lang w:eastAsia="en-IE"/>
        </w:rPr>
        <w:t>[April 2028]</w:t>
      </w:r>
      <w:r w:rsidR="00D65CD9">
        <w:rPr>
          <w:noProof/>
        </w:rPr>
        <w:t xml:space="preserve"> </w:t>
      </w:r>
      <w:r w:rsidR="00FC02B8">
        <w:rPr>
          <w:noProof/>
        </w:rPr>
        <w:t>and</w:t>
      </w:r>
      <w:r w:rsidR="00D65CD9">
        <w:rPr>
          <w:noProof/>
        </w:rPr>
        <w:t xml:space="preserve"> e</w:t>
      </w:r>
      <w:r w:rsidR="000C2D0C" w:rsidRPr="00185722">
        <w:rPr>
          <w:noProof/>
        </w:rPr>
        <w:t xml:space="preserve">very </w:t>
      </w:r>
      <w:r w:rsidR="000C2D0C" w:rsidRPr="00185722">
        <w:rPr>
          <w:rFonts w:eastAsia="Times New Roman"/>
          <w:noProof/>
          <w:color w:val="000000" w:themeColor="text1"/>
          <w:lang w:eastAsia="en-IE"/>
        </w:rPr>
        <w:t>two</w:t>
      </w:r>
      <w:r w:rsidR="000C2D0C" w:rsidRPr="00185722">
        <w:rPr>
          <w:noProof/>
          <w:color w:val="000000" w:themeColor="text1"/>
        </w:rPr>
        <w:t xml:space="preserve"> </w:t>
      </w:r>
      <w:r w:rsidR="000C2D0C" w:rsidRPr="00185722">
        <w:rPr>
          <w:noProof/>
        </w:rPr>
        <w:t>years, the Agency shall establish and publish a</w:t>
      </w:r>
      <w:r w:rsidR="000C2D0C" w:rsidRPr="00185722">
        <w:rPr>
          <w:rFonts w:eastAsia="Times New Roman"/>
          <w:noProof/>
          <w:lang w:eastAsia="en-IE"/>
        </w:rPr>
        <w:t> </w:t>
      </w:r>
      <w:r w:rsidR="000C2D0C" w:rsidRPr="00185722">
        <w:rPr>
          <w:noProof/>
        </w:rPr>
        <w:t>set of indicators and corresponding reference values for the comparison of unit investment costs for comparable projects of the energy infrastructure categories included in Annex</w:t>
      </w:r>
      <w:r w:rsidR="000C2D0C" w:rsidRPr="00185722">
        <w:rPr>
          <w:rFonts w:eastAsia="Times New Roman"/>
          <w:noProof/>
          <w:lang w:eastAsia="en-IE"/>
        </w:rPr>
        <w:t> </w:t>
      </w:r>
      <w:r w:rsidR="000C2D0C" w:rsidRPr="00185722">
        <w:rPr>
          <w:noProof/>
        </w:rPr>
        <w:t>II. Project promoters shall provide the requested data to the national regulatory authorities and to the Agency.</w:t>
      </w:r>
      <w:r w:rsidR="00872FC9">
        <w:rPr>
          <w:noProof/>
        </w:rPr>
        <w:t xml:space="preserve"> </w:t>
      </w:r>
      <w:r w:rsidR="00872FC9" w:rsidRPr="00872FC9">
        <w:rPr>
          <w:noProof/>
        </w:rPr>
        <w:t xml:space="preserve">Those reference values </w:t>
      </w:r>
      <w:r w:rsidR="00872FC9">
        <w:rPr>
          <w:noProof/>
        </w:rPr>
        <w:t>may</w:t>
      </w:r>
      <w:r w:rsidR="00872FC9" w:rsidRPr="00872FC9">
        <w:rPr>
          <w:noProof/>
        </w:rPr>
        <w:t xml:space="preserve"> be used by the ENTSO for Electricity and the ENNOH for the cost-benefit analyses carried out for subsequent Union-wide ten-year network development plans.</w:t>
      </w:r>
      <w:r w:rsidR="44050593">
        <w:rPr>
          <w:noProof/>
        </w:rPr>
        <w:t xml:space="preserve"> </w:t>
      </w:r>
    </w:p>
    <w:p w14:paraId="2F27786E" w14:textId="77777777" w:rsidR="000C2D0C" w:rsidRDefault="000C2D0C" w:rsidP="00D9142C">
      <w:pPr>
        <w:pStyle w:val="Text1"/>
        <w:rPr>
          <w:noProof/>
          <w:lang w:eastAsia="en-IE"/>
        </w:rPr>
      </w:pPr>
    </w:p>
    <w:p w14:paraId="1843EC9B" w14:textId="77777777" w:rsidR="00A27D17" w:rsidRPr="00185722" w:rsidRDefault="00A27D17" w:rsidP="00A27D17">
      <w:pPr>
        <w:pStyle w:val="ChapterTitle"/>
        <w:rPr>
          <w:noProof/>
        </w:rPr>
      </w:pPr>
      <w:r w:rsidRPr="00185722">
        <w:rPr>
          <w:noProof/>
        </w:rPr>
        <w:t>CHAPTER V</w:t>
      </w:r>
    </w:p>
    <w:p w14:paraId="00D8A538" w14:textId="77777777" w:rsidR="00A27D17" w:rsidRPr="00185722" w:rsidRDefault="00A27D17" w:rsidP="00A27D17">
      <w:pPr>
        <w:pStyle w:val="ChapterTitle"/>
        <w:rPr>
          <w:noProof/>
        </w:rPr>
      </w:pPr>
      <w:bookmarkStart w:id="22" w:name="bookmark67"/>
      <w:r w:rsidRPr="00185722">
        <w:rPr>
          <w:noProof/>
        </w:rPr>
        <w:t>Offshore grids for renewable integration</w:t>
      </w:r>
      <w:bookmarkEnd w:id="22"/>
    </w:p>
    <w:p w14:paraId="1246FD95" w14:textId="77777777" w:rsidR="00A27D17" w:rsidRPr="00185722" w:rsidRDefault="00A27D17" w:rsidP="00A27D17">
      <w:pPr>
        <w:pStyle w:val="Titrearticle"/>
        <w:rPr>
          <w:noProof/>
        </w:rPr>
      </w:pPr>
      <w:r w:rsidRPr="00185722">
        <w:rPr>
          <w:noProof/>
          <w:lang w:eastAsia="en-IE"/>
        </w:rPr>
        <w:t>Article 15</w:t>
      </w:r>
    </w:p>
    <w:p w14:paraId="487B055C" w14:textId="77777777" w:rsidR="00A27D17" w:rsidRPr="00CB3E4F" w:rsidRDefault="00A27D17" w:rsidP="00A27D17">
      <w:pPr>
        <w:pStyle w:val="Titrearticle"/>
        <w:rPr>
          <w:b/>
          <w:bCs/>
          <w:noProof/>
        </w:rPr>
      </w:pPr>
      <w:r w:rsidRPr="00CB3E4F">
        <w:rPr>
          <w:b/>
          <w:bCs/>
          <w:noProof/>
        </w:rPr>
        <w:t>Offshore grid planning</w:t>
      </w:r>
    </w:p>
    <w:p w14:paraId="328983A9" w14:textId="21B61217" w:rsidR="00A27D17" w:rsidRPr="00185722" w:rsidRDefault="00C44DD6" w:rsidP="00C44DD6">
      <w:pPr>
        <w:pStyle w:val="ManualNumPar1"/>
        <w:rPr>
          <w:noProof/>
          <w:lang w:eastAsia="en-IE"/>
        </w:rPr>
      </w:pPr>
      <w:r w:rsidRPr="00C44DD6">
        <w:rPr>
          <w:noProof/>
        </w:rPr>
        <w:t>1.</w:t>
      </w:r>
      <w:r w:rsidRPr="00C44DD6">
        <w:rPr>
          <w:noProof/>
        </w:rPr>
        <w:tab/>
      </w:r>
      <w:r w:rsidR="364129C9">
        <w:rPr>
          <w:noProof/>
        </w:rPr>
        <w:t>By [</w:t>
      </w:r>
      <w:r w:rsidR="364129C9" w:rsidRPr="00E455CF">
        <w:rPr>
          <w:i/>
          <w:iCs/>
          <w:noProof/>
        </w:rPr>
        <w:t>within 6 months after entry into force</w:t>
      </w:r>
      <w:r w:rsidR="364129C9">
        <w:rPr>
          <w:noProof/>
        </w:rPr>
        <w:t xml:space="preserve">], Member States, with the support of the Commission, within their specific priority offshore grid corridors, set out in Section 2 of Annex I, taking into account the specificities and development in each region, shall </w:t>
      </w:r>
      <w:r w:rsidR="364129C9" w:rsidRPr="00E455CF">
        <w:rPr>
          <w:rFonts w:eastAsia="Times New Roman"/>
          <w:noProof/>
          <w:lang w:eastAsia="en-IE"/>
        </w:rPr>
        <w:t xml:space="preserve">update </w:t>
      </w:r>
      <w:bookmarkStart w:id="23" w:name="_Hlk207192241"/>
      <w:r w:rsidR="364129C9" w:rsidRPr="00E455CF">
        <w:rPr>
          <w:rFonts w:eastAsia="Times New Roman"/>
          <w:noProof/>
          <w:lang w:eastAsia="en-IE"/>
        </w:rPr>
        <w:t>the</w:t>
      </w:r>
      <w:r w:rsidR="364129C9">
        <w:rPr>
          <w:noProof/>
        </w:rPr>
        <w:t xml:space="preserve"> non-binding agreement to cooperate on </w:t>
      </w:r>
      <w:bookmarkStart w:id="24" w:name="_Hlk207192348"/>
      <w:r w:rsidR="364129C9">
        <w:rPr>
          <w:noProof/>
        </w:rPr>
        <w:t xml:space="preserve">goals for offshore renewable generation to be deployed within each sea basin </w:t>
      </w:r>
      <w:bookmarkEnd w:id="23"/>
      <w:r w:rsidR="364129C9">
        <w:rPr>
          <w:noProof/>
        </w:rPr>
        <w:t xml:space="preserve">by </w:t>
      </w:r>
      <w:r w:rsidR="005949EC">
        <w:rPr>
          <w:noProof/>
        </w:rPr>
        <w:t xml:space="preserve">2030, 2040 and </w:t>
      </w:r>
      <w:r w:rsidR="364129C9">
        <w:rPr>
          <w:noProof/>
        </w:rPr>
        <w:t>2050</w:t>
      </w:r>
      <w:bookmarkEnd w:id="24"/>
      <w:r w:rsidR="364129C9">
        <w:rPr>
          <w:noProof/>
        </w:rPr>
        <w:t xml:space="preserve">, in </w:t>
      </w:r>
      <w:r w:rsidR="734F304D">
        <w:rPr>
          <w:noProof/>
        </w:rPr>
        <w:t xml:space="preserve">accordance </w:t>
      </w:r>
      <w:r w:rsidR="364129C9">
        <w:rPr>
          <w:noProof/>
        </w:rPr>
        <w:t>with their national energy and climate plans, and the offshore renewable potential of each sea basin.</w:t>
      </w:r>
      <w:r w:rsidR="364129C9" w:rsidRPr="00E455CF">
        <w:rPr>
          <w:rFonts w:eastAsia="Times New Roman"/>
          <w:noProof/>
          <w:lang w:eastAsia="en-IE"/>
        </w:rPr>
        <w:t xml:space="preserve"> The agreement shall include renewable offshore hydrogen goals as applicable.</w:t>
      </w:r>
    </w:p>
    <w:p w14:paraId="608CB579" w14:textId="77777777" w:rsidR="00A27D17" w:rsidRPr="00185722" w:rsidRDefault="4DAE69B5" w:rsidP="00E455CF">
      <w:pPr>
        <w:pStyle w:val="Text1"/>
        <w:rPr>
          <w:noProof/>
        </w:rPr>
      </w:pPr>
      <w:r w:rsidRPr="691F0D5A">
        <w:rPr>
          <w:noProof/>
        </w:rPr>
        <w:t xml:space="preserve">As part of the non-binding agreements, </w:t>
      </w:r>
      <w:r w:rsidR="7C3165DD" w:rsidRPr="691F0D5A">
        <w:rPr>
          <w:noProof/>
        </w:rPr>
        <w:t xml:space="preserve">Member States, with the support of the Commission, within their specific priority offshore grid corridors, set out in Section 2 of Annex I, shall also consider whether specific cross-border goals, such as for hybrid or cross-border radial projects, should be established between two or more Member States </w:t>
      </w:r>
      <w:r w:rsidR="00363F4D">
        <w:rPr>
          <w:noProof/>
        </w:rPr>
        <w:t>in their respective national energy and climate plans</w:t>
      </w:r>
      <w:r w:rsidR="7C3165DD" w:rsidRPr="691F0D5A">
        <w:rPr>
          <w:noProof/>
        </w:rPr>
        <w:t xml:space="preserve"> with the aim to achieve the goals for offshore renewable generation to be deployed within each sea basin </w:t>
      </w:r>
      <w:r w:rsidR="7C3165DD" w:rsidRPr="28484164">
        <w:rPr>
          <w:noProof/>
        </w:rPr>
        <w:t>in</w:t>
      </w:r>
      <w:r w:rsidR="7C3165DD" w:rsidRPr="691F0D5A">
        <w:rPr>
          <w:noProof/>
        </w:rPr>
        <w:t xml:space="preserve"> the most efficient manner. </w:t>
      </w:r>
      <w:r w:rsidR="00E455CF">
        <w:rPr>
          <w:noProof/>
        </w:rPr>
        <w:t xml:space="preserve"> </w:t>
      </w:r>
    </w:p>
    <w:p w14:paraId="111ABCF3" w14:textId="77777777" w:rsidR="00A27D17" w:rsidRPr="00185722" w:rsidRDefault="0301743E">
      <w:pPr>
        <w:pStyle w:val="Text1"/>
        <w:rPr>
          <w:noProof/>
          <w:lang w:eastAsia="en-IE"/>
        </w:rPr>
      </w:pPr>
      <w:r>
        <w:rPr>
          <w:noProof/>
        </w:rPr>
        <w:t>That non-binding agreement shall be made in writing as regards each sea basin linked to the territory of the Member States, and shall be without prejudice to the right of Member States to develop projects on their territorial sea and exclusive economic zone. The Commission shall provide guidance for the work in the Groups.</w:t>
      </w:r>
    </w:p>
    <w:p w14:paraId="49CF6F86" w14:textId="3B0AE251" w:rsidR="00A27D17" w:rsidRPr="00185722" w:rsidRDefault="00C44DD6" w:rsidP="00C44DD6">
      <w:pPr>
        <w:pStyle w:val="ManualNumPar1"/>
        <w:rPr>
          <w:noProof/>
        </w:rPr>
      </w:pPr>
      <w:r w:rsidRPr="00C44DD6">
        <w:rPr>
          <w:noProof/>
        </w:rPr>
        <w:t>2.</w:t>
      </w:r>
      <w:r w:rsidRPr="00C44DD6">
        <w:rPr>
          <w:noProof/>
        </w:rPr>
        <w:tab/>
      </w:r>
      <w:r w:rsidR="00A27D17" w:rsidRPr="00185722">
        <w:rPr>
          <w:noProof/>
        </w:rPr>
        <w:t>By [</w:t>
      </w:r>
      <w:r w:rsidR="00A27D17" w:rsidRPr="00185722">
        <w:rPr>
          <w:i/>
          <w:iCs/>
          <w:noProof/>
        </w:rPr>
        <w:t>within 12 months after entry into force</w:t>
      </w:r>
      <w:r w:rsidR="00A27D17" w:rsidRPr="00185722">
        <w:rPr>
          <w:noProof/>
        </w:rPr>
        <w:t xml:space="preserve">], and </w:t>
      </w:r>
      <w:r w:rsidR="00A27D17" w:rsidRPr="00185722">
        <w:rPr>
          <w:rFonts w:eastAsia="Times New Roman"/>
          <w:noProof/>
          <w:lang w:eastAsia="en-IE"/>
        </w:rPr>
        <w:t xml:space="preserve">every four years thereafter, </w:t>
      </w:r>
      <w:r w:rsidR="00A27D17" w:rsidRPr="00185722">
        <w:rPr>
          <w:noProof/>
        </w:rPr>
        <w:t xml:space="preserve">as part of </w:t>
      </w:r>
      <w:r w:rsidR="00A27D17" w:rsidRPr="00185722">
        <w:rPr>
          <w:rFonts w:eastAsia="Times New Roman"/>
          <w:noProof/>
          <w:lang w:eastAsia="en-IE"/>
        </w:rPr>
        <w:t>the following</w:t>
      </w:r>
      <w:r w:rsidR="00A27D17" w:rsidRPr="00185722">
        <w:rPr>
          <w:noProof/>
        </w:rPr>
        <w:t xml:space="preserve"> ten-year network </w:t>
      </w:r>
      <w:r w:rsidR="00A27D17" w:rsidRPr="00185722">
        <w:rPr>
          <w:rFonts w:eastAsia="Times New Roman"/>
          <w:noProof/>
          <w:lang w:eastAsia="en-IE"/>
        </w:rPr>
        <w:t>development</w:t>
      </w:r>
      <w:r w:rsidR="00A27D17" w:rsidRPr="00185722">
        <w:rPr>
          <w:noProof/>
        </w:rPr>
        <w:t xml:space="preserve"> plan thereafter, the ENTSO for Electricity, with the involvement of the relevant TSOs, the national regulatory authorities, the Member States and the Commission, and in </w:t>
      </w:r>
      <w:r w:rsidR="098D1C73">
        <w:rPr>
          <w:noProof/>
        </w:rPr>
        <w:t xml:space="preserve">accordance </w:t>
      </w:r>
      <w:r w:rsidR="00A27D17" w:rsidRPr="00185722">
        <w:rPr>
          <w:noProof/>
        </w:rPr>
        <w:t xml:space="preserve">with the non-binding agreement referred to in paragraph 1 of this Article, shall develop and publish, as a separate report which is part of the Union-wide ten-year network </w:t>
      </w:r>
      <w:r w:rsidR="00A27D17" w:rsidRPr="00185722">
        <w:rPr>
          <w:rFonts w:eastAsia="Times New Roman"/>
          <w:noProof/>
          <w:lang w:eastAsia="en-IE"/>
        </w:rPr>
        <w:t>development</w:t>
      </w:r>
      <w:r w:rsidR="00A27D17" w:rsidRPr="00185722">
        <w:rPr>
          <w:noProof/>
        </w:rPr>
        <w:t xml:space="preserve"> plan, high-level strategic integrated offshore network </w:t>
      </w:r>
      <w:r w:rsidR="00A27D17" w:rsidRPr="00185722">
        <w:rPr>
          <w:rFonts w:eastAsia="Times New Roman"/>
          <w:noProof/>
          <w:lang w:eastAsia="en-IE"/>
        </w:rPr>
        <w:t>development</w:t>
      </w:r>
      <w:r w:rsidR="00A27D17" w:rsidRPr="00185722">
        <w:rPr>
          <w:noProof/>
        </w:rPr>
        <w:t xml:space="preserve"> plans for each sea-basin, in line with the priority offshore grid corridors referred to in Annex I, taking into account environmental protection and other uses of the sea.</w:t>
      </w:r>
    </w:p>
    <w:p w14:paraId="35F638D4" w14:textId="77777777" w:rsidR="00A27D17" w:rsidRPr="00185722" w:rsidRDefault="399E668D" w:rsidP="00A27D17">
      <w:pPr>
        <w:pStyle w:val="Text1"/>
        <w:rPr>
          <w:noProof/>
        </w:rPr>
      </w:pPr>
      <w:r>
        <w:rPr>
          <w:noProof/>
        </w:rPr>
        <w:t>In the development of the high-level strategic integrated offshore network development plans within the timeline provided for in paragraph 1, the ENTSO for Electricity shall consider the non-binding agreements referred to in paragraph 1 for the development of the Union-wide ten-year network development plan</w:t>
      </w:r>
      <w:r w:rsidR="44C31A4A">
        <w:rPr>
          <w:noProof/>
        </w:rPr>
        <w:t xml:space="preserve"> central</w:t>
      </w:r>
      <w:r>
        <w:rPr>
          <w:noProof/>
        </w:rPr>
        <w:t xml:space="preserve"> scenario.</w:t>
      </w:r>
    </w:p>
    <w:p w14:paraId="41EEEBFE" w14:textId="77777777" w:rsidR="00A27D17" w:rsidRPr="00185722" w:rsidRDefault="00A27D17" w:rsidP="00A27D17">
      <w:pPr>
        <w:pStyle w:val="Text1"/>
        <w:rPr>
          <w:noProof/>
        </w:rPr>
      </w:pPr>
      <w:r w:rsidRPr="00185722">
        <w:rPr>
          <w:noProof/>
        </w:rPr>
        <w:t xml:space="preserve">The high-level strategic integrated offshore network development plans shall provide a </w:t>
      </w:r>
      <w:r w:rsidR="00414742">
        <w:rPr>
          <w:noProof/>
        </w:rPr>
        <w:t xml:space="preserve">general overview of </w:t>
      </w:r>
      <w:r w:rsidRPr="00185722">
        <w:rPr>
          <w:noProof/>
        </w:rPr>
        <w:t xml:space="preserve">offshore generation capacities potential and resulting offshore grid needs, including the potential needs for interconnectors, hybrid projects, radial connections, </w:t>
      </w:r>
      <w:r w:rsidRPr="00185722">
        <w:rPr>
          <w:rFonts w:eastAsia="Times New Roman"/>
          <w:noProof/>
          <w:lang w:eastAsia="en-IE"/>
        </w:rPr>
        <w:t>reinforcements</w:t>
      </w:r>
      <w:r w:rsidRPr="00185722">
        <w:rPr>
          <w:noProof/>
        </w:rPr>
        <w:t>, and hydrogen infrastructure.</w:t>
      </w:r>
    </w:p>
    <w:p w14:paraId="05E033FD" w14:textId="4C4CD818" w:rsidR="00A27D17" w:rsidRPr="00185722" w:rsidRDefault="00C44DD6" w:rsidP="00C44DD6">
      <w:pPr>
        <w:pStyle w:val="ManualNumPar1"/>
        <w:rPr>
          <w:noProof/>
        </w:rPr>
      </w:pPr>
      <w:r w:rsidRPr="00C44DD6">
        <w:rPr>
          <w:noProof/>
        </w:rPr>
        <w:t>3.</w:t>
      </w:r>
      <w:r w:rsidRPr="00C44DD6">
        <w:rPr>
          <w:noProof/>
        </w:rPr>
        <w:tab/>
      </w:r>
      <w:r w:rsidR="00A27D17" w:rsidRPr="00185722">
        <w:rPr>
          <w:noProof/>
        </w:rPr>
        <w:t>The high-level strategic integrated offshore network development plans shall be consistent with regional investment plans published pursuant to Article 34(1) of Regulation (EU) 2019/943 and integrated within the Union-wide ten-year network development plans in order to ensure coherent development of onshore and offshore grid planning and the necessary reinforcements.</w:t>
      </w:r>
    </w:p>
    <w:p w14:paraId="053713AE" w14:textId="47B38046" w:rsidR="00A27D17" w:rsidRPr="00185722" w:rsidRDefault="00C44DD6" w:rsidP="00C44DD6">
      <w:pPr>
        <w:pStyle w:val="ManualNumPar1"/>
        <w:rPr>
          <w:noProof/>
        </w:rPr>
      </w:pPr>
      <w:r w:rsidRPr="00C44DD6">
        <w:rPr>
          <w:noProof/>
        </w:rPr>
        <w:t>4.</w:t>
      </w:r>
      <w:r w:rsidRPr="00C44DD6">
        <w:rPr>
          <w:noProof/>
        </w:rPr>
        <w:tab/>
      </w:r>
      <w:r w:rsidR="00A27D17" w:rsidRPr="00185722">
        <w:rPr>
          <w:noProof/>
        </w:rPr>
        <w:t xml:space="preserve">At the latest every </w:t>
      </w:r>
      <w:r w:rsidR="00A27D17" w:rsidRPr="00185722">
        <w:rPr>
          <w:rFonts w:eastAsia="Times New Roman"/>
          <w:noProof/>
          <w:lang w:eastAsia="en-IE"/>
        </w:rPr>
        <w:t>four</w:t>
      </w:r>
      <w:r w:rsidR="00A27D17" w:rsidRPr="00185722">
        <w:rPr>
          <w:noProof/>
        </w:rPr>
        <w:t xml:space="preserve"> years after the adoption of the non-binding agreement with paragraph 1, the Member States, shall update their non-binding agreements referred to in paragraph 1 of this Article, including in view of the results of the application of the </w:t>
      </w:r>
      <w:r w:rsidR="00A27D17" w:rsidRPr="00185722">
        <w:rPr>
          <w:rFonts w:eastAsia="Times New Roman"/>
          <w:noProof/>
          <w:lang w:eastAsia="en-IE"/>
        </w:rPr>
        <w:t xml:space="preserve">latest </w:t>
      </w:r>
      <w:r w:rsidR="00A27D17" w:rsidRPr="00185722">
        <w:rPr>
          <w:noProof/>
        </w:rPr>
        <w:t>cost-benefit and cost-sharing to the priority offshore grid corridors</w:t>
      </w:r>
      <w:r w:rsidR="00A27D17" w:rsidRPr="00185722">
        <w:rPr>
          <w:rFonts w:eastAsia="Times New Roman"/>
          <w:noProof/>
          <w:lang w:eastAsia="en-IE"/>
        </w:rPr>
        <w:t>.</w:t>
      </w:r>
    </w:p>
    <w:p w14:paraId="2CFAB87A" w14:textId="59630B40" w:rsidR="00A27D17" w:rsidRDefault="00C44DD6" w:rsidP="00C44DD6">
      <w:pPr>
        <w:pStyle w:val="ManualNumPar1"/>
        <w:rPr>
          <w:noProof/>
          <w:lang w:eastAsia="en-IE"/>
        </w:rPr>
      </w:pPr>
      <w:r w:rsidRPr="00C44DD6">
        <w:rPr>
          <w:noProof/>
        </w:rPr>
        <w:t>5.</w:t>
      </w:r>
      <w:r w:rsidRPr="00C44DD6">
        <w:rPr>
          <w:noProof/>
        </w:rPr>
        <w:tab/>
      </w:r>
      <w:r w:rsidR="00A27D17" w:rsidRPr="00185722">
        <w:rPr>
          <w:noProof/>
        </w:rPr>
        <w:t>After each update of the non-binding agreements in accordance with paragraph 4, for each sea basin, the ENTSO for Electricity shall update the high level strategic integrated offshore network development plans within the next Union-wide ten-year network development plan as referred to in paragraph 2.</w:t>
      </w:r>
      <w:r w:rsidR="71C0412B" w:rsidRPr="691F0D5A">
        <w:rPr>
          <w:noProof/>
          <w:lang w:eastAsia="en-IE"/>
        </w:rPr>
        <w:t xml:space="preserve"> </w:t>
      </w:r>
    </w:p>
    <w:p w14:paraId="2983F7FD" w14:textId="77777777" w:rsidR="00A27D17" w:rsidRPr="00185722" w:rsidRDefault="00A27D17" w:rsidP="00A27D17">
      <w:pPr>
        <w:pStyle w:val="Titrearticle"/>
        <w:rPr>
          <w:noProof/>
        </w:rPr>
      </w:pPr>
      <w:r w:rsidRPr="00185722">
        <w:rPr>
          <w:noProof/>
          <w:lang w:eastAsia="en-IE"/>
        </w:rPr>
        <w:t xml:space="preserve">Article </w:t>
      </w:r>
      <w:bookmarkStart w:id="25" w:name="bookmark70"/>
      <w:bookmarkEnd w:id="25"/>
      <w:r w:rsidRPr="00185722">
        <w:rPr>
          <w:noProof/>
          <w:lang w:eastAsia="en-IE"/>
        </w:rPr>
        <w:t>16</w:t>
      </w:r>
    </w:p>
    <w:p w14:paraId="46CD6C51" w14:textId="77777777" w:rsidR="00A27D17" w:rsidRPr="00CB3E4F" w:rsidRDefault="004C326B" w:rsidP="00A27D17">
      <w:pPr>
        <w:pStyle w:val="Titrearticle"/>
        <w:rPr>
          <w:b/>
          <w:bCs/>
          <w:noProof/>
        </w:rPr>
      </w:pPr>
      <w:r>
        <w:rPr>
          <w:b/>
          <w:bCs/>
          <w:noProof/>
        </w:rPr>
        <w:t xml:space="preserve">Guidance </w:t>
      </w:r>
      <w:r w:rsidR="00DE646E">
        <w:rPr>
          <w:b/>
          <w:bCs/>
          <w:noProof/>
        </w:rPr>
        <w:t>on collaborative investment frameworks for</w:t>
      </w:r>
      <w:r w:rsidR="00477116">
        <w:rPr>
          <w:b/>
          <w:bCs/>
          <w:noProof/>
        </w:rPr>
        <w:t xml:space="preserve"> </w:t>
      </w:r>
      <w:r w:rsidR="00BB43ED">
        <w:rPr>
          <w:b/>
          <w:bCs/>
          <w:noProof/>
        </w:rPr>
        <w:t>offshore energy projects</w:t>
      </w:r>
    </w:p>
    <w:p w14:paraId="51C13D3C" w14:textId="2DACCDE1" w:rsidR="00A27D17" w:rsidRPr="00E455CF" w:rsidRDefault="00C44DD6" w:rsidP="00C44DD6">
      <w:pPr>
        <w:pStyle w:val="ManualNumPar1"/>
        <w:rPr>
          <w:rFonts w:eastAsia="Times New Roman"/>
          <w:noProof/>
          <w:color w:val="000000"/>
          <w:lang w:val="hr-HR" w:eastAsia="en-IE" w:bidi="hr-HR"/>
        </w:rPr>
      </w:pPr>
      <w:r w:rsidRPr="00C44DD6">
        <w:rPr>
          <w:noProof/>
        </w:rPr>
        <w:t>1.</w:t>
      </w:r>
      <w:r w:rsidRPr="00C44DD6">
        <w:rPr>
          <w:noProof/>
        </w:rPr>
        <w:tab/>
      </w:r>
      <w:r w:rsidR="00A27D17" w:rsidRPr="00E455CF">
        <w:rPr>
          <w:noProof/>
          <w:color w:val="000000" w:themeColor="text1"/>
          <w:lang w:val="en-IE"/>
        </w:rPr>
        <w:t>T</w:t>
      </w:r>
      <w:r w:rsidR="00A27D17" w:rsidRPr="00E455CF">
        <w:rPr>
          <w:rFonts w:eastAsia="Times New Roman"/>
          <w:noProof/>
          <w:color w:val="000000" w:themeColor="text1"/>
          <w:lang w:val="en-IE" w:eastAsia="hr-HR" w:bidi="hr-HR"/>
        </w:rPr>
        <w:t xml:space="preserve">he Commission shall, with the involvement of the Member States, relevant TSOs, the Agency and the national </w:t>
      </w:r>
      <w:r w:rsidR="00A27D17" w:rsidRPr="00E455CF">
        <w:rPr>
          <w:noProof/>
          <w:lang w:val="en-IE" w:eastAsia="en-IE"/>
        </w:rPr>
        <w:t xml:space="preserve">regulatory authorities, consider whether an update of the guidance </w:t>
      </w:r>
      <w:r w:rsidR="00FB3C92">
        <w:rPr>
          <w:noProof/>
          <w:lang w:val="en-IE" w:eastAsia="en-IE"/>
        </w:rPr>
        <w:t xml:space="preserve">on collaborative investment frameworks for offshore energy projects, </w:t>
      </w:r>
      <w:r w:rsidR="00A560E3">
        <w:rPr>
          <w:noProof/>
          <w:lang w:val="en-IE" w:eastAsia="en-IE"/>
        </w:rPr>
        <w:t xml:space="preserve">which provides </w:t>
      </w:r>
      <w:r w:rsidR="00A27D17" w:rsidRPr="00E455CF">
        <w:rPr>
          <w:noProof/>
          <w:lang w:val="en-IE" w:eastAsia="en-IE"/>
        </w:rPr>
        <w:t>for a specific cost-benefit and cost-sharing for the deployment of the sea-basin integrated offshore network development</w:t>
      </w:r>
      <w:r w:rsidR="00A27D17" w:rsidRPr="00185722">
        <w:rPr>
          <w:noProof/>
          <w:lang w:eastAsia="en-IE"/>
        </w:rPr>
        <w:t xml:space="preserve"> plans referred to in Article 15(2) in accordance with the non-binding agreements referred to in Article 14(1)</w:t>
      </w:r>
      <w:r w:rsidR="00A560E3">
        <w:rPr>
          <w:noProof/>
          <w:lang w:eastAsia="en-IE"/>
        </w:rPr>
        <w:t>,</w:t>
      </w:r>
      <w:r w:rsidR="00A27D17" w:rsidRPr="00185722">
        <w:rPr>
          <w:noProof/>
          <w:lang w:eastAsia="en-IE"/>
        </w:rPr>
        <w:t xml:space="preserve"> is necessary and, </w:t>
      </w:r>
      <w:r w:rsidR="68A6A773" w:rsidRPr="458C2078">
        <w:rPr>
          <w:noProof/>
          <w:lang w:eastAsia="en-IE"/>
        </w:rPr>
        <w:t xml:space="preserve">where </w:t>
      </w:r>
      <w:r w:rsidR="00A27D17" w:rsidRPr="00185722">
        <w:rPr>
          <w:noProof/>
          <w:lang w:eastAsia="en-IE"/>
        </w:rPr>
        <w:t>relevant, publish an updated version of the guidance. This guidance shall be compatible with Article 17(1). The Commission shall update its guidance when appropriate, taking into account the results of its implementation.</w:t>
      </w:r>
    </w:p>
    <w:p w14:paraId="7D571084" w14:textId="58E03DB9" w:rsidR="00A27D17" w:rsidRPr="00185722" w:rsidRDefault="00C44DD6" w:rsidP="00C44DD6">
      <w:pPr>
        <w:pStyle w:val="ManualNumPar1"/>
        <w:rPr>
          <w:noProof/>
        </w:rPr>
      </w:pPr>
      <w:r w:rsidRPr="00C44DD6">
        <w:rPr>
          <w:noProof/>
        </w:rPr>
        <w:t>2.</w:t>
      </w:r>
      <w:r w:rsidRPr="00C44DD6">
        <w:rPr>
          <w:noProof/>
        </w:rPr>
        <w:tab/>
      </w:r>
      <w:r w:rsidR="00A27D17" w:rsidRPr="00185722">
        <w:rPr>
          <w:noProof/>
          <w:lang w:eastAsia="en-IE"/>
        </w:rPr>
        <w:t>The ENTSO for Electricity, with the involvement of the relevant TSOs, the Agency, the national regulatory authorities and the Commission, shall update the results of the application of the cost-benefit and cost-sharing to the priority offshore grid corridors, including whenever the Commission publishes any update to the</w:t>
      </w:r>
      <w:r w:rsidR="00A27D17" w:rsidRPr="00185722">
        <w:rPr>
          <w:noProof/>
        </w:rPr>
        <w:t xml:space="preserve"> guidance for a specific cost-benefit and cost-sharing for the deployment of the sea-basin integrated offshore network development plans referred to in Article 15(2) in accordance with the non-binding agreements referred to in Article 15(1).</w:t>
      </w:r>
    </w:p>
    <w:p w14:paraId="1021A379" w14:textId="77777777" w:rsidR="00923E53" w:rsidRPr="00185722" w:rsidRDefault="00923E53" w:rsidP="00923E53">
      <w:pPr>
        <w:pStyle w:val="ChapterTitle"/>
        <w:rPr>
          <w:noProof/>
        </w:rPr>
      </w:pPr>
      <w:r w:rsidRPr="00185722">
        <w:rPr>
          <w:noProof/>
        </w:rPr>
        <w:t>CHAPTER VI</w:t>
      </w:r>
    </w:p>
    <w:p w14:paraId="758914D2" w14:textId="77777777" w:rsidR="00923E53" w:rsidRPr="00185722" w:rsidRDefault="00923E53" w:rsidP="00923E53">
      <w:pPr>
        <w:pStyle w:val="ChapterTitle"/>
        <w:rPr>
          <w:noProof/>
        </w:rPr>
      </w:pPr>
      <w:r w:rsidRPr="00185722">
        <w:rPr>
          <w:noProof/>
        </w:rPr>
        <w:t>Regulatory framework</w:t>
      </w:r>
    </w:p>
    <w:p w14:paraId="26F0C183" w14:textId="77777777" w:rsidR="00923E53" w:rsidRPr="00185722" w:rsidRDefault="00923E53" w:rsidP="00923E53">
      <w:pPr>
        <w:pStyle w:val="Titrearticle"/>
        <w:rPr>
          <w:noProof/>
        </w:rPr>
      </w:pPr>
      <w:r w:rsidRPr="00185722">
        <w:rPr>
          <w:noProof/>
        </w:rPr>
        <w:t>Article 17</w:t>
      </w:r>
    </w:p>
    <w:p w14:paraId="7D3C96ED" w14:textId="77777777" w:rsidR="00923E53" w:rsidRPr="00CB3E4F" w:rsidRDefault="00923E53" w:rsidP="00923E53">
      <w:pPr>
        <w:pStyle w:val="Titrearticle"/>
        <w:rPr>
          <w:b/>
          <w:bCs/>
          <w:noProof/>
        </w:rPr>
      </w:pPr>
      <w:bookmarkStart w:id="26" w:name="bookmark73"/>
      <w:r>
        <w:rPr>
          <w:noProof/>
        </w:rPr>
        <w:t xml:space="preserve"> </w:t>
      </w:r>
      <w:r w:rsidRPr="00CB3E4F">
        <w:rPr>
          <w:b/>
          <w:bCs/>
          <w:noProof/>
        </w:rPr>
        <w:t>Enabling investments with a cross-border impact</w:t>
      </w:r>
      <w:bookmarkEnd w:id="26"/>
      <w:r w:rsidRPr="00CB3E4F">
        <w:rPr>
          <w:b/>
          <w:bCs/>
          <w:noProof/>
        </w:rPr>
        <w:t> </w:t>
      </w:r>
    </w:p>
    <w:p w14:paraId="18770839" w14:textId="62044537" w:rsidR="00923E53" w:rsidRPr="00185722" w:rsidRDefault="00C44DD6" w:rsidP="00C44DD6">
      <w:pPr>
        <w:pStyle w:val="ManualNumPar1"/>
        <w:rPr>
          <w:noProof/>
        </w:rPr>
      </w:pPr>
      <w:r w:rsidRPr="00C44DD6">
        <w:rPr>
          <w:noProof/>
        </w:rPr>
        <w:t>1.</w:t>
      </w:r>
      <w:r w:rsidRPr="00C44DD6">
        <w:rPr>
          <w:noProof/>
        </w:rPr>
        <w:tab/>
      </w:r>
      <w:r w:rsidR="00923E53" w:rsidRPr="00185722">
        <w:rPr>
          <w:noProof/>
        </w:rPr>
        <w:t>The efficiently incurred investment costs, which exclude maintenance costs, related to a project of common interest falling under the energy infrastructure categories set out in point</w:t>
      </w:r>
      <w:r w:rsidR="0099303E">
        <w:rPr>
          <w:noProof/>
        </w:rPr>
        <w:t>s</w:t>
      </w:r>
      <w:r w:rsidR="00923E53" w:rsidRPr="00185722">
        <w:rPr>
          <w:noProof/>
        </w:rPr>
        <w:t xml:space="preserve"> (1)(a), (b), (c), (d),</w:t>
      </w:r>
      <w:r w:rsidR="00324955">
        <w:rPr>
          <w:noProof/>
        </w:rPr>
        <w:t xml:space="preserve"> </w:t>
      </w:r>
      <w:r w:rsidR="00923E53" w:rsidRPr="00185722">
        <w:rPr>
          <w:noProof/>
        </w:rPr>
        <w:t>(e)</w:t>
      </w:r>
      <w:r w:rsidR="00E94612">
        <w:rPr>
          <w:noProof/>
        </w:rPr>
        <w:t xml:space="preserve">, </w:t>
      </w:r>
      <w:r w:rsidR="00923E53" w:rsidRPr="00185722">
        <w:rPr>
          <w:noProof/>
        </w:rPr>
        <w:t>(f) and (h) of Annex II, and projects of common interest falling under the energy infrastructure category set out in point (2) of Annex II, where they fall under the competence of national regulatory authorities in each Member State concerned, shall be borne by the relevant TSO, HNO, other operators or the project promoters of the transmission infrastructure of the Member States to which the project provides a net positive impact, and, to the extent not covered by congestion rents or other charges, be paid for by network users through tariffs for network access in that or those Member States. </w:t>
      </w:r>
    </w:p>
    <w:p w14:paraId="29832B94" w14:textId="4D6CCD14" w:rsidR="00923E53" w:rsidRPr="00185722" w:rsidRDefault="00C44DD6" w:rsidP="00C44DD6">
      <w:pPr>
        <w:pStyle w:val="ManualNumPar1"/>
        <w:rPr>
          <w:noProof/>
        </w:rPr>
      </w:pPr>
      <w:r w:rsidRPr="00C44DD6">
        <w:rPr>
          <w:noProof/>
        </w:rPr>
        <w:t>2.</w:t>
      </w:r>
      <w:r w:rsidRPr="00C44DD6">
        <w:rPr>
          <w:noProof/>
        </w:rPr>
        <w:tab/>
      </w:r>
      <w:r w:rsidR="00923E53">
        <w:rPr>
          <w:noProof/>
        </w:rPr>
        <w:t xml:space="preserve">The provisions of this Article shall apply to a project of common interest falling under the energy infrastructure categories set out in </w:t>
      </w:r>
      <w:r w:rsidR="000C244E">
        <w:rPr>
          <w:noProof/>
        </w:rPr>
        <w:t>Article 2</w:t>
      </w:r>
      <w:r w:rsidR="00362C26">
        <w:rPr>
          <w:noProof/>
        </w:rPr>
        <w:t>7</w:t>
      </w:r>
      <w:r w:rsidR="000C244E">
        <w:rPr>
          <w:noProof/>
        </w:rPr>
        <w:t xml:space="preserve"> and </w:t>
      </w:r>
      <w:r w:rsidR="00923E53">
        <w:rPr>
          <w:noProof/>
        </w:rPr>
        <w:t>point</w:t>
      </w:r>
      <w:r w:rsidR="00F95916">
        <w:rPr>
          <w:noProof/>
        </w:rPr>
        <w:t>s</w:t>
      </w:r>
      <w:r w:rsidR="00923E53">
        <w:rPr>
          <w:noProof/>
        </w:rPr>
        <w:t xml:space="preserve"> (1)(a), (b), (c), (d),</w:t>
      </w:r>
      <w:r w:rsidR="00AB0C3D">
        <w:rPr>
          <w:noProof/>
        </w:rPr>
        <w:t xml:space="preserve"> </w:t>
      </w:r>
      <w:r w:rsidR="00923E53">
        <w:rPr>
          <w:noProof/>
        </w:rPr>
        <w:t xml:space="preserve">(e), (f) </w:t>
      </w:r>
      <w:r w:rsidR="00A115CA">
        <w:rPr>
          <w:noProof/>
        </w:rPr>
        <w:t xml:space="preserve">and </w:t>
      </w:r>
      <w:r w:rsidR="00923E53">
        <w:rPr>
          <w:noProof/>
        </w:rPr>
        <w:t>(h) and point (2) of Annex II, where at least one project promoter requests the relevant national authorities their application for the costs of the project. </w:t>
      </w:r>
    </w:p>
    <w:p w14:paraId="282BA170" w14:textId="77777777" w:rsidR="00923E53" w:rsidRPr="00185722" w:rsidRDefault="00923E53" w:rsidP="00923E53">
      <w:pPr>
        <w:pStyle w:val="Text1"/>
        <w:rPr>
          <w:noProof/>
        </w:rPr>
      </w:pPr>
      <w:r w:rsidRPr="00185722">
        <w:rPr>
          <w:noProof/>
        </w:rPr>
        <w:t>Projects falling under the energy infrastructure category set out in point (1)(g) of Annex II may benefit from the provisions of this Article where at least one project promoter requests its application from the relevant national authorities. </w:t>
      </w:r>
    </w:p>
    <w:p w14:paraId="2CDD02E8" w14:textId="77777777" w:rsidR="00923E53" w:rsidRPr="00185722" w:rsidRDefault="00923E53" w:rsidP="00923E53">
      <w:pPr>
        <w:pStyle w:val="Text1"/>
        <w:rPr>
          <w:noProof/>
        </w:rPr>
      </w:pPr>
      <w:r w:rsidRPr="00185722">
        <w:rPr>
          <w:noProof/>
        </w:rPr>
        <w:t>Where a project has several project promoters, the relevant national regulatory authorities shall without delay request all project promoters to submit the investment request jointly in accordance with paragraph 4. </w:t>
      </w:r>
    </w:p>
    <w:p w14:paraId="35C5411E" w14:textId="731A2791" w:rsidR="00923E53" w:rsidRPr="00185722" w:rsidRDefault="00C44DD6" w:rsidP="00C44DD6">
      <w:pPr>
        <w:pStyle w:val="ManualNumPar1"/>
        <w:rPr>
          <w:noProof/>
        </w:rPr>
      </w:pPr>
      <w:r w:rsidRPr="00C44DD6">
        <w:rPr>
          <w:noProof/>
        </w:rPr>
        <w:t>3.</w:t>
      </w:r>
      <w:r w:rsidRPr="00C44DD6">
        <w:rPr>
          <w:noProof/>
        </w:rPr>
        <w:tab/>
      </w:r>
      <w:r w:rsidR="00923E53" w:rsidRPr="00185722">
        <w:rPr>
          <w:noProof/>
        </w:rPr>
        <w:t>For a project of common interest to which paragraph 1 applies, the project promoters shall keep all relevant national regulatory authorities regularly informed, at least once per year</w:t>
      </w:r>
      <w:r w:rsidR="008C7D31">
        <w:rPr>
          <w:noProof/>
        </w:rPr>
        <w:t xml:space="preserve"> from</w:t>
      </w:r>
      <w:r w:rsidR="007A7704">
        <w:rPr>
          <w:noProof/>
        </w:rPr>
        <w:t xml:space="preserve"> </w:t>
      </w:r>
      <w:r w:rsidR="00F427F5">
        <w:rPr>
          <w:noProof/>
        </w:rPr>
        <w:t xml:space="preserve">inclusion </w:t>
      </w:r>
      <w:r w:rsidR="007A7704">
        <w:rPr>
          <w:noProof/>
        </w:rPr>
        <w:t xml:space="preserve">of the project on the </w:t>
      </w:r>
      <w:r w:rsidR="00512EAE">
        <w:rPr>
          <w:noProof/>
        </w:rPr>
        <w:t>Union list</w:t>
      </w:r>
      <w:r w:rsidR="00923E53" w:rsidRPr="00185722">
        <w:rPr>
          <w:noProof/>
        </w:rPr>
        <w:t>, and until the project is commissioned, of the progress of that project and the identification of costs and the impact associated with it. </w:t>
      </w:r>
    </w:p>
    <w:p w14:paraId="6B5FF6A2" w14:textId="34D1E3BA" w:rsidR="00923E53" w:rsidRPr="00185722" w:rsidRDefault="00C44DD6" w:rsidP="00C44DD6">
      <w:pPr>
        <w:pStyle w:val="ManualNumPar1"/>
        <w:rPr>
          <w:noProof/>
        </w:rPr>
      </w:pPr>
      <w:r w:rsidRPr="00C44DD6">
        <w:rPr>
          <w:noProof/>
        </w:rPr>
        <w:t>4.</w:t>
      </w:r>
      <w:r w:rsidRPr="00C44DD6">
        <w:rPr>
          <w:noProof/>
        </w:rPr>
        <w:tab/>
      </w:r>
      <w:r w:rsidR="00923E53" w:rsidRPr="00185722">
        <w:rPr>
          <w:noProof/>
        </w:rPr>
        <w:t>As soon as such a project of common interest has reached sufficient maturity</w:t>
      </w:r>
      <w:r w:rsidR="00923E53" w:rsidRPr="00185722">
        <w:rPr>
          <w:noProof/>
          <w:u w:val="single"/>
        </w:rPr>
        <w:t xml:space="preserve">, </w:t>
      </w:r>
      <w:r w:rsidR="00923E53" w:rsidRPr="00185722">
        <w:rPr>
          <w:noProof/>
        </w:rPr>
        <w:t>and is estimated to be ready to start the construction phase within the next 36 months, the project promoters, after having consulted the TSOs from the Member States which receive a significant net positive impact from it, shall submit an investment request. That investment request shall include a request for a cross-border cost allocation and shall be submitted to all the relevant national regulatory authorities concerned, accompanied by the following: </w:t>
      </w:r>
    </w:p>
    <w:p w14:paraId="5B85A3C7" w14:textId="5024F4D8" w:rsidR="00923E53" w:rsidRPr="00185722" w:rsidRDefault="00C44DD6" w:rsidP="00C44DD6">
      <w:pPr>
        <w:pStyle w:val="Point1"/>
        <w:rPr>
          <w:noProof/>
        </w:rPr>
      </w:pPr>
      <w:r w:rsidRPr="00C44DD6">
        <w:rPr>
          <w:noProof/>
        </w:rPr>
        <w:t>(a)</w:t>
      </w:r>
      <w:r w:rsidRPr="00C44DD6">
        <w:rPr>
          <w:noProof/>
        </w:rPr>
        <w:tab/>
      </w:r>
      <w:r w:rsidR="00923E53" w:rsidRPr="00185722">
        <w:rPr>
          <w:noProof/>
        </w:rPr>
        <w:t xml:space="preserve">up-to-date project-specific cost-benefit analysis consistent with the central scenario referred to </w:t>
      </w:r>
      <w:r w:rsidR="00114536">
        <w:rPr>
          <w:noProof/>
        </w:rPr>
        <w:t>in</w:t>
      </w:r>
      <w:r w:rsidR="00114536" w:rsidRPr="00185722">
        <w:rPr>
          <w:noProof/>
        </w:rPr>
        <w:t xml:space="preserve"> </w:t>
      </w:r>
      <w:r w:rsidR="00923E53" w:rsidRPr="00185722">
        <w:rPr>
          <w:noProof/>
        </w:rPr>
        <w:t>Article 11 and any sensitivit</w:t>
      </w:r>
      <w:r w:rsidR="00503EE8">
        <w:rPr>
          <w:noProof/>
        </w:rPr>
        <w:t>i</w:t>
      </w:r>
      <w:r w:rsidR="00923E53" w:rsidRPr="00185722">
        <w:rPr>
          <w:noProof/>
        </w:rPr>
        <w:t xml:space="preserve">es referred to </w:t>
      </w:r>
      <w:r w:rsidR="00361511">
        <w:rPr>
          <w:noProof/>
        </w:rPr>
        <w:t>in</w:t>
      </w:r>
      <w:r w:rsidR="00361511" w:rsidRPr="00185722">
        <w:rPr>
          <w:noProof/>
        </w:rPr>
        <w:t xml:space="preserve"> </w:t>
      </w:r>
      <w:r w:rsidR="00923E53" w:rsidRPr="00185722">
        <w:rPr>
          <w:noProof/>
        </w:rPr>
        <w:t xml:space="preserve">Article 11, and the methodology </w:t>
      </w:r>
      <w:r w:rsidR="002569C5" w:rsidRPr="00185722">
        <w:rPr>
          <w:noProof/>
        </w:rPr>
        <w:t xml:space="preserve">for a harmonised energy system-wide cost-benefit analysis </w:t>
      </w:r>
      <w:r w:rsidR="00916114">
        <w:rPr>
          <w:noProof/>
        </w:rPr>
        <w:t xml:space="preserve">referred </w:t>
      </w:r>
      <w:r w:rsidR="00923E53" w:rsidRPr="00185722">
        <w:rPr>
          <w:noProof/>
        </w:rPr>
        <w:t xml:space="preserve">to </w:t>
      </w:r>
      <w:r w:rsidR="00916114">
        <w:rPr>
          <w:noProof/>
        </w:rPr>
        <w:t xml:space="preserve">in </w:t>
      </w:r>
      <w:r w:rsidR="00923E53" w:rsidRPr="00185722">
        <w:rPr>
          <w:noProof/>
        </w:rPr>
        <w:t>Article 14 and taking into account benefits beyond the borders of the Member States on the territory of which the project is located</w:t>
      </w:r>
      <w:r w:rsidR="009E4AAF">
        <w:rPr>
          <w:noProof/>
        </w:rPr>
        <w:t>;</w:t>
      </w:r>
      <w:r w:rsidR="00923E53" w:rsidRPr="00185722">
        <w:rPr>
          <w:noProof/>
        </w:rPr>
        <w:t xml:space="preserve"> </w:t>
      </w:r>
    </w:p>
    <w:p w14:paraId="30E8FE1B" w14:textId="40567721" w:rsidR="00923E53" w:rsidRPr="00185722" w:rsidRDefault="00C44DD6" w:rsidP="00C44DD6">
      <w:pPr>
        <w:pStyle w:val="Point1"/>
        <w:rPr>
          <w:noProof/>
        </w:rPr>
      </w:pPr>
      <w:r w:rsidRPr="00C44DD6">
        <w:rPr>
          <w:noProof/>
        </w:rPr>
        <w:t>(b)</w:t>
      </w:r>
      <w:r w:rsidRPr="00C44DD6">
        <w:rPr>
          <w:noProof/>
        </w:rPr>
        <w:tab/>
      </w:r>
      <w:r w:rsidR="00923E53" w:rsidRPr="00185722">
        <w:rPr>
          <w:noProof/>
        </w:rPr>
        <w:t>a business plan evaluating the financial viability of the project, including the chosen financing solution, and, for a project of common interest falling under the energy infrastructure category referred to in point (3) of Annex II, the results of market testing; </w:t>
      </w:r>
    </w:p>
    <w:p w14:paraId="75693277" w14:textId="79D01F87" w:rsidR="00923E53" w:rsidRPr="00185722" w:rsidRDefault="00C44DD6" w:rsidP="00C44DD6">
      <w:pPr>
        <w:pStyle w:val="Point1"/>
        <w:rPr>
          <w:noProof/>
        </w:rPr>
      </w:pPr>
      <w:r w:rsidRPr="00C44DD6">
        <w:rPr>
          <w:noProof/>
        </w:rPr>
        <w:t>(c)</w:t>
      </w:r>
      <w:r w:rsidRPr="00C44DD6">
        <w:rPr>
          <w:noProof/>
        </w:rPr>
        <w:tab/>
      </w:r>
      <w:r w:rsidR="00923E53" w:rsidRPr="00185722">
        <w:rPr>
          <w:noProof/>
        </w:rPr>
        <w:t>where the project promoters agree, a substantiated proposal for a cross-border cost allocation. </w:t>
      </w:r>
    </w:p>
    <w:p w14:paraId="5FC1E535" w14:textId="77777777" w:rsidR="00923E53" w:rsidRPr="00185722" w:rsidRDefault="00923E53" w:rsidP="00923E53">
      <w:pPr>
        <w:pStyle w:val="Text1"/>
        <w:rPr>
          <w:noProof/>
        </w:rPr>
      </w:pPr>
      <w:r w:rsidRPr="00185722">
        <w:rPr>
          <w:noProof/>
        </w:rPr>
        <w:t>Where a project is promoted by several project promoters, they shall submit their investment request jointly. </w:t>
      </w:r>
    </w:p>
    <w:p w14:paraId="2C830456" w14:textId="77777777" w:rsidR="00923E53" w:rsidRPr="00185722" w:rsidRDefault="00923E53" w:rsidP="00923E53">
      <w:pPr>
        <w:pStyle w:val="Text1"/>
        <w:rPr>
          <w:noProof/>
        </w:rPr>
      </w:pPr>
      <w:r w:rsidRPr="00185722">
        <w:rPr>
          <w:noProof/>
        </w:rPr>
        <w:t>The relevant national regulatory authorities shall, upon receipt, transmit to the Agency, without delay, a copy of each investment request, for information purposes. </w:t>
      </w:r>
    </w:p>
    <w:p w14:paraId="394A282A" w14:textId="77777777" w:rsidR="00923E53" w:rsidRPr="00185722" w:rsidRDefault="00923E53" w:rsidP="00923E53">
      <w:pPr>
        <w:pStyle w:val="Text1"/>
        <w:rPr>
          <w:noProof/>
        </w:rPr>
      </w:pPr>
      <w:r w:rsidRPr="00185722">
        <w:rPr>
          <w:noProof/>
        </w:rPr>
        <w:t>The relevant national regulatory authorities and the Agency shall preserve the confidentiality of commercially sensitive information. </w:t>
      </w:r>
    </w:p>
    <w:p w14:paraId="6CF3B3B0" w14:textId="53E7AC76" w:rsidR="00785803" w:rsidRDefault="00C44DD6" w:rsidP="00C44DD6">
      <w:pPr>
        <w:pStyle w:val="ManualNumPar1"/>
        <w:rPr>
          <w:noProof/>
        </w:rPr>
      </w:pPr>
      <w:r w:rsidRPr="00C44DD6">
        <w:rPr>
          <w:noProof/>
        </w:rPr>
        <w:t>5.</w:t>
      </w:r>
      <w:r w:rsidRPr="00C44DD6">
        <w:rPr>
          <w:noProof/>
        </w:rPr>
        <w:tab/>
      </w:r>
      <w:r w:rsidR="00923E53" w:rsidRPr="00185722">
        <w:rPr>
          <w:noProof/>
        </w:rPr>
        <w:t xml:space="preserve">Within six months of the date on which the investment request is received by the last of the relevant national regulatory authorities, those authorities shall, after consulting the project promoters concerned, take joint coordinated decisions on the allocation of efficiently incurred investment costs to be borne by each system operator for the project, as well as their inclusion in tariffs, or on the rejection of the investment request, in whole or in part, if the common analysis of the relevant national regulatory authorities concludes that the project or a part of it fails to provide a significant net benefit in any of the Member States of the relevant national regulatory authorities. </w:t>
      </w:r>
    </w:p>
    <w:p w14:paraId="5C415E5F" w14:textId="77777777" w:rsidR="009A13B6" w:rsidRDefault="00923E53">
      <w:pPr>
        <w:pStyle w:val="Text1"/>
        <w:rPr>
          <w:noProof/>
        </w:rPr>
      </w:pPr>
      <w:r w:rsidRPr="00185722">
        <w:rPr>
          <w:noProof/>
        </w:rPr>
        <w:t xml:space="preserve">The relevant national regulatory authorities shall include the relevant efficiently incurred investment costs in tariffs, as defined in the recommendation referred to in paragraph </w:t>
      </w:r>
      <w:r w:rsidR="00BE71AD">
        <w:rPr>
          <w:noProof/>
        </w:rPr>
        <w:t>14</w:t>
      </w:r>
      <w:r w:rsidRPr="00185722">
        <w:rPr>
          <w:noProof/>
        </w:rPr>
        <w:t xml:space="preserve">, in </w:t>
      </w:r>
      <w:r w:rsidR="4E2A00B4">
        <w:rPr>
          <w:noProof/>
        </w:rPr>
        <w:t xml:space="preserve">accordance </w:t>
      </w:r>
      <w:r>
        <w:rPr>
          <w:noProof/>
        </w:rPr>
        <w:t>with</w:t>
      </w:r>
      <w:r w:rsidRPr="00185722">
        <w:rPr>
          <w:noProof/>
        </w:rPr>
        <w:t xml:space="preserve"> the allocation of investment costs to be borne by each system operator for the project. </w:t>
      </w:r>
    </w:p>
    <w:p w14:paraId="52CE5108" w14:textId="77777777" w:rsidR="00923E53" w:rsidRPr="00185722" w:rsidRDefault="00923E53">
      <w:pPr>
        <w:pStyle w:val="Text1"/>
        <w:rPr>
          <w:noProof/>
        </w:rPr>
      </w:pPr>
      <w:r w:rsidRPr="00185722">
        <w:rPr>
          <w:noProof/>
        </w:rPr>
        <w:t>For projects in the territories of their respective Member State, the relevant national regulatory authorities shall thereafter assess, where appropriate, whether any affordability issues might arise due to the inclusion of the investment costs in tariffs. </w:t>
      </w:r>
    </w:p>
    <w:p w14:paraId="500776AC" w14:textId="7E56682E" w:rsidR="00923E53" w:rsidRPr="00185722" w:rsidRDefault="00C44DD6" w:rsidP="00C44DD6">
      <w:pPr>
        <w:pStyle w:val="ManualNumPar1"/>
        <w:rPr>
          <w:noProof/>
        </w:rPr>
      </w:pPr>
      <w:r w:rsidRPr="00C44DD6">
        <w:rPr>
          <w:noProof/>
        </w:rPr>
        <w:t>6.</w:t>
      </w:r>
      <w:r w:rsidRPr="00C44DD6">
        <w:rPr>
          <w:noProof/>
        </w:rPr>
        <w:tab/>
      </w:r>
      <w:r w:rsidR="00923E53" w:rsidRPr="00185722">
        <w:rPr>
          <w:noProof/>
        </w:rPr>
        <w:t>In allocating the costs, the relevant national regulatory authorities shall take into account</w:t>
      </w:r>
      <w:r w:rsidR="004E426A">
        <w:rPr>
          <w:noProof/>
        </w:rPr>
        <w:t xml:space="preserve"> the following</w:t>
      </w:r>
      <w:r w:rsidR="00923E53" w:rsidRPr="00185722">
        <w:rPr>
          <w:noProof/>
        </w:rPr>
        <w:t>: </w:t>
      </w:r>
    </w:p>
    <w:p w14:paraId="49608B5C" w14:textId="4E7F225F" w:rsidR="00923E53" w:rsidRPr="00185722" w:rsidRDefault="00C44DD6" w:rsidP="00C44DD6">
      <w:pPr>
        <w:pStyle w:val="Point1"/>
        <w:rPr>
          <w:noProof/>
        </w:rPr>
      </w:pPr>
      <w:r w:rsidRPr="00C44DD6">
        <w:rPr>
          <w:noProof/>
        </w:rPr>
        <w:t>(a)</w:t>
      </w:r>
      <w:r w:rsidRPr="00C44DD6">
        <w:rPr>
          <w:noProof/>
        </w:rPr>
        <w:tab/>
      </w:r>
      <w:r w:rsidR="004E426A" w:rsidRPr="00185722">
        <w:rPr>
          <w:noProof/>
        </w:rPr>
        <w:t xml:space="preserve">actual or estimated </w:t>
      </w:r>
      <w:r w:rsidR="00923E53" w:rsidRPr="00185722">
        <w:rPr>
          <w:noProof/>
        </w:rPr>
        <w:t>congestion rents or other charges; </w:t>
      </w:r>
    </w:p>
    <w:p w14:paraId="17CF3153" w14:textId="3C84D228" w:rsidR="00923E53" w:rsidRPr="00185722" w:rsidRDefault="00C44DD6" w:rsidP="00C44DD6">
      <w:pPr>
        <w:pStyle w:val="Point1"/>
        <w:rPr>
          <w:noProof/>
        </w:rPr>
      </w:pPr>
      <w:r w:rsidRPr="00C44DD6">
        <w:rPr>
          <w:noProof/>
        </w:rPr>
        <w:t>(b)</w:t>
      </w:r>
      <w:r w:rsidRPr="00C44DD6">
        <w:rPr>
          <w:noProof/>
        </w:rPr>
        <w:tab/>
      </w:r>
      <w:r w:rsidR="004E426A" w:rsidRPr="00185722">
        <w:rPr>
          <w:noProof/>
        </w:rPr>
        <w:t xml:space="preserve">actual or estimated </w:t>
      </w:r>
      <w:r w:rsidR="00923E53" w:rsidRPr="00185722">
        <w:rPr>
          <w:noProof/>
        </w:rPr>
        <w:t>revenues stemming from the inter-transmission system operator compensation mechanism established under Article 49 of Regulation (EU) 2019/943. </w:t>
      </w:r>
    </w:p>
    <w:p w14:paraId="02A3FC05" w14:textId="77777777" w:rsidR="00923E53" w:rsidRPr="00185722" w:rsidRDefault="00923E53" w:rsidP="00923E53">
      <w:pPr>
        <w:pStyle w:val="Text1"/>
        <w:rPr>
          <w:noProof/>
        </w:rPr>
      </w:pPr>
      <w:r>
        <w:rPr>
          <w:noProof/>
        </w:rPr>
        <w:t xml:space="preserve">The allocation of costs across borders shall take into account, the economic, social and environmental costs and benefits of the projects in the Member States concerned and the need to ensure a stable financing framework for the development of projects of common interest while minimising the need for financial support. In allocating costs across borders, the relevant national regulatory authorities, after consulting the TSOs concerned, shall seek a mutual agreement based on, but not limited to, the information specified in paragraph 4, first subparagraph, points (a) and (b), of this Article. Their assessment shall </w:t>
      </w:r>
      <w:r w:rsidR="00156174">
        <w:rPr>
          <w:noProof/>
        </w:rPr>
        <w:t>be based on</w:t>
      </w:r>
      <w:r>
        <w:rPr>
          <w:noProof/>
        </w:rPr>
        <w:t xml:space="preserve"> the central scenario and any sensitivit</w:t>
      </w:r>
      <w:r w:rsidR="00503EE8">
        <w:rPr>
          <w:noProof/>
        </w:rPr>
        <w:t>ies</w:t>
      </w:r>
      <w:r>
        <w:rPr>
          <w:noProof/>
        </w:rPr>
        <w:t xml:space="preserve"> referred to in Article 11, allowing a robust analysis of the contribution of the project of common interest to the Union energy policy of decarbonisation, market integration, competition, sustainability and security of supply. </w:t>
      </w:r>
    </w:p>
    <w:p w14:paraId="68080E80" w14:textId="143B2846" w:rsidR="00923E53" w:rsidRPr="00185722" w:rsidRDefault="00C44DD6" w:rsidP="00C44DD6">
      <w:pPr>
        <w:pStyle w:val="ManualNumPar1"/>
        <w:rPr>
          <w:noProof/>
        </w:rPr>
      </w:pPr>
      <w:r w:rsidRPr="00C44DD6">
        <w:rPr>
          <w:noProof/>
        </w:rPr>
        <w:t>7.</w:t>
      </w:r>
      <w:r w:rsidRPr="00C44DD6">
        <w:rPr>
          <w:noProof/>
        </w:rPr>
        <w:tab/>
      </w:r>
      <w:r w:rsidR="53841995">
        <w:rPr>
          <w:noProof/>
        </w:rPr>
        <w:t>In allocating the costs, t</w:t>
      </w:r>
      <w:r w:rsidR="00923E53">
        <w:rPr>
          <w:noProof/>
        </w:rPr>
        <w:t>he</w:t>
      </w:r>
      <w:r w:rsidR="00923E53" w:rsidRPr="00185722">
        <w:rPr>
          <w:noProof/>
        </w:rPr>
        <w:t xml:space="preserve"> relevant national regulatory authorities shall apply the following general principles:   </w:t>
      </w:r>
    </w:p>
    <w:p w14:paraId="182137AB" w14:textId="4EC5C59E" w:rsidR="00923E53" w:rsidRPr="00185722" w:rsidRDefault="00C44DD6" w:rsidP="00C44DD6">
      <w:pPr>
        <w:pStyle w:val="Point1"/>
        <w:rPr>
          <w:noProof/>
        </w:rPr>
      </w:pPr>
      <w:r w:rsidRPr="00C44DD6">
        <w:rPr>
          <w:noProof/>
        </w:rPr>
        <w:t>(a)</w:t>
      </w:r>
      <w:r w:rsidRPr="00C44DD6">
        <w:rPr>
          <w:noProof/>
        </w:rPr>
        <w:tab/>
      </w:r>
      <w:r w:rsidR="00AA4160">
        <w:rPr>
          <w:noProof/>
        </w:rPr>
        <w:t>w</w:t>
      </w:r>
      <w:r w:rsidR="00923E53">
        <w:rPr>
          <w:noProof/>
        </w:rPr>
        <w:t>here at least 10</w:t>
      </w:r>
      <w:r w:rsidR="007B0F52">
        <w:rPr>
          <w:noProof/>
        </w:rPr>
        <w:t xml:space="preserve"> </w:t>
      </w:r>
      <w:r w:rsidR="00923E53">
        <w:rPr>
          <w:noProof/>
        </w:rPr>
        <w:t>% of the estimated benefits of a project occur in a Member State, that Member State and the relevant national regulatory authority shall take part in the cross-border cost</w:t>
      </w:r>
      <w:r w:rsidR="56EE1EA8">
        <w:rPr>
          <w:noProof/>
        </w:rPr>
        <w:t>-</w:t>
      </w:r>
      <w:r w:rsidR="00923E53">
        <w:rPr>
          <w:noProof/>
        </w:rPr>
        <w:t>allocation process</w:t>
      </w:r>
      <w:r w:rsidR="009A2489">
        <w:rPr>
          <w:noProof/>
        </w:rPr>
        <w:t>;</w:t>
      </w:r>
    </w:p>
    <w:p w14:paraId="4D616C91" w14:textId="40566DF9" w:rsidR="00923E53" w:rsidRPr="00185722" w:rsidRDefault="00C44DD6" w:rsidP="00C44DD6">
      <w:pPr>
        <w:pStyle w:val="Point1"/>
        <w:rPr>
          <w:noProof/>
        </w:rPr>
      </w:pPr>
      <w:r w:rsidRPr="00C44DD6">
        <w:rPr>
          <w:noProof/>
        </w:rPr>
        <w:t>(b)</w:t>
      </w:r>
      <w:r w:rsidRPr="00C44DD6">
        <w:rPr>
          <w:noProof/>
        </w:rPr>
        <w:tab/>
      </w:r>
      <w:r w:rsidR="00AA4160">
        <w:rPr>
          <w:noProof/>
        </w:rPr>
        <w:t>w</w:t>
      </w:r>
      <w:r w:rsidR="00923E53" w:rsidRPr="00185722">
        <w:rPr>
          <w:noProof/>
        </w:rPr>
        <w:t>here appropriate, the allocation of costs among the Member States shall be based on the distribution of net benefits, ensuring that the cost-allocation key reflects that distribution</w:t>
      </w:r>
      <w:r w:rsidR="009A2489">
        <w:rPr>
          <w:noProof/>
        </w:rPr>
        <w:t>;</w:t>
      </w:r>
    </w:p>
    <w:p w14:paraId="2D8EE186" w14:textId="271DE13B" w:rsidR="00923E53" w:rsidRPr="00185722" w:rsidRDefault="00C44DD6" w:rsidP="00C44DD6">
      <w:pPr>
        <w:pStyle w:val="Point1"/>
        <w:rPr>
          <w:noProof/>
        </w:rPr>
      </w:pPr>
      <w:r w:rsidRPr="00C44DD6">
        <w:rPr>
          <w:noProof/>
        </w:rPr>
        <w:t>(c)</w:t>
      </w:r>
      <w:r w:rsidRPr="00C44DD6">
        <w:rPr>
          <w:noProof/>
        </w:rPr>
        <w:tab/>
      </w:r>
      <w:r w:rsidR="00AA4160">
        <w:rPr>
          <w:noProof/>
        </w:rPr>
        <w:t>t</w:t>
      </w:r>
      <w:r w:rsidR="00923E53" w:rsidRPr="00185722">
        <w:rPr>
          <w:noProof/>
        </w:rPr>
        <w:t xml:space="preserve">he cross-border cost allocation shall be based on an </w:t>
      </w:r>
      <w:r w:rsidR="00923E53" w:rsidRPr="00AE58B8">
        <w:rPr>
          <w:i/>
          <w:noProof/>
        </w:rPr>
        <w:t>ex-ante</w:t>
      </w:r>
      <w:r w:rsidR="00923E53" w:rsidRPr="00185722">
        <w:rPr>
          <w:noProof/>
        </w:rPr>
        <w:t xml:space="preserve"> cost-allocation agreement designed to ensure investment certainty</w:t>
      </w:r>
      <w:r w:rsidR="00E951C2">
        <w:rPr>
          <w:noProof/>
        </w:rPr>
        <w:t>,</w:t>
      </w:r>
      <w:r w:rsidR="00BD4802">
        <w:rPr>
          <w:noProof/>
        </w:rPr>
        <w:t xml:space="preserve"> whereas</w:t>
      </w:r>
      <w:r w:rsidR="00923E53" w:rsidRPr="00185722">
        <w:rPr>
          <w:noProof/>
        </w:rPr>
        <w:t xml:space="preserve"> </w:t>
      </w:r>
      <w:r w:rsidR="00E951C2">
        <w:rPr>
          <w:noProof/>
        </w:rPr>
        <w:t>t</w:t>
      </w:r>
      <w:r w:rsidR="00923E53" w:rsidRPr="00185722">
        <w:rPr>
          <w:noProof/>
        </w:rPr>
        <w:t>he agreement shall be transparent and predictable</w:t>
      </w:r>
      <w:r w:rsidR="00E951C2">
        <w:rPr>
          <w:noProof/>
        </w:rPr>
        <w:t xml:space="preserve"> and</w:t>
      </w:r>
      <w:r w:rsidR="00923E53" w:rsidRPr="00185722">
        <w:rPr>
          <w:noProof/>
        </w:rPr>
        <w:t xml:space="preserve"> </w:t>
      </w:r>
      <w:r w:rsidR="00E951C2">
        <w:rPr>
          <w:noProof/>
        </w:rPr>
        <w:t>t</w:t>
      </w:r>
      <w:r w:rsidR="00923E53" w:rsidRPr="00185722">
        <w:rPr>
          <w:noProof/>
        </w:rPr>
        <w:t>he cross-border cost-allocation may provide for the possibility of ex-post adjustments, provided that such adjustments are explicitly defined in the cost allocation decision and clearly framed, including as regards timeframes and categories of costs covered. </w:t>
      </w:r>
    </w:p>
    <w:p w14:paraId="5D6EAC44" w14:textId="77777777" w:rsidR="00923E53" w:rsidRPr="00185722" w:rsidRDefault="00923E53" w:rsidP="00923E53">
      <w:pPr>
        <w:pStyle w:val="Text1"/>
        <w:rPr>
          <w:noProof/>
        </w:rPr>
      </w:pPr>
      <w:r w:rsidRPr="00185722">
        <w:rPr>
          <w:noProof/>
        </w:rPr>
        <w:t>Where a project of common interest mitigates negative externalities, such as loop flows, and that project of common interest is implemented in the Member State at the origin of the negative externality, such mitigation shall not be regarded as a cross-border benefit and shall therefore not constitute a basis for allocating costs to the TSO of the Member States affected by those negative externalities. </w:t>
      </w:r>
    </w:p>
    <w:p w14:paraId="79D39DB1" w14:textId="739B47C9" w:rsidR="00923E53" w:rsidRPr="00185722" w:rsidRDefault="00C44DD6" w:rsidP="00C44DD6">
      <w:pPr>
        <w:pStyle w:val="ManualNumPar1"/>
        <w:rPr>
          <w:noProof/>
        </w:rPr>
      </w:pPr>
      <w:r w:rsidRPr="00C44DD6">
        <w:rPr>
          <w:noProof/>
        </w:rPr>
        <w:t>8.</w:t>
      </w:r>
      <w:r w:rsidRPr="00C44DD6">
        <w:rPr>
          <w:noProof/>
        </w:rPr>
        <w:tab/>
      </w:r>
      <w:r w:rsidR="00923E53">
        <w:rPr>
          <w:noProof/>
        </w:rPr>
        <w:t>The</w:t>
      </w:r>
      <w:r w:rsidR="00923E53" w:rsidRPr="00185722">
        <w:rPr>
          <w:noProof/>
        </w:rPr>
        <w:t xml:space="preserve"> relevant national regulatory authorities shall, on the basis of the cross-border cost allocation referred to in paragraph 5 of this Article, take into account actual costs incurred by a TSO, HNO or other project promoter as a result of the investments when fixing or approving tariffs in accordance with Article </w:t>
      </w:r>
      <w:r w:rsidR="0015487B">
        <w:rPr>
          <w:noProof/>
        </w:rPr>
        <w:t>78(1)</w:t>
      </w:r>
      <w:r w:rsidR="00923E53" w:rsidRPr="00185722">
        <w:rPr>
          <w:noProof/>
        </w:rPr>
        <w:t xml:space="preserve"> of Directive</w:t>
      </w:r>
      <w:r w:rsidR="00A745D0">
        <w:rPr>
          <w:noProof/>
        </w:rPr>
        <w:t xml:space="preserve"> (EU)</w:t>
      </w:r>
      <w:r w:rsidR="00E66CC8">
        <w:rPr>
          <w:noProof/>
        </w:rPr>
        <w:t xml:space="preserve"> 2024</w:t>
      </w:r>
      <w:r w:rsidR="00923E53" w:rsidRPr="00185722">
        <w:rPr>
          <w:noProof/>
        </w:rPr>
        <w:t>/</w:t>
      </w:r>
      <w:r w:rsidR="00E66CC8">
        <w:rPr>
          <w:noProof/>
        </w:rPr>
        <w:t>1788</w:t>
      </w:r>
      <w:r w:rsidR="00923E53" w:rsidRPr="00185722">
        <w:rPr>
          <w:noProof/>
        </w:rPr>
        <w:t xml:space="preserve"> and Article 59(1), point (a), of Directive (EU) 2019/944, insofar as those costs correspond to those of an efficient and structurally comparable operator. </w:t>
      </w:r>
    </w:p>
    <w:p w14:paraId="46558C35" w14:textId="7AD5B55A" w:rsidR="00923E53" w:rsidRPr="00185722" w:rsidRDefault="00C44DD6" w:rsidP="00C44DD6">
      <w:pPr>
        <w:pStyle w:val="ManualNumPar1"/>
        <w:rPr>
          <w:noProof/>
        </w:rPr>
      </w:pPr>
      <w:r w:rsidRPr="00C44DD6">
        <w:rPr>
          <w:noProof/>
        </w:rPr>
        <w:t>9.</w:t>
      </w:r>
      <w:r w:rsidRPr="00C44DD6">
        <w:rPr>
          <w:noProof/>
        </w:rPr>
        <w:tab/>
      </w:r>
      <w:r w:rsidR="00923E53" w:rsidRPr="00185722">
        <w:rPr>
          <w:noProof/>
        </w:rPr>
        <w:t>The relevant national regulatory authorities shall notify the cost allocation decision to the Agency, without delay, together with all the relevant information with respect to that decision. In particular, the cost allocation decision shall set out detailed reasons for the allocation of costs among Member States, including the following: </w:t>
      </w:r>
    </w:p>
    <w:p w14:paraId="5AF09F4D" w14:textId="7CEBBD9A" w:rsidR="00923E53" w:rsidRPr="00185722" w:rsidRDefault="00C44DD6" w:rsidP="00C44DD6">
      <w:pPr>
        <w:pStyle w:val="Point1"/>
        <w:rPr>
          <w:noProof/>
        </w:rPr>
      </w:pPr>
      <w:r w:rsidRPr="00C44DD6">
        <w:rPr>
          <w:noProof/>
        </w:rPr>
        <w:t>(a)</w:t>
      </w:r>
      <w:r w:rsidRPr="00C44DD6">
        <w:rPr>
          <w:noProof/>
        </w:rPr>
        <w:tab/>
      </w:r>
      <w:r w:rsidR="00923E53" w:rsidRPr="00185722">
        <w:rPr>
          <w:noProof/>
        </w:rPr>
        <w:t>an evaluation of the identified impact on each of the concerned Member States, including those concerning network tariffs; </w:t>
      </w:r>
    </w:p>
    <w:p w14:paraId="5C1C22D7" w14:textId="0005E340" w:rsidR="00923E53" w:rsidRPr="00185722" w:rsidRDefault="00C44DD6" w:rsidP="00C44DD6">
      <w:pPr>
        <w:pStyle w:val="Point1"/>
        <w:rPr>
          <w:noProof/>
        </w:rPr>
      </w:pPr>
      <w:r w:rsidRPr="00C44DD6">
        <w:rPr>
          <w:noProof/>
        </w:rPr>
        <w:t>(b)</w:t>
      </w:r>
      <w:r w:rsidRPr="00C44DD6">
        <w:rPr>
          <w:noProof/>
        </w:rPr>
        <w:tab/>
      </w:r>
      <w:r w:rsidR="00923E53" w:rsidRPr="00185722">
        <w:rPr>
          <w:noProof/>
        </w:rPr>
        <w:t>an evaluation of the business plan referred to in paragraph 4, first subparagraph, point (b); </w:t>
      </w:r>
    </w:p>
    <w:p w14:paraId="3E717217" w14:textId="06B59AF2" w:rsidR="00923E53" w:rsidRPr="00185722" w:rsidRDefault="00C44DD6" w:rsidP="00C44DD6">
      <w:pPr>
        <w:pStyle w:val="Point1"/>
        <w:rPr>
          <w:noProof/>
        </w:rPr>
      </w:pPr>
      <w:r w:rsidRPr="00C44DD6">
        <w:rPr>
          <w:noProof/>
        </w:rPr>
        <w:t>(c)</w:t>
      </w:r>
      <w:r w:rsidRPr="00C44DD6">
        <w:rPr>
          <w:noProof/>
        </w:rPr>
        <w:tab/>
      </w:r>
      <w:r w:rsidR="00923E53" w:rsidRPr="00185722">
        <w:rPr>
          <w:noProof/>
        </w:rPr>
        <w:t>regional or Union-wide positive externalities, such as security of supply, system flexibility, solidarity or innovation, which the project would generate; </w:t>
      </w:r>
    </w:p>
    <w:p w14:paraId="2132A9FC" w14:textId="6B3FB953" w:rsidR="00923E53" w:rsidRPr="00185722" w:rsidRDefault="00C44DD6" w:rsidP="00C44DD6">
      <w:pPr>
        <w:pStyle w:val="Point1"/>
        <w:rPr>
          <w:noProof/>
        </w:rPr>
      </w:pPr>
      <w:r w:rsidRPr="00C44DD6">
        <w:rPr>
          <w:noProof/>
        </w:rPr>
        <w:t>(d)</w:t>
      </w:r>
      <w:r w:rsidRPr="00C44DD6">
        <w:rPr>
          <w:noProof/>
        </w:rPr>
        <w:tab/>
      </w:r>
      <w:r w:rsidR="00923E53" w:rsidRPr="00185722">
        <w:rPr>
          <w:noProof/>
        </w:rPr>
        <w:t>the result of the consultation of the project promoters concerned. </w:t>
      </w:r>
    </w:p>
    <w:p w14:paraId="2FAFE2EB" w14:textId="77777777" w:rsidR="00923E53" w:rsidRPr="00185722" w:rsidRDefault="00923E53" w:rsidP="00923E53">
      <w:pPr>
        <w:pStyle w:val="Text1"/>
        <w:rPr>
          <w:noProof/>
        </w:rPr>
      </w:pPr>
      <w:r w:rsidRPr="00185722">
        <w:rPr>
          <w:noProof/>
        </w:rPr>
        <w:t xml:space="preserve">The cost allocation decision shall be published </w:t>
      </w:r>
      <w:r w:rsidRPr="00CB3E4F">
        <w:rPr>
          <w:noProof/>
        </w:rPr>
        <w:t>on the websites of the relevant national regulatory authorities and shared with Agency</w:t>
      </w:r>
      <w:r w:rsidR="33BE5998">
        <w:rPr>
          <w:noProof/>
        </w:rPr>
        <w:t xml:space="preserve"> and the Commission</w:t>
      </w:r>
      <w:r w:rsidR="00FA1430">
        <w:rPr>
          <w:noProof/>
        </w:rPr>
        <w:t>.</w:t>
      </w:r>
      <w:r w:rsidRPr="00185722">
        <w:rPr>
          <w:noProof/>
        </w:rPr>
        <w:t xml:space="preserve"> </w:t>
      </w:r>
    </w:p>
    <w:p w14:paraId="09A117F5" w14:textId="77777777" w:rsidR="00A94BDF" w:rsidRDefault="00923E53" w:rsidP="009E7970">
      <w:pPr>
        <w:pStyle w:val="Text1"/>
        <w:rPr>
          <w:noProof/>
        </w:rPr>
      </w:pPr>
      <w:r w:rsidRPr="00CB3E4F">
        <w:rPr>
          <w:noProof/>
        </w:rPr>
        <w:t xml:space="preserve">By </w:t>
      </w:r>
      <w:r w:rsidR="00B74F51">
        <w:rPr>
          <w:noProof/>
        </w:rPr>
        <w:t>[</w:t>
      </w:r>
      <w:r w:rsidR="00B74F51" w:rsidRPr="004D60A9">
        <w:rPr>
          <w:i/>
          <w:iCs/>
          <w:noProof/>
        </w:rPr>
        <w:t>within 6 mont</w:t>
      </w:r>
      <w:r w:rsidR="008050D0">
        <w:rPr>
          <w:i/>
          <w:iCs/>
          <w:noProof/>
        </w:rPr>
        <w:t>h</w:t>
      </w:r>
      <w:r w:rsidR="00B74F51" w:rsidRPr="004D60A9">
        <w:rPr>
          <w:i/>
          <w:iCs/>
          <w:noProof/>
        </w:rPr>
        <w:t>s of entry into force</w:t>
      </w:r>
      <w:r w:rsidR="00B74F51">
        <w:rPr>
          <w:noProof/>
        </w:rPr>
        <w:t>]</w:t>
      </w:r>
      <w:r w:rsidRPr="00CB3E4F">
        <w:rPr>
          <w:noProof/>
        </w:rPr>
        <w:t xml:space="preserve">, the Agency shall establish a </w:t>
      </w:r>
      <w:r w:rsidRPr="00185722">
        <w:rPr>
          <w:noProof/>
        </w:rPr>
        <w:t>central repository of all cross-border cost-allocation decisions taken by national regulatory authorities and host it on its website.</w:t>
      </w:r>
    </w:p>
    <w:p w14:paraId="0420C988" w14:textId="00918FA1" w:rsidR="00923E53" w:rsidRPr="00185722" w:rsidRDefault="00C44DD6" w:rsidP="00C44DD6">
      <w:pPr>
        <w:pStyle w:val="ManualNumPar1"/>
        <w:rPr>
          <w:noProof/>
        </w:rPr>
      </w:pPr>
      <w:r w:rsidRPr="00C44DD6">
        <w:rPr>
          <w:noProof/>
        </w:rPr>
        <w:t>10.</w:t>
      </w:r>
      <w:r w:rsidRPr="00C44DD6">
        <w:rPr>
          <w:noProof/>
        </w:rPr>
        <w:tab/>
      </w:r>
      <w:r w:rsidR="00923E53" w:rsidRPr="00185722">
        <w:rPr>
          <w:noProof/>
        </w:rPr>
        <w:t>Where the relevant national regulatory authorities have not reached an agreement on the investment request within six months of the date on which the request was received by the last of the relevant national regulatory authorities, they shall inform the Agency without delay. </w:t>
      </w:r>
    </w:p>
    <w:p w14:paraId="78E00A5E" w14:textId="77777777" w:rsidR="00923E53" w:rsidRPr="00185722" w:rsidRDefault="00923E53" w:rsidP="009E7970">
      <w:pPr>
        <w:pStyle w:val="Text1"/>
        <w:rPr>
          <w:noProof/>
        </w:rPr>
      </w:pPr>
      <w:r w:rsidRPr="00185722">
        <w:rPr>
          <w:noProof/>
        </w:rPr>
        <w:t>In that case, or upon a joint request from the relevant national regulatory authorities, the decision on the investment request including cross-border cost allocation referred to in paragraph 5 shall be taken by the Agency within three months of the date of referral to the Agency. </w:t>
      </w:r>
    </w:p>
    <w:p w14:paraId="45FABF8B" w14:textId="77777777" w:rsidR="00923E53" w:rsidRPr="00185722" w:rsidRDefault="00923E53" w:rsidP="009E7970">
      <w:pPr>
        <w:pStyle w:val="Text1"/>
        <w:rPr>
          <w:noProof/>
        </w:rPr>
      </w:pPr>
      <w:r w:rsidRPr="00185722">
        <w:rPr>
          <w:noProof/>
        </w:rPr>
        <w:t>Before taking such a decision, the Agency shall consult the relevant national regulatory authorities and the project promoters. The three-month period referred to in the second subparagraph may be extended by an additional period of two months where further information is sought by the Agency. That additional period shall begin on the day following receipt of the complete information. </w:t>
      </w:r>
    </w:p>
    <w:p w14:paraId="3F931A07" w14:textId="77777777" w:rsidR="00923E53" w:rsidRPr="00185722" w:rsidRDefault="00923E53" w:rsidP="009E7970">
      <w:pPr>
        <w:pStyle w:val="Text1"/>
        <w:rPr>
          <w:noProof/>
        </w:rPr>
      </w:pPr>
      <w:r w:rsidRPr="00185722">
        <w:rPr>
          <w:noProof/>
        </w:rPr>
        <w:t xml:space="preserve">The assessment of the Agency shall be based on </w:t>
      </w:r>
      <w:r w:rsidRPr="00CB3E4F">
        <w:rPr>
          <w:noProof/>
        </w:rPr>
        <w:t>the central scenario</w:t>
      </w:r>
      <w:r w:rsidRPr="00185722">
        <w:rPr>
          <w:noProof/>
        </w:rPr>
        <w:t xml:space="preserve"> established under Article 11 and any sensitivit</w:t>
      </w:r>
      <w:r w:rsidR="00503EE8">
        <w:rPr>
          <w:noProof/>
        </w:rPr>
        <w:t>ie</w:t>
      </w:r>
      <w:r w:rsidRPr="00185722">
        <w:rPr>
          <w:noProof/>
        </w:rPr>
        <w:t xml:space="preserve">s, allowing a robust analysis of the contribution of the project of common interest to the Union energy policy targets of decarbonisation, market integration, competition, sustainability and security of supply. </w:t>
      </w:r>
    </w:p>
    <w:p w14:paraId="095A52EA" w14:textId="77777777" w:rsidR="00923E53" w:rsidRPr="00185722" w:rsidRDefault="00923E53" w:rsidP="009E7970">
      <w:pPr>
        <w:pStyle w:val="Text1"/>
        <w:rPr>
          <w:noProof/>
        </w:rPr>
      </w:pPr>
      <w:r w:rsidRPr="00185722">
        <w:rPr>
          <w:noProof/>
        </w:rPr>
        <w:t xml:space="preserve">The Agency, in its decision on the investment request including cross-border cost allocation, shall leave the determination of the way the investment costs are included in the tariffs in </w:t>
      </w:r>
      <w:r w:rsidR="1232A50A">
        <w:rPr>
          <w:noProof/>
        </w:rPr>
        <w:t xml:space="preserve">accordance </w:t>
      </w:r>
      <w:r w:rsidRPr="00185722">
        <w:rPr>
          <w:noProof/>
        </w:rPr>
        <w:t>with the cross-border cost allocation prescribed, to the relevant national authorities at the time of the implementation of that decision in accordance with national law. </w:t>
      </w:r>
    </w:p>
    <w:p w14:paraId="692BA2B6" w14:textId="77777777" w:rsidR="00923E53" w:rsidRPr="00185722" w:rsidRDefault="00923E53" w:rsidP="009E7970">
      <w:pPr>
        <w:pStyle w:val="Text1"/>
        <w:rPr>
          <w:noProof/>
        </w:rPr>
      </w:pPr>
      <w:r w:rsidRPr="00185722">
        <w:rPr>
          <w:noProof/>
        </w:rPr>
        <w:t>The decision on the investment request including cross-border cost allocation shall be published. Article 25(3) and Articles 28 and 29 of Regulation (EU) 2019/942 shall apply. </w:t>
      </w:r>
    </w:p>
    <w:p w14:paraId="4A0E19CD" w14:textId="22A3CA38" w:rsidR="00923E53" w:rsidRPr="0080284D" w:rsidRDefault="00C44DD6" w:rsidP="00C44DD6">
      <w:pPr>
        <w:pStyle w:val="ManualNumPar1"/>
        <w:rPr>
          <w:noProof/>
        </w:rPr>
      </w:pPr>
      <w:r w:rsidRPr="00C44DD6">
        <w:rPr>
          <w:noProof/>
        </w:rPr>
        <w:t>11.</w:t>
      </w:r>
      <w:r w:rsidRPr="00C44DD6">
        <w:rPr>
          <w:noProof/>
        </w:rPr>
        <w:tab/>
      </w:r>
      <w:r w:rsidR="00923E53" w:rsidRPr="00185722">
        <w:rPr>
          <w:noProof/>
        </w:rPr>
        <w:t xml:space="preserve">A copy of all cost allocation decisions, together with all the relevant information with respect to each decision, shall be notified, without delay, by the Agency to the Commission. </w:t>
      </w:r>
      <w:r w:rsidR="00923E53" w:rsidRPr="00CB3E4F">
        <w:rPr>
          <w:noProof/>
        </w:rPr>
        <w:t xml:space="preserve">The Agency shall publish non-confidential versions of all decisions on its website. </w:t>
      </w:r>
      <w:r w:rsidR="00923E53" w:rsidRPr="00185722">
        <w:rPr>
          <w:noProof/>
        </w:rPr>
        <w:t xml:space="preserve">That information may be submitted in aggregate form. The </w:t>
      </w:r>
      <w:r w:rsidR="00923E53" w:rsidRPr="00CB3E4F">
        <w:rPr>
          <w:noProof/>
        </w:rPr>
        <w:t xml:space="preserve">Agency and </w:t>
      </w:r>
      <w:r w:rsidR="00923E53" w:rsidRPr="0080284D">
        <w:rPr>
          <w:noProof/>
        </w:rPr>
        <w:t>the Commission shall preserve the confidentiality of commercially sensitive information. </w:t>
      </w:r>
    </w:p>
    <w:p w14:paraId="1A00A6B7" w14:textId="66DF6147" w:rsidR="00923E53" w:rsidRPr="0080284D" w:rsidRDefault="00C44DD6" w:rsidP="00C44DD6">
      <w:pPr>
        <w:pStyle w:val="ManualNumPar1"/>
        <w:rPr>
          <w:noProof/>
        </w:rPr>
      </w:pPr>
      <w:r w:rsidRPr="00C44DD6">
        <w:rPr>
          <w:noProof/>
        </w:rPr>
        <w:t>12.</w:t>
      </w:r>
      <w:r w:rsidRPr="00C44DD6">
        <w:rPr>
          <w:noProof/>
        </w:rPr>
        <w:tab/>
      </w:r>
      <w:r w:rsidR="00923E53" w:rsidRPr="0080284D">
        <w:rPr>
          <w:noProof/>
        </w:rPr>
        <w:t xml:space="preserve">Cost allocation decisions shall not affect the right of TSOs to apply and of national regulatory authorities to approve charges for access to networks in accordance with </w:t>
      </w:r>
      <w:r w:rsidR="00923E53">
        <w:rPr>
          <w:noProof/>
        </w:rPr>
        <w:t>Regulation</w:t>
      </w:r>
      <w:r w:rsidR="6CA58790">
        <w:rPr>
          <w:noProof/>
        </w:rPr>
        <w:t>s (EU) 2019/943 and</w:t>
      </w:r>
      <w:r w:rsidR="00923E53" w:rsidRPr="0080284D">
        <w:rPr>
          <w:noProof/>
        </w:rPr>
        <w:t xml:space="preserve"> (E</w:t>
      </w:r>
      <w:r w:rsidR="005F09C5" w:rsidRPr="0080284D">
        <w:rPr>
          <w:noProof/>
        </w:rPr>
        <w:t>U</w:t>
      </w:r>
      <w:r w:rsidR="00923E53" w:rsidRPr="0080284D">
        <w:rPr>
          <w:noProof/>
        </w:rPr>
        <w:t xml:space="preserve">) </w:t>
      </w:r>
      <w:r w:rsidR="005F09C5" w:rsidRPr="0080284D">
        <w:rPr>
          <w:noProof/>
        </w:rPr>
        <w:t>2024/1789</w:t>
      </w:r>
      <w:r w:rsidR="001742A9" w:rsidRPr="0080284D">
        <w:rPr>
          <w:noProof/>
        </w:rPr>
        <w:t xml:space="preserve"> </w:t>
      </w:r>
      <w:r w:rsidR="03AC9C5C">
        <w:rPr>
          <w:noProof/>
        </w:rPr>
        <w:t>and</w:t>
      </w:r>
      <w:r w:rsidR="001742A9">
        <w:rPr>
          <w:noProof/>
        </w:rPr>
        <w:t xml:space="preserve"> </w:t>
      </w:r>
      <w:r w:rsidR="00923E53">
        <w:rPr>
          <w:noProof/>
        </w:rPr>
        <w:t>Directive</w:t>
      </w:r>
      <w:r w:rsidR="086779DB">
        <w:rPr>
          <w:noProof/>
        </w:rPr>
        <w:t>s</w:t>
      </w:r>
      <w:r w:rsidR="001742A9" w:rsidRPr="0080284D">
        <w:rPr>
          <w:noProof/>
        </w:rPr>
        <w:t xml:space="preserve"> </w:t>
      </w:r>
      <w:r w:rsidR="51225E19">
        <w:rPr>
          <w:noProof/>
        </w:rPr>
        <w:t xml:space="preserve">(EU) 2019/944 and </w:t>
      </w:r>
      <w:r w:rsidR="001742A9" w:rsidRPr="0080284D">
        <w:rPr>
          <w:noProof/>
        </w:rPr>
        <w:t xml:space="preserve">(EU) </w:t>
      </w:r>
      <w:r w:rsidR="001742A9" w:rsidRPr="00615F22">
        <w:rPr>
          <w:noProof/>
        </w:rPr>
        <w:t>2024/</w:t>
      </w:r>
      <w:r w:rsidR="00B87078" w:rsidRPr="00615F22">
        <w:rPr>
          <w:noProof/>
        </w:rPr>
        <w:t>1</w:t>
      </w:r>
      <w:r w:rsidR="001742A9" w:rsidRPr="00615F22">
        <w:rPr>
          <w:noProof/>
        </w:rPr>
        <w:t>788</w:t>
      </w:r>
      <w:r w:rsidR="00923E53" w:rsidRPr="00615F22">
        <w:rPr>
          <w:noProof/>
        </w:rPr>
        <w:t>.</w:t>
      </w:r>
      <w:r w:rsidR="00923E53" w:rsidRPr="0080284D">
        <w:rPr>
          <w:noProof/>
        </w:rPr>
        <w:t> </w:t>
      </w:r>
    </w:p>
    <w:p w14:paraId="26087AC5" w14:textId="6D72C43E" w:rsidR="00923E53" w:rsidRPr="0080284D" w:rsidRDefault="00C44DD6" w:rsidP="00C44DD6">
      <w:pPr>
        <w:pStyle w:val="ManualNumPar1"/>
        <w:rPr>
          <w:noProof/>
        </w:rPr>
      </w:pPr>
      <w:r w:rsidRPr="00C44DD6">
        <w:rPr>
          <w:noProof/>
        </w:rPr>
        <w:t>13.</w:t>
      </w:r>
      <w:r w:rsidRPr="00C44DD6">
        <w:rPr>
          <w:noProof/>
        </w:rPr>
        <w:tab/>
      </w:r>
      <w:r w:rsidR="00923E53" w:rsidRPr="0080284D">
        <w:rPr>
          <w:noProof/>
        </w:rPr>
        <w:t xml:space="preserve">This Article shall not apply to projects of common interest which </w:t>
      </w:r>
      <w:r w:rsidR="00C62DDC" w:rsidRPr="0080284D">
        <w:rPr>
          <w:noProof/>
        </w:rPr>
        <w:t>benefit</w:t>
      </w:r>
      <w:r w:rsidR="00923E53" w:rsidRPr="0080284D">
        <w:rPr>
          <w:noProof/>
        </w:rPr>
        <w:t xml:space="preserve"> from</w:t>
      </w:r>
      <w:r w:rsidR="07248328">
        <w:rPr>
          <w:noProof/>
        </w:rPr>
        <w:t xml:space="preserve"> one or more of the following</w:t>
      </w:r>
      <w:r w:rsidR="00923E53" w:rsidRPr="0080284D">
        <w:rPr>
          <w:noProof/>
        </w:rPr>
        <w:t>: </w:t>
      </w:r>
    </w:p>
    <w:p w14:paraId="2E5AAB90" w14:textId="11C5D46B" w:rsidR="00923E53" w:rsidRPr="0080284D" w:rsidRDefault="00C44DD6" w:rsidP="00C44DD6">
      <w:pPr>
        <w:pStyle w:val="Point1"/>
        <w:rPr>
          <w:noProof/>
        </w:rPr>
      </w:pPr>
      <w:r w:rsidRPr="00C44DD6">
        <w:rPr>
          <w:noProof/>
        </w:rPr>
        <w:t>(a)</w:t>
      </w:r>
      <w:r w:rsidRPr="00C44DD6">
        <w:rPr>
          <w:noProof/>
        </w:rPr>
        <w:tab/>
      </w:r>
      <w:r w:rsidR="16FEF032">
        <w:rPr>
          <w:noProof/>
        </w:rPr>
        <w:t>a</w:t>
      </w:r>
      <w:r w:rsidR="00C62DDC" w:rsidRPr="0080284D">
        <w:rPr>
          <w:noProof/>
        </w:rPr>
        <w:t xml:space="preserve">n exemption from </w:t>
      </w:r>
      <w:r w:rsidR="00923E53" w:rsidRPr="0080284D">
        <w:rPr>
          <w:noProof/>
        </w:rPr>
        <w:t xml:space="preserve">Articles </w:t>
      </w:r>
      <w:r w:rsidR="00C62DDC" w:rsidRPr="0080284D">
        <w:rPr>
          <w:noProof/>
        </w:rPr>
        <w:t xml:space="preserve">31, </w:t>
      </w:r>
      <w:r w:rsidR="00923E53" w:rsidRPr="0080284D">
        <w:rPr>
          <w:noProof/>
        </w:rPr>
        <w:t>32, 33 and Article</w:t>
      </w:r>
      <w:r w:rsidR="008D426A" w:rsidRPr="0080284D">
        <w:rPr>
          <w:noProof/>
        </w:rPr>
        <w:t>s 78(7)</w:t>
      </w:r>
      <w:r w:rsidR="00923E53" w:rsidRPr="0080284D">
        <w:rPr>
          <w:noProof/>
        </w:rPr>
        <w:t xml:space="preserve"> and Directive</w:t>
      </w:r>
      <w:r w:rsidR="00973CE6" w:rsidRPr="0080284D">
        <w:rPr>
          <w:noProof/>
        </w:rPr>
        <w:t xml:space="preserve"> (EU)</w:t>
      </w:r>
      <w:r w:rsidR="00923E53" w:rsidRPr="0080284D">
        <w:rPr>
          <w:noProof/>
        </w:rPr>
        <w:t xml:space="preserve"> </w:t>
      </w:r>
      <w:r w:rsidR="00D67F9F" w:rsidRPr="0080284D">
        <w:rPr>
          <w:noProof/>
        </w:rPr>
        <w:t>2024/1788</w:t>
      </w:r>
      <w:r w:rsidR="00923E53" w:rsidRPr="0080284D">
        <w:rPr>
          <w:noProof/>
        </w:rPr>
        <w:t xml:space="preserve">, pursuant to Article </w:t>
      </w:r>
      <w:r w:rsidR="009A7066" w:rsidRPr="0080284D">
        <w:rPr>
          <w:noProof/>
        </w:rPr>
        <w:t>78</w:t>
      </w:r>
      <w:r w:rsidR="00923E53" w:rsidRPr="0080284D">
        <w:rPr>
          <w:noProof/>
        </w:rPr>
        <w:t xml:space="preserve"> of </w:t>
      </w:r>
      <w:r w:rsidR="0080284D" w:rsidRPr="0080284D">
        <w:rPr>
          <w:noProof/>
        </w:rPr>
        <w:t>Regulation (EU) 2024/1789</w:t>
      </w:r>
      <w:r w:rsidR="00923E53" w:rsidRPr="0080284D">
        <w:rPr>
          <w:noProof/>
        </w:rPr>
        <w:t>; </w:t>
      </w:r>
    </w:p>
    <w:p w14:paraId="67747E8A" w14:textId="50EC3BFA" w:rsidR="00923E53" w:rsidRPr="0080284D" w:rsidRDefault="00C44DD6" w:rsidP="00C44DD6">
      <w:pPr>
        <w:pStyle w:val="Point1"/>
        <w:rPr>
          <w:noProof/>
        </w:rPr>
      </w:pPr>
      <w:r w:rsidRPr="00C44DD6">
        <w:rPr>
          <w:noProof/>
        </w:rPr>
        <w:t>(b)</w:t>
      </w:r>
      <w:r w:rsidRPr="00C44DD6">
        <w:rPr>
          <w:noProof/>
        </w:rPr>
        <w:tab/>
      </w:r>
      <w:r w:rsidR="4DE967BA">
        <w:rPr>
          <w:noProof/>
        </w:rPr>
        <w:t>a</w:t>
      </w:r>
      <w:r w:rsidR="0080284D" w:rsidRPr="0080284D">
        <w:rPr>
          <w:noProof/>
        </w:rPr>
        <w:t xml:space="preserve">n exemption from </w:t>
      </w:r>
      <w:r w:rsidR="00923E53" w:rsidRPr="0080284D">
        <w:rPr>
          <w:noProof/>
        </w:rPr>
        <w:t>Article 19(2) and (3) of Regulation (EU) 2019/943 or Article 6, Article 59(7) and Article 60(1) of Directive (EU) 2019/944, pursuant to Article 63 of Regulation (EU) 2019/943; </w:t>
      </w:r>
    </w:p>
    <w:p w14:paraId="7B275C0E" w14:textId="05816AD6" w:rsidR="00923E53" w:rsidRPr="0080284D" w:rsidRDefault="00C44DD6" w:rsidP="00C44DD6">
      <w:pPr>
        <w:pStyle w:val="Point1"/>
        <w:rPr>
          <w:noProof/>
        </w:rPr>
      </w:pPr>
      <w:bookmarkStart w:id="27" w:name="bookmark76"/>
      <w:r w:rsidRPr="00C44DD6">
        <w:rPr>
          <w:noProof/>
        </w:rPr>
        <w:t>(c)</w:t>
      </w:r>
      <w:r w:rsidRPr="00C44DD6">
        <w:rPr>
          <w:noProof/>
        </w:rPr>
        <w:tab/>
      </w:r>
      <w:r w:rsidR="59F97E9E">
        <w:rPr>
          <w:noProof/>
        </w:rPr>
        <w:t>a</w:t>
      </w:r>
      <w:r w:rsidR="0080284D" w:rsidRPr="0080284D">
        <w:rPr>
          <w:noProof/>
        </w:rPr>
        <w:t xml:space="preserve"> derogation from </w:t>
      </w:r>
      <w:r w:rsidR="00923E53" w:rsidRPr="0080284D">
        <w:rPr>
          <w:noProof/>
        </w:rPr>
        <w:t>unbundling or third</w:t>
      </w:r>
      <w:r w:rsidR="4A70F385" w:rsidRPr="0080284D">
        <w:rPr>
          <w:noProof/>
        </w:rPr>
        <w:t>-</w:t>
      </w:r>
      <w:r w:rsidR="00923E53" w:rsidRPr="0080284D">
        <w:rPr>
          <w:noProof/>
        </w:rPr>
        <w:t>party access rules, pursuant to Article 17 of Regulation (EC) No 714/2009 of the European Parliament and of the Council</w:t>
      </w:r>
      <w:r w:rsidR="00880043">
        <w:rPr>
          <w:rStyle w:val="FootnoteReference"/>
          <w:noProof/>
        </w:rPr>
        <w:footnoteReference w:id="68"/>
      </w:r>
      <w:r w:rsidR="00923E53" w:rsidRPr="0080284D">
        <w:rPr>
          <w:noProof/>
        </w:rPr>
        <w:t xml:space="preserve"> or to Article 64 of Regulation (EU) 2019/943 and Article 66 of Directive (EU) 2019/944.</w:t>
      </w:r>
      <w:bookmarkEnd w:id="27"/>
      <w:r w:rsidR="00923E53" w:rsidRPr="0080284D">
        <w:rPr>
          <w:noProof/>
        </w:rPr>
        <w:t> </w:t>
      </w:r>
    </w:p>
    <w:p w14:paraId="300382D1" w14:textId="2A4072D0" w:rsidR="003E3A87" w:rsidRDefault="00C44DD6" w:rsidP="00C44DD6">
      <w:pPr>
        <w:pStyle w:val="ManualNumPar1"/>
        <w:rPr>
          <w:noProof/>
        </w:rPr>
      </w:pPr>
      <w:r w:rsidRPr="00C44DD6">
        <w:rPr>
          <w:noProof/>
        </w:rPr>
        <w:t>14.</w:t>
      </w:r>
      <w:r w:rsidRPr="00C44DD6">
        <w:rPr>
          <w:noProof/>
        </w:rPr>
        <w:tab/>
      </w:r>
      <w:r w:rsidR="00923E53">
        <w:rPr>
          <w:noProof/>
        </w:rPr>
        <w:t>By [</w:t>
      </w:r>
      <w:r w:rsidR="00923E53" w:rsidRPr="004D60A9">
        <w:rPr>
          <w:i/>
          <w:iCs/>
          <w:noProof/>
        </w:rPr>
        <w:t xml:space="preserve">six months </w:t>
      </w:r>
      <w:r w:rsidR="00AA2790">
        <w:rPr>
          <w:i/>
          <w:iCs/>
          <w:noProof/>
        </w:rPr>
        <w:t>after</w:t>
      </w:r>
      <w:r w:rsidR="00923E53" w:rsidRPr="004D60A9">
        <w:rPr>
          <w:i/>
          <w:iCs/>
          <w:noProof/>
        </w:rPr>
        <w:t xml:space="preserve"> entry into force</w:t>
      </w:r>
      <w:r w:rsidR="00AA2790">
        <w:rPr>
          <w:i/>
          <w:iCs/>
          <w:noProof/>
        </w:rPr>
        <w:t xml:space="preserve"> of this Regulation</w:t>
      </w:r>
      <w:r w:rsidR="00923E53">
        <w:rPr>
          <w:noProof/>
        </w:rPr>
        <w:t xml:space="preserve">], the Agency shall adopt a recommendation for identifying good practices for the treatment of investment requests for projects of common interest </w:t>
      </w:r>
      <w:r w:rsidR="007C5562">
        <w:rPr>
          <w:noProof/>
        </w:rPr>
        <w:t xml:space="preserve">in </w:t>
      </w:r>
      <w:r w:rsidR="007E3B9F">
        <w:rPr>
          <w:noProof/>
        </w:rPr>
        <w:t xml:space="preserve">accordance </w:t>
      </w:r>
      <w:r w:rsidR="007C5562">
        <w:rPr>
          <w:noProof/>
        </w:rPr>
        <w:t>with</w:t>
      </w:r>
      <w:r w:rsidR="00923E53">
        <w:rPr>
          <w:noProof/>
        </w:rPr>
        <w:t xml:space="preserve"> the principles </w:t>
      </w:r>
      <w:r w:rsidR="007E3B9F">
        <w:rPr>
          <w:noProof/>
        </w:rPr>
        <w:t xml:space="preserve">referred to </w:t>
      </w:r>
      <w:r w:rsidR="00923E53">
        <w:rPr>
          <w:noProof/>
        </w:rPr>
        <w:t xml:space="preserve">in paragraph </w:t>
      </w:r>
      <w:r w:rsidR="007E3B9F">
        <w:rPr>
          <w:noProof/>
        </w:rPr>
        <w:t>7</w:t>
      </w:r>
      <w:r w:rsidR="00923E53">
        <w:rPr>
          <w:noProof/>
        </w:rPr>
        <w:t xml:space="preserve"> of this </w:t>
      </w:r>
      <w:r w:rsidR="007E3B9F">
        <w:rPr>
          <w:noProof/>
        </w:rPr>
        <w:t>A</w:t>
      </w:r>
      <w:r w:rsidR="00923E53">
        <w:rPr>
          <w:noProof/>
        </w:rPr>
        <w:t xml:space="preserve">rticle. </w:t>
      </w:r>
    </w:p>
    <w:p w14:paraId="11BE5DFA" w14:textId="77777777" w:rsidR="00923E53" w:rsidRPr="00185722" w:rsidRDefault="00923E53">
      <w:pPr>
        <w:pStyle w:val="Text1"/>
        <w:rPr>
          <w:noProof/>
        </w:rPr>
      </w:pPr>
      <w:r>
        <w:rPr>
          <w:noProof/>
        </w:rPr>
        <w:t xml:space="preserve">That recommendation shall be regularly updated </w:t>
      </w:r>
      <w:r w:rsidR="006368F4">
        <w:rPr>
          <w:noProof/>
        </w:rPr>
        <w:t xml:space="preserve">by the Agency </w:t>
      </w:r>
      <w:r>
        <w:rPr>
          <w:noProof/>
        </w:rPr>
        <w:t>as necessary</w:t>
      </w:r>
      <w:r w:rsidR="006368F4">
        <w:rPr>
          <w:noProof/>
        </w:rPr>
        <w:t>. It</w:t>
      </w:r>
      <w:r>
        <w:rPr>
          <w:noProof/>
        </w:rPr>
        <w:t xml:space="preserve"> shall take account of sectorial specificities, and shall ensure consistency with the principles on the offshore grids for renewable energy cross-border cost sharing as referred to in Article 16(1). In adopting or </w:t>
      </w:r>
      <w:r w:rsidR="007E3B9F">
        <w:rPr>
          <w:noProof/>
        </w:rPr>
        <w:t>updating</w:t>
      </w:r>
      <w:r>
        <w:rPr>
          <w:noProof/>
        </w:rPr>
        <w:t xml:space="preserve"> the recommendation, the Agency shall carry out an extensive consultation process, involving all relevant stakeholders. That recommendation shall also include a non-binding </w:t>
      </w:r>
      <w:r w:rsidR="5FFD8B38">
        <w:rPr>
          <w:noProof/>
        </w:rPr>
        <w:t xml:space="preserve">cross-border cost-allocation </w:t>
      </w:r>
      <w:r>
        <w:rPr>
          <w:noProof/>
        </w:rPr>
        <w:t xml:space="preserve">template to facilitate the work of national regulatory agencies. </w:t>
      </w:r>
    </w:p>
    <w:p w14:paraId="4F27EF53" w14:textId="5D26881C" w:rsidR="00923E53" w:rsidRPr="00185722" w:rsidRDefault="00C44DD6" w:rsidP="00C44DD6">
      <w:pPr>
        <w:pStyle w:val="ManualNumPar1"/>
        <w:rPr>
          <w:noProof/>
        </w:rPr>
      </w:pPr>
      <w:r w:rsidRPr="00C44DD6">
        <w:rPr>
          <w:noProof/>
        </w:rPr>
        <w:t>15.</w:t>
      </w:r>
      <w:r w:rsidRPr="00C44DD6">
        <w:rPr>
          <w:noProof/>
        </w:rPr>
        <w:tab/>
      </w:r>
      <w:r w:rsidR="00923E53" w:rsidRPr="00185722">
        <w:rPr>
          <w:noProof/>
        </w:rPr>
        <w:t xml:space="preserve">Projects of mutual interest shall obtain a cross-border cost allocation under the same rules and conditions </w:t>
      </w:r>
      <w:r w:rsidR="007E3B9F">
        <w:rPr>
          <w:noProof/>
        </w:rPr>
        <w:t>referred to in</w:t>
      </w:r>
      <w:r w:rsidR="007E3B9F" w:rsidRPr="00185722">
        <w:rPr>
          <w:noProof/>
        </w:rPr>
        <w:t xml:space="preserve"> </w:t>
      </w:r>
      <w:r w:rsidR="00923E53" w:rsidRPr="00185722">
        <w:rPr>
          <w:noProof/>
        </w:rPr>
        <w:t>this Article as regards the benefits they bring for the Union</w:t>
      </w:r>
      <w:r w:rsidR="008D2859">
        <w:rPr>
          <w:noProof/>
        </w:rPr>
        <w:t>. It shall</w:t>
      </w:r>
      <w:r w:rsidR="00923E53" w:rsidRPr="00185722">
        <w:rPr>
          <w:noProof/>
        </w:rPr>
        <w:t xml:space="preserve"> be issued in a coordinated manner by the relevant </w:t>
      </w:r>
      <w:r w:rsidR="004A054C" w:rsidRPr="00185722">
        <w:rPr>
          <w:noProof/>
        </w:rPr>
        <w:t>national regulatory authoriti</w:t>
      </w:r>
      <w:r w:rsidR="00C650A8">
        <w:rPr>
          <w:noProof/>
        </w:rPr>
        <w:t>es</w:t>
      </w:r>
      <w:r w:rsidR="00923E53" w:rsidRPr="00185722">
        <w:rPr>
          <w:noProof/>
        </w:rPr>
        <w:t xml:space="preserve"> of the benefiting Member States. </w:t>
      </w:r>
    </w:p>
    <w:p w14:paraId="4A152323" w14:textId="7792FDFB" w:rsidR="00923E53" w:rsidRPr="00185722" w:rsidRDefault="00C44DD6" w:rsidP="00C44DD6">
      <w:pPr>
        <w:pStyle w:val="ManualNumPar1"/>
        <w:rPr>
          <w:rFonts w:eastAsia="Times New Roman"/>
          <w:noProof/>
          <w:color w:val="000000"/>
          <w:lang w:val="hr-HR" w:eastAsia="hr-HR" w:bidi="hr-HR"/>
        </w:rPr>
      </w:pPr>
      <w:r w:rsidRPr="00C44DD6">
        <w:rPr>
          <w:noProof/>
        </w:rPr>
        <w:t>16.</w:t>
      </w:r>
      <w:r w:rsidRPr="00C44DD6">
        <w:rPr>
          <w:noProof/>
        </w:rPr>
        <w:tab/>
      </w:r>
      <w:r w:rsidR="00923E53" w:rsidRPr="00185722">
        <w:rPr>
          <w:noProof/>
        </w:rPr>
        <w:t xml:space="preserve">This Article shall apply </w:t>
      </w:r>
      <w:r w:rsidR="00923E53" w:rsidRPr="00AE58B8">
        <w:rPr>
          <w:i/>
          <w:noProof/>
        </w:rPr>
        <w:t>mutatis mutandis</w:t>
      </w:r>
      <w:r w:rsidR="00923E53" w:rsidRPr="00185722">
        <w:rPr>
          <w:noProof/>
        </w:rPr>
        <w:t xml:space="preserve"> to project bundles under Article 18. </w:t>
      </w:r>
    </w:p>
    <w:p w14:paraId="27F1C358" w14:textId="77777777" w:rsidR="008B5745" w:rsidRPr="00185722" w:rsidRDefault="008B5745" w:rsidP="008B5745">
      <w:pPr>
        <w:pStyle w:val="Titrearticle"/>
        <w:rPr>
          <w:noProof/>
        </w:rPr>
      </w:pPr>
      <w:r w:rsidRPr="00185722">
        <w:rPr>
          <w:noProof/>
        </w:rPr>
        <w:t>Article 18</w:t>
      </w:r>
    </w:p>
    <w:p w14:paraId="00DFC158" w14:textId="77777777" w:rsidR="008B5745" w:rsidRPr="00CB3E4F" w:rsidRDefault="008B5745" w:rsidP="008B5745">
      <w:pPr>
        <w:pStyle w:val="Titrearticle"/>
        <w:rPr>
          <w:b/>
          <w:bCs/>
          <w:noProof/>
        </w:rPr>
      </w:pPr>
      <w:r w:rsidRPr="00CB3E4F">
        <w:rPr>
          <w:b/>
          <w:bCs/>
          <w:noProof/>
        </w:rPr>
        <w:t>Enabling energy infrastructure projects</w:t>
      </w:r>
      <w:r w:rsidR="00470F70">
        <w:rPr>
          <w:b/>
          <w:bCs/>
          <w:noProof/>
        </w:rPr>
        <w:t xml:space="preserve"> bundling for the purpose of cost-sharing</w:t>
      </w:r>
    </w:p>
    <w:p w14:paraId="2308ED31" w14:textId="3EB9C3A2" w:rsidR="00213309" w:rsidRPr="00185722" w:rsidRDefault="00C44DD6" w:rsidP="00C44DD6">
      <w:pPr>
        <w:pStyle w:val="ManualNumPar1"/>
        <w:rPr>
          <w:noProof/>
        </w:rPr>
      </w:pPr>
      <w:r w:rsidRPr="00C44DD6">
        <w:rPr>
          <w:noProof/>
        </w:rPr>
        <w:t>1.</w:t>
      </w:r>
      <w:r w:rsidRPr="00C44DD6">
        <w:rPr>
          <w:noProof/>
        </w:rPr>
        <w:tab/>
      </w:r>
      <w:r w:rsidR="00213309">
        <w:rPr>
          <w:noProof/>
        </w:rPr>
        <w:t xml:space="preserve">Project promoters may bundle two or more </w:t>
      </w:r>
      <w:r w:rsidR="00C64766">
        <w:rPr>
          <w:noProof/>
        </w:rPr>
        <w:t>projects on the Union list</w:t>
      </w:r>
      <w:r w:rsidR="00213309">
        <w:rPr>
          <w:noProof/>
        </w:rPr>
        <w:t xml:space="preserve"> to facilitate the discussions on cost</w:t>
      </w:r>
      <w:r w:rsidR="45274B9B">
        <w:rPr>
          <w:noProof/>
        </w:rPr>
        <w:t>-</w:t>
      </w:r>
      <w:r w:rsidR="00213309">
        <w:rPr>
          <w:noProof/>
        </w:rPr>
        <w:t xml:space="preserve">sharing between the relevant Member States and third countries, as appropriate, and the </w:t>
      </w:r>
      <w:r w:rsidR="27BA8D0B">
        <w:rPr>
          <w:noProof/>
        </w:rPr>
        <w:t xml:space="preserve">cross-border cost-allocation </w:t>
      </w:r>
      <w:r w:rsidR="00213309">
        <w:rPr>
          <w:noProof/>
        </w:rPr>
        <w:t>decisions between the concerned competent authorities of the Member States or between the competent authorities of the Member States and third countries, as appropriate.</w:t>
      </w:r>
    </w:p>
    <w:p w14:paraId="28802853" w14:textId="7305C093" w:rsidR="00213309" w:rsidRPr="00185722" w:rsidRDefault="00C44DD6" w:rsidP="00C44DD6">
      <w:pPr>
        <w:pStyle w:val="ManualNumPar1"/>
        <w:rPr>
          <w:noProof/>
        </w:rPr>
      </w:pPr>
      <w:r w:rsidRPr="00C44DD6">
        <w:rPr>
          <w:noProof/>
        </w:rPr>
        <w:t>2.</w:t>
      </w:r>
      <w:r w:rsidRPr="00C44DD6">
        <w:rPr>
          <w:noProof/>
        </w:rPr>
        <w:tab/>
      </w:r>
      <w:r w:rsidR="00C940A5">
        <w:rPr>
          <w:noProof/>
        </w:rPr>
        <w:t xml:space="preserve">The Commission may invite </w:t>
      </w:r>
      <w:r w:rsidR="00F469CC">
        <w:rPr>
          <w:noProof/>
        </w:rPr>
        <w:t>p</w:t>
      </w:r>
      <w:r w:rsidR="00213309" w:rsidRPr="00185722">
        <w:rPr>
          <w:noProof/>
        </w:rPr>
        <w:t xml:space="preserve">roject promoters </w:t>
      </w:r>
      <w:r w:rsidR="00F469CC">
        <w:rPr>
          <w:noProof/>
        </w:rPr>
        <w:t>to</w:t>
      </w:r>
      <w:r w:rsidR="00F469CC" w:rsidRPr="00185722">
        <w:rPr>
          <w:noProof/>
        </w:rPr>
        <w:t xml:space="preserve"> </w:t>
      </w:r>
      <w:r w:rsidR="00213309" w:rsidRPr="00185722">
        <w:rPr>
          <w:noProof/>
        </w:rPr>
        <w:t xml:space="preserve">submit a proposal for one or several bundles of two or more </w:t>
      </w:r>
      <w:r w:rsidR="00C932C0">
        <w:rPr>
          <w:noProof/>
        </w:rPr>
        <w:t>projects on the Union list</w:t>
      </w:r>
      <w:r w:rsidR="00213309" w:rsidRPr="00185722">
        <w:rPr>
          <w:noProof/>
        </w:rPr>
        <w:t xml:space="preserve"> to the relevant </w:t>
      </w:r>
      <w:r w:rsidR="003F2980">
        <w:rPr>
          <w:noProof/>
        </w:rPr>
        <w:t>G</w:t>
      </w:r>
      <w:r w:rsidR="00213309" w:rsidRPr="00185722">
        <w:rPr>
          <w:noProof/>
        </w:rPr>
        <w:t xml:space="preserve">roups for discussion. </w:t>
      </w:r>
      <w:r w:rsidR="005130EB">
        <w:rPr>
          <w:noProof/>
        </w:rPr>
        <w:t>A</w:t>
      </w:r>
      <w:r w:rsidR="005130EB" w:rsidRPr="00185722">
        <w:rPr>
          <w:noProof/>
        </w:rPr>
        <w:t xml:space="preserve"> </w:t>
      </w:r>
      <w:r w:rsidR="00213309" w:rsidRPr="00185722">
        <w:rPr>
          <w:noProof/>
        </w:rPr>
        <w:t>project bundle may include projects at different stages of maturity, provided that the</w:t>
      </w:r>
      <w:r w:rsidR="00DA26C1">
        <w:rPr>
          <w:noProof/>
        </w:rPr>
        <w:t>ir</w:t>
      </w:r>
      <w:r w:rsidR="00213309" w:rsidRPr="00185722">
        <w:rPr>
          <w:noProof/>
        </w:rPr>
        <w:t xml:space="preserve"> bundling does not delay the implementation of the most mature projects. </w:t>
      </w:r>
    </w:p>
    <w:p w14:paraId="5797CDFB" w14:textId="54AFB028" w:rsidR="00213309" w:rsidRPr="00185722" w:rsidRDefault="00C44DD6" w:rsidP="00C44DD6">
      <w:pPr>
        <w:pStyle w:val="ManualNumPar1"/>
        <w:rPr>
          <w:noProof/>
        </w:rPr>
      </w:pPr>
      <w:r w:rsidRPr="00C44DD6">
        <w:rPr>
          <w:noProof/>
        </w:rPr>
        <w:t>3.</w:t>
      </w:r>
      <w:r w:rsidRPr="00C44DD6">
        <w:rPr>
          <w:noProof/>
        </w:rPr>
        <w:tab/>
      </w:r>
      <w:r w:rsidR="00213309" w:rsidRPr="00185722">
        <w:rPr>
          <w:noProof/>
        </w:rPr>
        <w:t xml:space="preserve">Following the discussions in the </w:t>
      </w:r>
      <w:r w:rsidR="003F2980">
        <w:rPr>
          <w:noProof/>
        </w:rPr>
        <w:t>G</w:t>
      </w:r>
      <w:r w:rsidR="00213309" w:rsidRPr="00185722">
        <w:rPr>
          <w:noProof/>
        </w:rPr>
        <w:t xml:space="preserve">roups, the Commission may request </w:t>
      </w:r>
      <w:r w:rsidR="007E3B9F">
        <w:rPr>
          <w:noProof/>
        </w:rPr>
        <w:t xml:space="preserve">the </w:t>
      </w:r>
      <w:r w:rsidR="00213309" w:rsidRPr="00185722">
        <w:rPr>
          <w:noProof/>
        </w:rPr>
        <w:t>ENTSO</w:t>
      </w:r>
      <w:r w:rsidR="007E3B9F">
        <w:rPr>
          <w:noProof/>
        </w:rPr>
        <w:t xml:space="preserve"> for </w:t>
      </w:r>
      <w:r w:rsidR="00213309" w:rsidRPr="00185722">
        <w:rPr>
          <w:noProof/>
        </w:rPr>
        <w:t>E</w:t>
      </w:r>
      <w:r w:rsidR="007E3B9F">
        <w:rPr>
          <w:noProof/>
        </w:rPr>
        <w:t>lectricity</w:t>
      </w:r>
      <w:r w:rsidR="00213309" w:rsidRPr="00185722">
        <w:rPr>
          <w:noProof/>
        </w:rPr>
        <w:t xml:space="preserve"> or </w:t>
      </w:r>
      <w:r w:rsidR="007E3B9F">
        <w:rPr>
          <w:noProof/>
        </w:rPr>
        <w:t>the</w:t>
      </w:r>
      <w:r w:rsidR="00213309" w:rsidRPr="00185722">
        <w:rPr>
          <w:noProof/>
        </w:rPr>
        <w:t xml:space="preserve"> ENNOH to provide a common </w:t>
      </w:r>
      <w:r w:rsidR="00271029">
        <w:rPr>
          <w:noProof/>
        </w:rPr>
        <w:t>cost-benefit analysis</w:t>
      </w:r>
      <w:r w:rsidR="00271029" w:rsidRPr="00185722">
        <w:rPr>
          <w:noProof/>
        </w:rPr>
        <w:t xml:space="preserve"> </w:t>
      </w:r>
      <w:r w:rsidR="00213309" w:rsidRPr="00185722">
        <w:rPr>
          <w:noProof/>
        </w:rPr>
        <w:t xml:space="preserve">for the proposed bundles of two or more </w:t>
      </w:r>
      <w:r w:rsidR="00C64766">
        <w:rPr>
          <w:noProof/>
        </w:rPr>
        <w:t>projects on the Union list</w:t>
      </w:r>
      <w:r w:rsidR="00213309" w:rsidRPr="00185722">
        <w:rPr>
          <w:noProof/>
        </w:rPr>
        <w:t xml:space="preserve">. The common </w:t>
      </w:r>
      <w:r w:rsidR="00D24390">
        <w:rPr>
          <w:noProof/>
        </w:rPr>
        <w:t>cost-benefit analysis</w:t>
      </w:r>
      <w:r w:rsidR="00D24390" w:rsidRPr="00185722">
        <w:rPr>
          <w:noProof/>
        </w:rPr>
        <w:t xml:space="preserve"> </w:t>
      </w:r>
      <w:r w:rsidR="00213309" w:rsidRPr="00185722">
        <w:rPr>
          <w:noProof/>
        </w:rPr>
        <w:t>shall be consistent with the central scenario and sensitiviti</w:t>
      </w:r>
      <w:r w:rsidR="00503EE8">
        <w:rPr>
          <w:noProof/>
        </w:rPr>
        <w:t>e</w:t>
      </w:r>
      <w:r w:rsidR="00213309" w:rsidRPr="00185722">
        <w:rPr>
          <w:noProof/>
        </w:rPr>
        <w:t>s referred to under Article 11, and the methodology drawn up pursuant to Article 15. The ENTSO</w:t>
      </w:r>
      <w:r w:rsidR="007E3B9F">
        <w:rPr>
          <w:noProof/>
        </w:rPr>
        <w:t xml:space="preserve"> for </w:t>
      </w:r>
      <w:r w:rsidR="00213309" w:rsidRPr="00185722">
        <w:rPr>
          <w:noProof/>
        </w:rPr>
        <w:t>E</w:t>
      </w:r>
      <w:r w:rsidR="007E3B9F">
        <w:rPr>
          <w:noProof/>
        </w:rPr>
        <w:t>lectricity</w:t>
      </w:r>
      <w:r w:rsidR="00213309" w:rsidRPr="00185722">
        <w:rPr>
          <w:noProof/>
        </w:rPr>
        <w:t xml:space="preserve"> or </w:t>
      </w:r>
      <w:r w:rsidR="007E3B9F">
        <w:rPr>
          <w:noProof/>
        </w:rPr>
        <w:t>the</w:t>
      </w:r>
      <w:r w:rsidR="00213309" w:rsidRPr="00185722">
        <w:rPr>
          <w:noProof/>
        </w:rPr>
        <w:t xml:space="preserve"> ENNOH shall provide the common </w:t>
      </w:r>
      <w:r w:rsidR="00D24390">
        <w:rPr>
          <w:noProof/>
        </w:rPr>
        <w:t>cost-benefit analysis</w:t>
      </w:r>
      <w:r w:rsidR="00D24390" w:rsidRPr="00185722">
        <w:rPr>
          <w:noProof/>
        </w:rPr>
        <w:t xml:space="preserve"> </w:t>
      </w:r>
      <w:r w:rsidR="00213309" w:rsidRPr="00185722">
        <w:rPr>
          <w:noProof/>
        </w:rPr>
        <w:t>within 2 months of the request to the Commission.</w:t>
      </w:r>
    </w:p>
    <w:p w14:paraId="75C605DC" w14:textId="0BDDBD31" w:rsidR="00213309" w:rsidRPr="00185722" w:rsidRDefault="00C44DD6" w:rsidP="00C44DD6">
      <w:pPr>
        <w:pStyle w:val="ManualNumPar1"/>
        <w:rPr>
          <w:noProof/>
        </w:rPr>
      </w:pPr>
      <w:r w:rsidRPr="00C44DD6">
        <w:rPr>
          <w:noProof/>
        </w:rPr>
        <w:t>4.</w:t>
      </w:r>
      <w:r w:rsidRPr="00C44DD6">
        <w:rPr>
          <w:noProof/>
        </w:rPr>
        <w:tab/>
      </w:r>
      <w:r w:rsidR="00213309">
        <w:rPr>
          <w:noProof/>
        </w:rPr>
        <w:t xml:space="preserve">The relevant Member States, with the involvement of the relevant </w:t>
      </w:r>
      <w:r w:rsidR="00BE585D">
        <w:rPr>
          <w:noProof/>
        </w:rPr>
        <w:t>national regulatory authorities</w:t>
      </w:r>
      <w:r w:rsidR="00213309">
        <w:rPr>
          <w:noProof/>
        </w:rPr>
        <w:t xml:space="preserve">, </w:t>
      </w:r>
      <w:r w:rsidR="00D4131A">
        <w:rPr>
          <w:noProof/>
        </w:rPr>
        <w:t xml:space="preserve">and with the support of the Commission, </w:t>
      </w:r>
      <w:r w:rsidR="00213309">
        <w:rPr>
          <w:noProof/>
        </w:rPr>
        <w:t xml:space="preserve">shall conclude on the bundle of projects and, where appropriate, invite </w:t>
      </w:r>
      <w:r w:rsidR="007A2863" w:rsidRPr="00185722">
        <w:rPr>
          <w:noProof/>
        </w:rPr>
        <w:t xml:space="preserve">project </w:t>
      </w:r>
      <w:r w:rsidR="00213309">
        <w:rPr>
          <w:noProof/>
        </w:rPr>
        <w:t xml:space="preserve">promoters to add projects to the bundle or delete projects from the bundle, if this facilitates discussions on cost-sharing, provided that the number of </w:t>
      </w:r>
      <w:r w:rsidR="00C932C0">
        <w:rPr>
          <w:noProof/>
        </w:rPr>
        <w:t>projects on the Union list</w:t>
      </w:r>
      <w:r w:rsidR="00213309">
        <w:rPr>
          <w:noProof/>
        </w:rPr>
        <w:t xml:space="preserve"> included in the bundle remains manageable.</w:t>
      </w:r>
    </w:p>
    <w:p w14:paraId="48DBD231" w14:textId="633F3B95" w:rsidR="00213309" w:rsidRPr="00185722" w:rsidRDefault="00C44DD6" w:rsidP="00C44DD6">
      <w:pPr>
        <w:pStyle w:val="ManualNumPar1"/>
        <w:rPr>
          <w:noProof/>
        </w:rPr>
      </w:pPr>
      <w:r w:rsidRPr="00C44DD6">
        <w:rPr>
          <w:noProof/>
        </w:rPr>
        <w:t>5.</w:t>
      </w:r>
      <w:r w:rsidRPr="00C44DD6">
        <w:rPr>
          <w:noProof/>
        </w:rPr>
        <w:tab/>
      </w:r>
      <w:r w:rsidR="00213309">
        <w:rPr>
          <w:noProof/>
        </w:rPr>
        <w:t xml:space="preserve">The relevant Member States may decide to endorse the bundles and invite </w:t>
      </w:r>
      <w:r w:rsidR="007A2863" w:rsidRPr="00185722">
        <w:rPr>
          <w:noProof/>
        </w:rPr>
        <w:t xml:space="preserve">project </w:t>
      </w:r>
      <w:r w:rsidR="00213309">
        <w:rPr>
          <w:noProof/>
        </w:rPr>
        <w:t xml:space="preserve">promoters to submit a joint investment request under Article 17(4). </w:t>
      </w:r>
      <w:r w:rsidR="094543EE" w:rsidRPr="004D60A9">
        <w:rPr>
          <w:noProof/>
        </w:rPr>
        <w:t>Th</w:t>
      </w:r>
      <w:r w:rsidR="00132D93">
        <w:rPr>
          <w:noProof/>
        </w:rPr>
        <w:t>at</w:t>
      </w:r>
      <w:r w:rsidR="094543EE" w:rsidRPr="004D60A9">
        <w:rPr>
          <w:noProof/>
        </w:rPr>
        <w:t xml:space="preserve"> decision shall be shared with the relevant </w:t>
      </w:r>
      <w:r w:rsidR="0047319B">
        <w:rPr>
          <w:noProof/>
        </w:rPr>
        <w:t>G</w:t>
      </w:r>
      <w:r w:rsidR="094543EE" w:rsidRPr="004D60A9">
        <w:rPr>
          <w:noProof/>
        </w:rPr>
        <w:t xml:space="preserve">roups and the Commission. </w:t>
      </w:r>
      <w:r w:rsidR="00213309">
        <w:rPr>
          <w:noProof/>
        </w:rPr>
        <w:t>For the purpose of Article 17(4), only one up-to-date cost-benefit analysis and one proposal for a cross-border cost-allocation shall be included in the investment request in view of facilitating a possible application for Union financial assistance pursuant to Article 2</w:t>
      </w:r>
      <w:r w:rsidR="003E6295">
        <w:rPr>
          <w:noProof/>
        </w:rPr>
        <w:t>1</w:t>
      </w:r>
      <w:r w:rsidR="00213309">
        <w:rPr>
          <w:noProof/>
        </w:rPr>
        <w:t>.</w:t>
      </w:r>
      <w:r w:rsidR="07FB3B23">
        <w:rPr>
          <w:noProof/>
        </w:rPr>
        <w:t xml:space="preserve"> </w:t>
      </w:r>
    </w:p>
    <w:p w14:paraId="341B72A6" w14:textId="77777777" w:rsidR="00293678" w:rsidRDefault="00213309" w:rsidP="00213309">
      <w:pPr>
        <w:pStyle w:val="Titrearticle"/>
        <w:rPr>
          <w:noProof/>
          <w:lang w:eastAsia="en-IE"/>
        </w:rPr>
      </w:pPr>
      <w:r w:rsidRPr="00185722">
        <w:rPr>
          <w:noProof/>
          <w:lang w:eastAsia="en-IE"/>
        </w:rPr>
        <w:t>Article 19</w:t>
      </w:r>
    </w:p>
    <w:p w14:paraId="1C0A23C6" w14:textId="77777777" w:rsidR="0093167E" w:rsidRDefault="0093167E" w:rsidP="0093167E">
      <w:pPr>
        <w:jc w:val="center"/>
        <w:rPr>
          <w:b/>
          <w:bCs/>
          <w:i/>
          <w:iCs/>
          <w:noProof/>
          <w:lang w:eastAsia="en-IE"/>
        </w:rPr>
      </w:pPr>
      <w:r w:rsidRPr="004D60A9">
        <w:rPr>
          <w:b/>
          <w:bCs/>
          <w:i/>
          <w:iCs/>
          <w:noProof/>
          <w:lang w:eastAsia="en-IE"/>
        </w:rPr>
        <w:t xml:space="preserve">Ring-fenced congestion income for </w:t>
      </w:r>
      <w:r w:rsidR="00FA31CF">
        <w:rPr>
          <w:b/>
          <w:bCs/>
          <w:i/>
          <w:iCs/>
          <w:noProof/>
          <w:lang w:eastAsia="en-IE"/>
        </w:rPr>
        <w:t>projects on the Union list</w:t>
      </w:r>
    </w:p>
    <w:p w14:paraId="4C0B11C2" w14:textId="7EBAE710" w:rsidR="00087E4E" w:rsidRDefault="00C44DD6" w:rsidP="00C44DD6">
      <w:pPr>
        <w:pStyle w:val="ManualNumPar1"/>
        <w:rPr>
          <w:noProof/>
          <w:lang w:eastAsia="en-IE"/>
        </w:rPr>
      </w:pPr>
      <w:r w:rsidRPr="00C44DD6">
        <w:rPr>
          <w:noProof/>
        </w:rPr>
        <w:t>1.</w:t>
      </w:r>
      <w:r w:rsidRPr="00C44DD6">
        <w:rPr>
          <w:noProof/>
        </w:rPr>
        <w:tab/>
      </w:r>
      <w:r w:rsidR="00DE1149">
        <w:rPr>
          <w:noProof/>
          <w:lang w:eastAsia="en-IE"/>
        </w:rPr>
        <w:t>TSOs</w:t>
      </w:r>
      <w:r w:rsidR="009B27BD" w:rsidRPr="009B27BD">
        <w:rPr>
          <w:noProof/>
          <w:lang w:eastAsia="en-IE"/>
        </w:rPr>
        <w:t xml:space="preserve"> shall set aside 25</w:t>
      </w:r>
      <w:r w:rsidR="000377B7">
        <w:rPr>
          <w:noProof/>
          <w:lang w:eastAsia="en-IE"/>
        </w:rPr>
        <w:t xml:space="preserve"> </w:t>
      </w:r>
      <w:r w:rsidR="009B27BD" w:rsidRPr="009B27BD">
        <w:rPr>
          <w:noProof/>
          <w:lang w:eastAsia="en-IE"/>
        </w:rPr>
        <w:t xml:space="preserve">% of the congestion </w:t>
      </w:r>
      <w:r w:rsidR="00E96747">
        <w:rPr>
          <w:noProof/>
          <w:lang w:eastAsia="en-IE"/>
        </w:rPr>
        <w:t>rents not spent</w:t>
      </w:r>
      <w:r w:rsidR="009B27BD" w:rsidRPr="009B27BD">
        <w:rPr>
          <w:noProof/>
          <w:lang w:eastAsia="en-IE"/>
        </w:rPr>
        <w:t xml:space="preserve"> </w:t>
      </w:r>
      <w:r w:rsidR="0076064D">
        <w:rPr>
          <w:noProof/>
          <w:lang w:eastAsia="en-IE"/>
        </w:rPr>
        <w:t>for</w:t>
      </w:r>
      <w:r w:rsidR="009B27BD" w:rsidRPr="009B27BD">
        <w:rPr>
          <w:noProof/>
          <w:lang w:eastAsia="en-IE"/>
        </w:rPr>
        <w:t xml:space="preserve"> </w:t>
      </w:r>
      <w:r w:rsidR="00B358E3">
        <w:rPr>
          <w:noProof/>
          <w:lang w:eastAsia="en-IE"/>
        </w:rPr>
        <w:t xml:space="preserve">guaranteeing the actual availability of </w:t>
      </w:r>
      <w:r w:rsidR="009B27BD" w:rsidRPr="009B27BD">
        <w:rPr>
          <w:noProof/>
          <w:lang w:eastAsia="en-IE"/>
        </w:rPr>
        <w:t xml:space="preserve">the allocated capacity pursuant </w:t>
      </w:r>
      <w:r w:rsidR="00DA60EA">
        <w:rPr>
          <w:noProof/>
          <w:lang w:eastAsia="en-IE"/>
        </w:rPr>
        <w:t xml:space="preserve">to </w:t>
      </w:r>
      <w:r w:rsidR="009B27BD" w:rsidRPr="009B27BD">
        <w:rPr>
          <w:noProof/>
          <w:lang w:eastAsia="en-IE"/>
        </w:rPr>
        <w:t>Article 19(2)</w:t>
      </w:r>
      <w:r w:rsidR="007E3B9F">
        <w:rPr>
          <w:noProof/>
          <w:lang w:eastAsia="en-IE"/>
        </w:rPr>
        <w:t xml:space="preserve">, point </w:t>
      </w:r>
      <w:r w:rsidR="009B27BD" w:rsidRPr="009B27BD">
        <w:rPr>
          <w:noProof/>
          <w:lang w:eastAsia="en-IE"/>
        </w:rPr>
        <w:t>(a)</w:t>
      </w:r>
      <w:r w:rsidR="007E3B9F">
        <w:rPr>
          <w:noProof/>
          <w:lang w:eastAsia="en-IE"/>
        </w:rPr>
        <w:t>,</w:t>
      </w:r>
      <w:r w:rsidR="009B27BD" w:rsidRPr="009B27BD">
        <w:rPr>
          <w:noProof/>
          <w:lang w:eastAsia="en-IE"/>
        </w:rPr>
        <w:t xml:space="preserve"> </w:t>
      </w:r>
      <w:r w:rsidR="00882977">
        <w:rPr>
          <w:noProof/>
          <w:lang w:eastAsia="en-IE"/>
        </w:rPr>
        <w:t>of</w:t>
      </w:r>
      <w:r w:rsidR="009B27BD" w:rsidRPr="009B27BD">
        <w:rPr>
          <w:noProof/>
          <w:lang w:eastAsia="en-IE"/>
        </w:rPr>
        <w:t xml:space="preserve"> Regulation </w:t>
      </w:r>
      <w:r w:rsidR="0A958CF1" w:rsidRPr="5AA57A16">
        <w:rPr>
          <w:noProof/>
          <w:lang w:eastAsia="en-IE"/>
        </w:rPr>
        <w:t>(</w:t>
      </w:r>
      <w:r w:rsidR="0A958CF1" w:rsidRPr="6EBFE5CF">
        <w:rPr>
          <w:noProof/>
          <w:lang w:eastAsia="en-IE"/>
        </w:rPr>
        <w:t xml:space="preserve">EU) </w:t>
      </w:r>
      <w:r w:rsidR="00882977">
        <w:rPr>
          <w:noProof/>
          <w:lang w:eastAsia="en-IE"/>
        </w:rPr>
        <w:t>2019/943</w:t>
      </w:r>
      <w:r w:rsidR="009B27BD" w:rsidRPr="009B27BD">
        <w:rPr>
          <w:noProof/>
          <w:lang w:eastAsia="en-IE"/>
        </w:rPr>
        <w:t xml:space="preserve"> and for compensation to offshore renewable electricity generation plant operators pursuant to Article 19(2)</w:t>
      </w:r>
      <w:r w:rsidR="007E3B9F">
        <w:rPr>
          <w:noProof/>
          <w:lang w:eastAsia="en-IE"/>
        </w:rPr>
        <w:t xml:space="preserve">, point </w:t>
      </w:r>
      <w:r w:rsidR="009B27BD" w:rsidRPr="009B27BD">
        <w:rPr>
          <w:noProof/>
          <w:lang w:eastAsia="en-IE"/>
        </w:rPr>
        <w:t>(c)</w:t>
      </w:r>
      <w:r w:rsidR="007E3B9F">
        <w:rPr>
          <w:noProof/>
          <w:lang w:eastAsia="en-IE"/>
        </w:rPr>
        <w:t>,</w:t>
      </w:r>
      <w:r w:rsidR="009B27BD" w:rsidRPr="009B27BD">
        <w:rPr>
          <w:noProof/>
          <w:lang w:eastAsia="en-IE"/>
        </w:rPr>
        <w:t xml:space="preserve"> </w:t>
      </w:r>
      <w:r w:rsidR="00F232E9">
        <w:rPr>
          <w:noProof/>
          <w:lang w:eastAsia="en-IE"/>
        </w:rPr>
        <w:t>of</w:t>
      </w:r>
      <w:r w:rsidR="00F232E9" w:rsidRPr="009B27BD">
        <w:rPr>
          <w:noProof/>
          <w:lang w:eastAsia="en-IE"/>
        </w:rPr>
        <w:t xml:space="preserve"> Regulation </w:t>
      </w:r>
      <w:r w:rsidR="1E26A0A7" w:rsidRPr="70E8811D">
        <w:rPr>
          <w:noProof/>
          <w:lang w:eastAsia="en-IE"/>
        </w:rPr>
        <w:t xml:space="preserve">(EU) </w:t>
      </w:r>
      <w:r w:rsidR="00F232E9">
        <w:rPr>
          <w:noProof/>
          <w:lang w:eastAsia="en-IE"/>
        </w:rPr>
        <w:t>2019/943</w:t>
      </w:r>
      <w:r w:rsidR="007152C3">
        <w:rPr>
          <w:noProof/>
          <w:lang w:eastAsia="en-IE"/>
        </w:rPr>
        <w:t>,</w:t>
      </w:r>
      <w:r w:rsidR="00F232E9" w:rsidRPr="009B27BD">
        <w:rPr>
          <w:noProof/>
          <w:lang w:eastAsia="en-IE"/>
        </w:rPr>
        <w:t xml:space="preserve"> </w:t>
      </w:r>
      <w:r w:rsidR="009B27BD" w:rsidRPr="009B27BD">
        <w:rPr>
          <w:noProof/>
          <w:lang w:eastAsia="en-IE"/>
        </w:rPr>
        <w:t xml:space="preserve">for network investments into </w:t>
      </w:r>
      <w:r w:rsidR="00FA31CF">
        <w:rPr>
          <w:noProof/>
          <w:lang w:eastAsia="en-IE"/>
        </w:rPr>
        <w:t xml:space="preserve">projects on the Union list </w:t>
      </w:r>
      <w:r w:rsidR="009B27BD" w:rsidRPr="009B27BD">
        <w:rPr>
          <w:noProof/>
          <w:lang w:eastAsia="en-IE"/>
        </w:rPr>
        <w:t>relevant to reducing interconnector congestion pursuant Article 19(2)</w:t>
      </w:r>
      <w:r w:rsidR="007E3B9F">
        <w:rPr>
          <w:noProof/>
          <w:lang w:eastAsia="en-IE"/>
        </w:rPr>
        <w:t xml:space="preserve">, point </w:t>
      </w:r>
      <w:r w:rsidR="009B27BD" w:rsidRPr="009B27BD">
        <w:rPr>
          <w:noProof/>
          <w:lang w:eastAsia="en-IE"/>
        </w:rPr>
        <w:t>(b)</w:t>
      </w:r>
      <w:r w:rsidR="007E3B9F">
        <w:rPr>
          <w:noProof/>
          <w:lang w:eastAsia="en-IE"/>
        </w:rPr>
        <w:t>,</w:t>
      </w:r>
      <w:r w:rsidR="009B27BD" w:rsidRPr="009B27BD">
        <w:rPr>
          <w:noProof/>
          <w:lang w:eastAsia="en-IE"/>
        </w:rPr>
        <w:t xml:space="preserve"> </w:t>
      </w:r>
      <w:r w:rsidR="00F232E9">
        <w:rPr>
          <w:noProof/>
          <w:lang w:eastAsia="en-IE"/>
        </w:rPr>
        <w:t>of</w:t>
      </w:r>
      <w:r w:rsidR="00F232E9" w:rsidRPr="009B27BD">
        <w:rPr>
          <w:noProof/>
          <w:lang w:eastAsia="en-IE"/>
        </w:rPr>
        <w:t xml:space="preserve"> Regulation </w:t>
      </w:r>
      <w:r w:rsidR="5B2D9F3E" w:rsidRPr="1A7CABFC">
        <w:rPr>
          <w:noProof/>
          <w:lang w:eastAsia="en-IE"/>
        </w:rPr>
        <w:t>(EU)</w:t>
      </w:r>
      <w:r w:rsidR="5B2D9F3E" w:rsidRPr="136C7ACF">
        <w:rPr>
          <w:noProof/>
          <w:lang w:eastAsia="en-IE"/>
        </w:rPr>
        <w:t xml:space="preserve"> </w:t>
      </w:r>
      <w:r w:rsidR="00F232E9">
        <w:rPr>
          <w:noProof/>
          <w:lang w:eastAsia="en-IE"/>
        </w:rPr>
        <w:t>2019/943</w:t>
      </w:r>
      <w:r w:rsidR="00087E4E">
        <w:rPr>
          <w:noProof/>
          <w:lang w:eastAsia="en-IE"/>
        </w:rPr>
        <w:t xml:space="preserve">. </w:t>
      </w:r>
    </w:p>
    <w:p w14:paraId="5FB52D78" w14:textId="44F82547" w:rsidR="009B27BD" w:rsidRPr="009B27BD" w:rsidRDefault="00C44DD6" w:rsidP="00C44DD6">
      <w:pPr>
        <w:pStyle w:val="ManualNumPar1"/>
        <w:rPr>
          <w:noProof/>
          <w:lang w:eastAsia="en-IE"/>
        </w:rPr>
      </w:pPr>
      <w:r w:rsidRPr="00C44DD6">
        <w:rPr>
          <w:noProof/>
        </w:rPr>
        <w:t>2.</w:t>
      </w:r>
      <w:r w:rsidRPr="00C44DD6">
        <w:rPr>
          <w:noProof/>
        </w:rPr>
        <w:tab/>
      </w:r>
      <w:r w:rsidR="0090654C" w:rsidRPr="0090654C">
        <w:rPr>
          <w:noProof/>
          <w:lang w:eastAsia="en-IE"/>
        </w:rPr>
        <w:t>TSOs shall place the</w:t>
      </w:r>
      <w:r w:rsidR="0035011B">
        <w:rPr>
          <w:noProof/>
          <w:lang w:eastAsia="en-IE"/>
        </w:rPr>
        <w:t xml:space="preserve"> funds referred to </w:t>
      </w:r>
      <w:r w:rsidR="00A13385">
        <w:rPr>
          <w:noProof/>
          <w:lang w:eastAsia="en-IE"/>
        </w:rPr>
        <w:t>in point 1 of this Article</w:t>
      </w:r>
      <w:r w:rsidR="0035011B">
        <w:rPr>
          <w:noProof/>
          <w:lang w:eastAsia="en-IE"/>
        </w:rPr>
        <w:t xml:space="preserve"> </w:t>
      </w:r>
      <w:r w:rsidR="0090654C" w:rsidRPr="0090654C">
        <w:rPr>
          <w:noProof/>
          <w:lang w:eastAsia="en-IE"/>
        </w:rPr>
        <w:t xml:space="preserve"> on a separate account line until it can be spent for financing </w:t>
      </w:r>
      <w:r w:rsidR="00AF4F88">
        <w:rPr>
          <w:noProof/>
          <w:lang w:eastAsia="en-IE"/>
        </w:rPr>
        <w:t>projects on the Union list</w:t>
      </w:r>
      <w:r w:rsidR="0090654C" w:rsidRPr="0090654C">
        <w:rPr>
          <w:noProof/>
          <w:lang w:eastAsia="en-IE"/>
        </w:rPr>
        <w:t xml:space="preserve"> relevant to reducing interconnector congestion, or until </w:t>
      </w:r>
      <w:r w:rsidR="00B41703">
        <w:rPr>
          <w:noProof/>
          <w:lang w:eastAsia="en-IE"/>
        </w:rPr>
        <w:t xml:space="preserve">they have </w:t>
      </w:r>
      <w:r w:rsidR="00E226DD">
        <w:rPr>
          <w:noProof/>
          <w:lang w:eastAsia="en-IE"/>
        </w:rPr>
        <w:t>demonstrated that</w:t>
      </w:r>
      <w:r w:rsidR="001E1048">
        <w:rPr>
          <w:noProof/>
          <w:lang w:eastAsia="en-IE"/>
        </w:rPr>
        <w:t xml:space="preserve"> the priority objectives </w:t>
      </w:r>
      <w:r w:rsidR="00782E94">
        <w:rPr>
          <w:noProof/>
          <w:lang w:eastAsia="en-IE"/>
        </w:rPr>
        <w:t>set out in Article 19(2)</w:t>
      </w:r>
      <w:r w:rsidR="00C0669A">
        <w:rPr>
          <w:noProof/>
          <w:lang w:eastAsia="en-IE"/>
        </w:rPr>
        <w:t xml:space="preserve">, point </w:t>
      </w:r>
      <w:r w:rsidR="0062539F">
        <w:rPr>
          <w:noProof/>
          <w:lang w:eastAsia="en-IE"/>
        </w:rPr>
        <w:t>(b)</w:t>
      </w:r>
      <w:r w:rsidR="00C0669A">
        <w:rPr>
          <w:noProof/>
          <w:lang w:eastAsia="en-IE"/>
        </w:rPr>
        <w:t>,</w:t>
      </w:r>
      <w:r w:rsidR="00782E94">
        <w:rPr>
          <w:noProof/>
          <w:lang w:eastAsia="en-IE"/>
        </w:rPr>
        <w:t xml:space="preserve"> of Regulation </w:t>
      </w:r>
      <w:r w:rsidR="00BC031B">
        <w:rPr>
          <w:noProof/>
          <w:lang w:eastAsia="en-IE"/>
        </w:rPr>
        <w:t xml:space="preserve">(EU) </w:t>
      </w:r>
      <w:r w:rsidR="00782E94">
        <w:rPr>
          <w:noProof/>
          <w:lang w:eastAsia="en-IE"/>
        </w:rPr>
        <w:t>2019/</w:t>
      </w:r>
      <w:r w:rsidR="00BC031B">
        <w:rPr>
          <w:noProof/>
          <w:lang w:eastAsia="en-IE"/>
        </w:rPr>
        <w:t>9</w:t>
      </w:r>
      <w:r w:rsidR="00782E94">
        <w:rPr>
          <w:noProof/>
          <w:lang w:eastAsia="en-IE"/>
        </w:rPr>
        <w:t xml:space="preserve">43 have been </w:t>
      </w:r>
      <w:r w:rsidR="00196BA3">
        <w:rPr>
          <w:noProof/>
          <w:lang w:eastAsia="en-IE"/>
        </w:rPr>
        <w:t>adequately fulfilled</w:t>
      </w:r>
      <w:r w:rsidR="002621B2" w:rsidRPr="002621B2">
        <w:rPr>
          <w:noProof/>
          <w:lang w:eastAsia="en-IE"/>
        </w:rPr>
        <w:t xml:space="preserve"> </w:t>
      </w:r>
      <w:r w:rsidR="009D3B14">
        <w:rPr>
          <w:noProof/>
          <w:lang w:eastAsia="en-IE"/>
        </w:rPr>
        <w:t xml:space="preserve">and </w:t>
      </w:r>
      <w:r w:rsidR="002621B2" w:rsidRPr="00E226DD">
        <w:rPr>
          <w:noProof/>
          <w:lang w:eastAsia="en-IE"/>
        </w:rPr>
        <w:t>there is no need for additional cross-border capacity to be built at the borders of the Member State</w:t>
      </w:r>
      <w:r w:rsidR="00BC0F9D">
        <w:rPr>
          <w:noProof/>
          <w:lang w:eastAsia="en-IE"/>
        </w:rPr>
        <w:t>s</w:t>
      </w:r>
      <w:r w:rsidR="002621B2" w:rsidRPr="00E226DD">
        <w:rPr>
          <w:noProof/>
          <w:lang w:eastAsia="en-IE"/>
        </w:rPr>
        <w:t xml:space="preserve"> concerned</w:t>
      </w:r>
      <w:r w:rsidR="000515F6">
        <w:rPr>
          <w:noProof/>
          <w:lang w:eastAsia="en-IE"/>
        </w:rPr>
        <w:t xml:space="preserve"> to reduce </w:t>
      </w:r>
      <w:r w:rsidR="009F44EC">
        <w:rPr>
          <w:noProof/>
          <w:lang w:eastAsia="en-IE"/>
        </w:rPr>
        <w:t>interconnector</w:t>
      </w:r>
      <w:r w:rsidR="000515F6">
        <w:rPr>
          <w:noProof/>
          <w:lang w:eastAsia="en-IE"/>
        </w:rPr>
        <w:t xml:space="preserve"> congestion</w:t>
      </w:r>
      <w:r w:rsidR="007A6B52">
        <w:rPr>
          <w:noProof/>
          <w:lang w:eastAsia="en-IE"/>
        </w:rPr>
        <w:t>.</w:t>
      </w:r>
    </w:p>
    <w:p w14:paraId="449E474F" w14:textId="63797130" w:rsidR="007D37A4" w:rsidRDefault="00C44DD6" w:rsidP="00C44DD6">
      <w:pPr>
        <w:pStyle w:val="ManualNumPar1"/>
        <w:rPr>
          <w:noProof/>
          <w:lang w:eastAsia="en-IE"/>
        </w:rPr>
      </w:pPr>
      <w:r w:rsidRPr="00C44DD6">
        <w:rPr>
          <w:noProof/>
        </w:rPr>
        <w:t>3.</w:t>
      </w:r>
      <w:r w:rsidRPr="00C44DD6">
        <w:rPr>
          <w:noProof/>
        </w:rPr>
        <w:tab/>
      </w:r>
      <w:r w:rsidR="00DE6E1A" w:rsidRPr="00DE6E1A">
        <w:rPr>
          <w:noProof/>
          <w:lang w:eastAsia="en-IE"/>
        </w:rPr>
        <w:t xml:space="preserve">The use of </w:t>
      </w:r>
      <w:r w:rsidR="0062539F">
        <w:rPr>
          <w:noProof/>
          <w:lang w:eastAsia="en-IE"/>
        </w:rPr>
        <w:t xml:space="preserve">the </w:t>
      </w:r>
      <w:r w:rsidR="0063265A">
        <w:rPr>
          <w:noProof/>
          <w:lang w:eastAsia="en-IE"/>
        </w:rPr>
        <w:t>funds</w:t>
      </w:r>
      <w:r w:rsidR="00DE6E1A" w:rsidRPr="00DE6E1A">
        <w:rPr>
          <w:noProof/>
          <w:lang w:eastAsia="en-IE"/>
        </w:rPr>
        <w:t xml:space="preserve"> </w:t>
      </w:r>
      <w:r w:rsidR="00BC031B">
        <w:rPr>
          <w:noProof/>
          <w:lang w:eastAsia="en-IE"/>
        </w:rPr>
        <w:t>ref</w:t>
      </w:r>
      <w:r w:rsidR="000E437E">
        <w:rPr>
          <w:noProof/>
          <w:lang w:eastAsia="en-IE"/>
        </w:rPr>
        <w:t>erred to in</w:t>
      </w:r>
      <w:r w:rsidR="00BC031B" w:rsidRPr="00DE6E1A">
        <w:rPr>
          <w:noProof/>
          <w:lang w:eastAsia="en-IE"/>
        </w:rPr>
        <w:t xml:space="preserve"> </w:t>
      </w:r>
      <w:r w:rsidR="00DE6E1A" w:rsidRPr="00DE6E1A">
        <w:rPr>
          <w:noProof/>
          <w:lang w:eastAsia="en-IE"/>
        </w:rPr>
        <w:t xml:space="preserve">paragraph </w:t>
      </w:r>
      <w:r w:rsidR="005254C4">
        <w:rPr>
          <w:noProof/>
          <w:lang w:eastAsia="en-IE"/>
        </w:rPr>
        <w:t>1</w:t>
      </w:r>
      <w:r w:rsidR="00DE6E1A" w:rsidRPr="00DE6E1A">
        <w:rPr>
          <w:noProof/>
          <w:lang w:eastAsia="en-IE"/>
        </w:rPr>
        <w:t xml:space="preserve"> shall</w:t>
      </w:r>
      <w:r w:rsidR="000E437E">
        <w:rPr>
          <w:noProof/>
          <w:lang w:eastAsia="en-IE"/>
        </w:rPr>
        <w:t>:</w:t>
      </w:r>
      <w:r w:rsidR="008363BF">
        <w:rPr>
          <w:noProof/>
          <w:lang w:eastAsia="en-IE"/>
        </w:rPr>
        <w:t xml:space="preserve"> </w:t>
      </w:r>
    </w:p>
    <w:p w14:paraId="07227F10" w14:textId="26F0159A" w:rsidR="00E1531D" w:rsidRDefault="00C44DD6" w:rsidP="00C44DD6">
      <w:pPr>
        <w:pStyle w:val="Point2"/>
        <w:rPr>
          <w:noProof/>
          <w:lang w:eastAsia="en-IE"/>
        </w:rPr>
      </w:pPr>
      <w:r w:rsidRPr="00C44DD6">
        <w:rPr>
          <w:noProof/>
        </w:rPr>
        <w:t>(a)</w:t>
      </w:r>
      <w:r w:rsidRPr="00C44DD6">
        <w:rPr>
          <w:noProof/>
        </w:rPr>
        <w:tab/>
      </w:r>
      <w:r w:rsidR="00DE6E1A" w:rsidRPr="00DE6E1A">
        <w:rPr>
          <w:noProof/>
          <w:lang w:eastAsia="en-IE"/>
        </w:rPr>
        <w:t xml:space="preserve">address the financing gap of </w:t>
      </w:r>
      <w:r w:rsidR="00A82B45">
        <w:rPr>
          <w:noProof/>
          <w:lang w:eastAsia="en-IE"/>
        </w:rPr>
        <w:t>projects on the Union list</w:t>
      </w:r>
      <w:r w:rsidR="00DE6E1A" w:rsidRPr="00DE6E1A">
        <w:rPr>
          <w:noProof/>
          <w:lang w:eastAsia="en-IE"/>
        </w:rPr>
        <w:t xml:space="preserve"> which have significant benefits outside their hosting countries, taking due account of expected tariff financing</w:t>
      </w:r>
      <w:r w:rsidR="008363BF">
        <w:rPr>
          <w:noProof/>
          <w:lang w:eastAsia="en-IE"/>
        </w:rPr>
        <w:t>;</w:t>
      </w:r>
      <w:r w:rsidR="00DE6E1A" w:rsidRPr="00DE6E1A">
        <w:rPr>
          <w:noProof/>
          <w:lang w:eastAsia="en-IE"/>
        </w:rPr>
        <w:t xml:space="preserve"> </w:t>
      </w:r>
    </w:p>
    <w:p w14:paraId="517148BA" w14:textId="01975DA4" w:rsidR="00846E63" w:rsidRDefault="00C44DD6" w:rsidP="00C44DD6">
      <w:pPr>
        <w:pStyle w:val="Point2"/>
        <w:rPr>
          <w:noProof/>
          <w:lang w:eastAsia="en-IE"/>
        </w:rPr>
      </w:pPr>
      <w:r w:rsidRPr="00C44DD6">
        <w:rPr>
          <w:noProof/>
        </w:rPr>
        <w:t>(b)</w:t>
      </w:r>
      <w:r w:rsidRPr="00C44DD6">
        <w:rPr>
          <w:noProof/>
        </w:rPr>
        <w:tab/>
      </w:r>
      <w:r w:rsidR="00DE6E1A" w:rsidRPr="00DE6E1A">
        <w:rPr>
          <w:noProof/>
          <w:lang w:eastAsia="en-IE"/>
        </w:rPr>
        <w:t xml:space="preserve">be made transparent in requests for cross-border cost allocation decisions pursuant to Article 17 of this Regulation; </w:t>
      </w:r>
    </w:p>
    <w:p w14:paraId="01FFDF17" w14:textId="539E7911" w:rsidR="00846E63" w:rsidRDefault="00C44DD6" w:rsidP="00C44DD6">
      <w:pPr>
        <w:pStyle w:val="Point2"/>
        <w:rPr>
          <w:noProof/>
          <w:lang w:eastAsia="en-IE"/>
        </w:rPr>
      </w:pPr>
      <w:r w:rsidRPr="00C44DD6">
        <w:rPr>
          <w:noProof/>
        </w:rPr>
        <w:t>(c)</w:t>
      </w:r>
      <w:r w:rsidRPr="00C44DD6">
        <w:rPr>
          <w:noProof/>
        </w:rPr>
        <w:tab/>
      </w:r>
      <w:r w:rsidR="00DE6E1A" w:rsidRPr="00DE6E1A">
        <w:rPr>
          <w:noProof/>
          <w:lang w:eastAsia="en-IE"/>
        </w:rPr>
        <w:t>avoid double funding and ensure proportionality, transparency and non-discrimination</w:t>
      </w:r>
      <w:r w:rsidR="00846E63">
        <w:rPr>
          <w:noProof/>
          <w:lang w:eastAsia="en-IE"/>
        </w:rPr>
        <w:t>;</w:t>
      </w:r>
      <w:r w:rsidR="00DE6E1A" w:rsidRPr="00DE6E1A">
        <w:rPr>
          <w:noProof/>
          <w:lang w:eastAsia="en-IE"/>
        </w:rPr>
        <w:t xml:space="preserve"> </w:t>
      </w:r>
    </w:p>
    <w:p w14:paraId="501E2ED3" w14:textId="6163FAEE" w:rsidR="00DE6E1A" w:rsidRPr="00DE6E1A" w:rsidRDefault="00C44DD6" w:rsidP="00C44DD6">
      <w:pPr>
        <w:pStyle w:val="Point2"/>
        <w:rPr>
          <w:noProof/>
          <w:lang w:eastAsia="en-IE"/>
        </w:rPr>
      </w:pPr>
      <w:r w:rsidRPr="00C44DD6">
        <w:rPr>
          <w:noProof/>
        </w:rPr>
        <w:t>(d)</w:t>
      </w:r>
      <w:r w:rsidRPr="00C44DD6">
        <w:rPr>
          <w:noProof/>
        </w:rPr>
        <w:tab/>
      </w:r>
      <w:r w:rsidR="00DE6E1A" w:rsidRPr="00DE6E1A">
        <w:rPr>
          <w:noProof/>
          <w:lang w:eastAsia="en-IE"/>
        </w:rPr>
        <w:t>not compromise the fulfilment of the priority objectives under Article 19(2) of Regulation (EU) 2019/943.</w:t>
      </w:r>
    </w:p>
    <w:p w14:paraId="30F73AB5" w14:textId="480ACCEA" w:rsidR="00E6680D" w:rsidRDefault="00C44DD6" w:rsidP="00C44DD6">
      <w:pPr>
        <w:pStyle w:val="ManualNumPar1"/>
        <w:rPr>
          <w:noProof/>
          <w:lang w:eastAsia="en-IE"/>
        </w:rPr>
      </w:pPr>
      <w:r w:rsidRPr="00C44DD6">
        <w:rPr>
          <w:noProof/>
        </w:rPr>
        <w:t>4.</w:t>
      </w:r>
      <w:r w:rsidRPr="00C44DD6">
        <w:rPr>
          <w:noProof/>
        </w:rPr>
        <w:tab/>
      </w:r>
      <w:r w:rsidR="00E6680D" w:rsidRPr="00E6680D">
        <w:rPr>
          <w:noProof/>
          <w:lang w:eastAsia="en-IE"/>
        </w:rPr>
        <w:t>The Commission is empowered to adopt delegated acts in accordance with Article 2</w:t>
      </w:r>
      <w:r w:rsidR="5E826E8F" w:rsidRPr="6ACC6763">
        <w:rPr>
          <w:noProof/>
          <w:lang w:eastAsia="en-IE"/>
        </w:rPr>
        <w:t>3</w:t>
      </w:r>
      <w:r w:rsidR="00E6680D" w:rsidRPr="00E6680D">
        <w:rPr>
          <w:noProof/>
          <w:lang w:eastAsia="en-IE"/>
        </w:rPr>
        <w:t xml:space="preserve"> </w:t>
      </w:r>
      <w:r w:rsidR="000E437E">
        <w:rPr>
          <w:noProof/>
          <w:lang w:eastAsia="en-IE"/>
        </w:rPr>
        <w:t>of this Regulation</w:t>
      </w:r>
      <w:r w:rsidR="00E6680D" w:rsidRPr="00E6680D">
        <w:rPr>
          <w:noProof/>
          <w:lang w:eastAsia="en-IE"/>
        </w:rPr>
        <w:t xml:space="preserve"> to supplement this Regulation by specifying the conditions under which TSOs may use the </w:t>
      </w:r>
      <w:r w:rsidR="00786065">
        <w:rPr>
          <w:noProof/>
          <w:lang w:eastAsia="en-IE"/>
        </w:rPr>
        <w:t xml:space="preserve">funds </w:t>
      </w:r>
      <w:r w:rsidR="000E437E">
        <w:rPr>
          <w:noProof/>
          <w:lang w:eastAsia="en-IE"/>
        </w:rPr>
        <w:t xml:space="preserve">referred to in paragraph </w:t>
      </w:r>
      <w:r w:rsidR="005254C4">
        <w:rPr>
          <w:noProof/>
          <w:lang w:eastAsia="en-IE"/>
        </w:rPr>
        <w:t>1</w:t>
      </w:r>
      <w:r w:rsidR="000E437E">
        <w:rPr>
          <w:noProof/>
          <w:lang w:eastAsia="en-IE"/>
        </w:rPr>
        <w:t xml:space="preserve"> of this Article </w:t>
      </w:r>
      <w:r w:rsidR="00786065">
        <w:rPr>
          <w:noProof/>
          <w:lang w:eastAsia="en-IE"/>
        </w:rPr>
        <w:t xml:space="preserve">and </w:t>
      </w:r>
      <w:r w:rsidR="00E43364">
        <w:rPr>
          <w:noProof/>
          <w:lang w:eastAsia="en-IE"/>
        </w:rPr>
        <w:t xml:space="preserve">the conditions under which </w:t>
      </w:r>
      <w:r w:rsidR="006B62FB">
        <w:rPr>
          <w:noProof/>
          <w:lang w:eastAsia="en-IE"/>
        </w:rPr>
        <w:t>the objective</w:t>
      </w:r>
      <w:r w:rsidR="00451179">
        <w:rPr>
          <w:noProof/>
          <w:lang w:eastAsia="en-IE"/>
        </w:rPr>
        <w:t xml:space="preserve"> of </w:t>
      </w:r>
      <w:r w:rsidR="00EA4771">
        <w:rPr>
          <w:noProof/>
          <w:lang w:eastAsia="en-IE"/>
        </w:rPr>
        <w:t>Article 19(2)</w:t>
      </w:r>
      <w:r w:rsidR="004472FF">
        <w:rPr>
          <w:noProof/>
          <w:lang w:eastAsia="en-IE"/>
        </w:rPr>
        <w:t xml:space="preserve">, point </w:t>
      </w:r>
      <w:r w:rsidR="00EA4771">
        <w:rPr>
          <w:noProof/>
          <w:lang w:eastAsia="en-IE"/>
        </w:rPr>
        <w:t>(b)</w:t>
      </w:r>
      <w:r w:rsidR="004472FF">
        <w:rPr>
          <w:noProof/>
          <w:lang w:eastAsia="en-IE"/>
        </w:rPr>
        <w:t>,</w:t>
      </w:r>
      <w:r w:rsidR="00EA4771">
        <w:rPr>
          <w:noProof/>
          <w:lang w:eastAsia="en-IE"/>
        </w:rPr>
        <w:t xml:space="preserve"> of Regulation </w:t>
      </w:r>
      <w:r w:rsidR="5FF8C2B9" w:rsidRPr="292D79F4">
        <w:rPr>
          <w:noProof/>
          <w:lang w:eastAsia="en-IE"/>
        </w:rPr>
        <w:t>(</w:t>
      </w:r>
      <w:r w:rsidR="5FF8C2B9" w:rsidRPr="26C2A38B">
        <w:rPr>
          <w:noProof/>
          <w:lang w:eastAsia="en-IE"/>
        </w:rPr>
        <w:t xml:space="preserve">EU) </w:t>
      </w:r>
      <w:r w:rsidR="00EA4771">
        <w:rPr>
          <w:noProof/>
          <w:lang w:eastAsia="en-IE"/>
        </w:rPr>
        <w:t>2019/</w:t>
      </w:r>
      <w:r w:rsidR="00CF7B2E">
        <w:rPr>
          <w:noProof/>
          <w:lang w:eastAsia="en-IE"/>
        </w:rPr>
        <w:t>943 is considered adequately fulfilled</w:t>
      </w:r>
      <w:r w:rsidR="00E6680D" w:rsidRPr="00E6680D">
        <w:rPr>
          <w:noProof/>
          <w:lang w:eastAsia="en-IE"/>
        </w:rPr>
        <w:t xml:space="preserve">. </w:t>
      </w:r>
    </w:p>
    <w:p w14:paraId="17940B5F" w14:textId="3862F982" w:rsidR="00D004D1" w:rsidRPr="00D004D1" w:rsidRDefault="00C44DD6" w:rsidP="00C44DD6">
      <w:pPr>
        <w:pStyle w:val="ManualNumPar1"/>
        <w:rPr>
          <w:noProof/>
          <w:lang w:eastAsia="en-IE"/>
        </w:rPr>
      </w:pPr>
      <w:r w:rsidRPr="00C44DD6">
        <w:rPr>
          <w:noProof/>
        </w:rPr>
        <w:t>5.</w:t>
      </w:r>
      <w:r w:rsidRPr="00C44DD6">
        <w:rPr>
          <w:noProof/>
        </w:rPr>
        <w:tab/>
      </w:r>
      <w:r w:rsidR="00D004D1" w:rsidRPr="00D004D1">
        <w:rPr>
          <w:noProof/>
          <w:lang w:eastAsia="en-IE"/>
        </w:rPr>
        <w:t>Within [</w:t>
      </w:r>
      <w:r w:rsidR="00D004D1" w:rsidRPr="00280527">
        <w:rPr>
          <w:i/>
          <w:noProof/>
          <w:lang w:eastAsia="en-IE"/>
        </w:rPr>
        <w:t>6</w:t>
      </w:r>
      <w:r w:rsidR="00B1790B" w:rsidRPr="00280527">
        <w:rPr>
          <w:i/>
          <w:noProof/>
          <w:lang w:eastAsia="en-IE"/>
        </w:rPr>
        <w:t xml:space="preserve"> </w:t>
      </w:r>
      <w:r w:rsidR="00D004D1" w:rsidRPr="00280527">
        <w:rPr>
          <w:i/>
          <w:noProof/>
          <w:lang w:eastAsia="en-IE"/>
        </w:rPr>
        <w:t>months</w:t>
      </w:r>
      <w:r w:rsidR="00D004D1" w:rsidRPr="00D004D1">
        <w:rPr>
          <w:noProof/>
          <w:lang w:eastAsia="en-IE"/>
        </w:rPr>
        <w:t xml:space="preserve">] after the entry into force of </w:t>
      </w:r>
      <w:r w:rsidR="00337641">
        <w:rPr>
          <w:noProof/>
          <w:lang w:eastAsia="en-IE"/>
        </w:rPr>
        <w:t xml:space="preserve">the </w:t>
      </w:r>
      <w:r w:rsidR="00546D44">
        <w:rPr>
          <w:noProof/>
          <w:lang w:eastAsia="en-IE"/>
        </w:rPr>
        <w:t>dele</w:t>
      </w:r>
      <w:r w:rsidR="0010056E">
        <w:rPr>
          <w:noProof/>
          <w:lang w:eastAsia="en-IE"/>
        </w:rPr>
        <w:t xml:space="preserve">gated acts </w:t>
      </w:r>
      <w:r w:rsidR="00A34105">
        <w:rPr>
          <w:noProof/>
          <w:lang w:eastAsia="en-IE"/>
        </w:rPr>
        <w:t>referred</w:t>
      </w:r>
      <w:r w:rsidR="0010056E">
        <w:rPr>
          <w:noProof/>
          <w:lang w:eastAsia="en-IE"/>
        </w:rPr>
        <w:t xml:space="preserve"> </w:t>
      </w:r>
      <w:r w:rsidR="00A34105">
        <w:rPr>
          <w:noProof/>
          <w:lang w:eastAsia="en-IE"/>
        </w:rPr>
        <w:t>in paragraph</w:t>
      </w:r>
      <w:r w:rsidR="0099013A">
        <w:rPr>
          <w:noProof/>
          <w:lang w:eastAsia="en-IE"/>
        </w:rPr>
        <w:t xml:space="preserve"> </w:t>
      </w:r>
      <w:r w:rsidR="00A34105">
        <w:rPr>
          <w:noProof/>
          <w:lang w:eastAsia="en-IE"/>
        </w:rPr>
        <w:t>4</w:t>
      </w:r>
      <w:r w:rsidR="00D004D1" w:rsidRPr="00D004D1">
        <w:rPr>
          <w:noProof/>
          <w:lang w:eastAsia="en-IE"/>
        </w:rPr>
        <w:t xml:space="preserve">, the Agency shall update the methodology on the use of revenues from congestion income pursuant </w:t>
      </w:r>
      <w:r w:rsidR="00697895">
        <w:rPr>
          <w:noProof/>
          <w:lang w:eastAsia="en-IE"/>
        </w:rPr>
        <w:t xml:space="preserve">to </w:t>
      </w:r>
      <w:r w:rsidR="00D004D1" w:rsidRPr="00D004D1">
        <w:rPr>
          <w:noProof/>
          <w:lang w:eastAsia="en-IE"/>
        </w:rPr>
        <w:t xml:space="preserve">Article 19(4) </w:t>
      </w:r>
      <w:r w:rsidR="00A17541">
        <w:rPr>
          <w:noProof/>
          <w:lang w:eastAsia="en-IE"/>
        </w:rPr>
        <w:t xml:space="preserve">of </w:t>
      </w:r>
      <w:r w:rsidR="00D004D1" w:rsidRPr="00D004D1">
        <w:rPr>
          <w:noProof/>
          <w:lang w:eastAsia="en-IE"/>
        </w:rPr>
        <w:t>Regulation</w:t>
      </w:r>
      <w:r w:rsidR="00A17541">
        <w:rPr>
          <w:noProof/>
          <w:lang w:eastAsia="en-IE"/>
        </w:rPr>
        <w:t xml:space="preserve"> (EU) 2019/943</w:t>
      </w:r>
      <w:r w:rsidR="00D004D1" w:rsidRPr="00D004D1">
        <w:rPr>
          <w:noProof/>
          <w:lang w:eastAsia="en-IE"/>
        </w:rPr>
        <w:t xml:space="preserve">. The </w:t>
      </w:r>
      <w:r w:rsidR="00BC2468">
        <w:rPr>
          <w:noProof/>
          <w:lang w:eastAsia="en-IE"/>
        </w:rPr>
        <w:t>updated</w:t>
      </w:r>
      <w:r w:rsidR="00BC2468" w:rsidRPr="00D004D1">
        <w:rPr>
          <w:noProof/>
          <w:lang w:eastAsia="en-IE"/>
        </w:rPr>
        <w:t xml:space="preserve"> </w:t>
      </w:r>
      <w:r w:rsidR="00D004D1" w:rsidRPr="00D004D1">
        <w:rPr>
          <w:noProof/>
          <w:lang w:eastAsia="en-IE"/>
        </w:rPr>
        <w:t xml:space="preserve">methodology shall be consistent with </w:t>
      </w:r>
      <w:r w:rsidR="00697895">
        <w:rPr>
          <w:noProof/>
          <w:lang w:eastAsia="en-IE"/>
        </w:rPr>
        <w:t xml:space="preserve">paragraphs 1, 2 and 3 of </w:t>
      </w:r>
      <w:r w:rsidR="00D004D1" w:rsidRPr="00D004D1">
        <w:rPr>
          <w:noProof/>
          <w:lang w:eastAsia="en-IE"/>
        </w:rPr>
        <w:t xml:space="preserve">this </w:t>
      </w:r>
      <w:r w:rsidR="00C10695">
        <w:rPr>
          <w:noProof/>
          <w:lang w:eastAsia="en-IE"/>
        </w:rPr>
        <w:t>Article</w:t>
      </w:r>
      <w:r w:rsidR="00D004D1" w:rsidRPr="00D004D1">
        <w:rPr>
          <w:noProof/>
          <w:lang w:eastAsia="en-IE"/>
        </w:rPr>
        <w:t xml:space="preserve"> and </w:t>
      </w:r>
      <w:r w:rsidR="00697895" w:rsidRPr="00D004D1">
        <w:rPr>
          <w:noProof/>
          <w:lang w:eastAsia="en-IE"/>
        </w:rPr>
        <w:t xml:space="preserve">with </w:t>
      </w:r>
      <w:r w:rsidR="00D004D1" w:rsidRPr="00D004D1">
        <w:rPr>
          <w:noProof/>
          <w:lang w:eastAsia="en-IE"/>
        </w:rPr>
        <w:t>the delegated act</w:t>
      </w:r>
      <w:r w:rsidR="00A55B27">
        <w:rPr>
          <w:noProof/>
          <w:lang w:eastAsia="en-IE"/>
        </w:rPr>
        <w:t>s</w:t>
      </w:r>
      <w:r w:rsidR="00D004D1" w:rsidRPr="00D004D1">
        <w:rPr>
          <w:noProof/>
          <w:lang w:eastAsia="en-IE"/>
        </w:rPr>
        <w:t xml:space="preserve"> adopted pursuant to paragraph </w:t>
      </w:r>
      <w:r w:rsidR="00BC71D6">
        <w:rPr>
          <w:noProof/>
          <w:lang w:eastAsia="en-IE"/>
        </w:rPr>
        <w:t>4</w:t>
      </w:r>
      <w:r w:rsidR="00697895" w:rsidRPr="00697895">
        <w:rPr>
          <w:noProof/>
          <w:lang w:eastAsia="en-IE"/>
        </w:rPr>
        <w:t xml:space="preserve"> </w:t>
      </w:r>
      <w:r w:rsidR="00697895">
        <w:rPr>
          <w:noProof/>
          <w:lang w:eastAsia="en-IE"/>
        </w:rPr>
        <w:t xml:space="preserve">of </w:t>
      </w:r>
      <w:r w:rsidR="00697895" w:rsidRPr="00D004D1">
        <w:rPr>
          <w:noProof/>
          <w:lang w:eastAsia="en-IE"/>
        </w:rPr>
        <w:t xml:space="preserve">this </w:t>
      </w:r>
      <w:r w:rsidR="00697895">
        <w:rPr>
          <w:noProof/>
          <w:lang w:eastAsia="en-IE"/>
        </w:rPr>
        <w:t>Article</w:t>
      </w:r>
      <w:r w:rsidR="00D004D1" w:rsidRPr="00D004D1">
        <w:rPr>
          <w:noProof/>
          <w:lang w:eastAsia="en-IE"/>
        </w:rPr>
        <w:t xml:space="preserve">. </w:t>
      </w:r>
    </w:p>
    <w:p w14:paraId="2584F848" w14:textId="77777777" w:rsidR="00213309" w:rsidRPr="00185722" w:rsidRDefault="00213309" w:rsidP="00213309">
      <w:pPr>
        <w:pStyle w:val="Titrearticle"/>
        <w:rPr>
          <w:noProof/>
          <w:lang w:eastAsia="en-IE"/>
        </w:rPr>
      </w:pPr>
      <w:r w:rsidRPr="00185722">
        <w:rPr>
          <w:noProof/>
          <w:lang w:eastAsia="en-IE"/>
        </w:rPr>
        <w:t xml:space="preserve">Article </w:t>
      </w:r>
      <w:r w:rsidR="00293678">
        <w:rPr>
          <w:noProof/>
          <w:lang w:eastAsia="en-IE"/>
        </w:rPr>
        <w:t>20</w:t>
      </w:r>
    </w:p>
    <w:p w14:paraId="7935A18B" w14:textId="77777777" w:rsidR="00213309" w:rsidRPr="00C327B3" w:rsidRDefault="00213309" w:rsidP="00213309">
      <w:pPr>
        <w:pStyle w:val="Titrearticle"/>
        <w:rPr>
          <w:b/>
          <w:bCs/>
          <w:noProof/>
        </w:rPr>
      </w:pPr>
      <w:r w:rsidRPr="00CB3E4F">
        <w:rPr>
          <w:b/>
          <w:bCs/>
          <w:noProof/>
        </w:rPr>
        <w:t xml:space="preserve">  </w:t>
      </w:r>
      <w:r w:rsidRPr="00C327B3">
        <w:rPr>
          <w:b/>
          <w:bCs/>
          <w:noProof/>
        </w:rPr>
        <w:t>Regulatory incentives</w:t>
      </w:r>
    </w:p>
    <w:p w14:paraId="198344F7" w14:textId="642346E0" w:rsidR="00213309" w:rsidRPr="00C327B3" w:rsidRDefault="00C44DD6" w:rsidP="00C44DD6">
      <w:pPr>
        <w:pStyle w:val="ManualNumPar1"/>
        <w:rPr>
          <w:noProof/>
        </w:rPr>
      </w:pPr>
      <w:r w:rsidRPr="00C44DD6">
        <w:rPr>
          <w:noProof/>
        </w:rPr>
        <w:t>1.</w:t>
      </w:r>
      <w:r w:rsidRPr="00C44DD6">
        <w:rPr>
          <w:noProof/>
        </w:rPr>
        <w:tab/>
      </w:r>
      <w:r w:rsidR="00213309" w:rsidRPr="00C327B3">
        <w:rPr>
          <w:noProof/>
        </w:rPr>
        <w:t>Where a project promoter incurs higher risks for the development, construction, operation or maintenance of a project of common interest falling under the competence of national regulatory authorities, when compared to the risks normally incurred by a comparable infrastructure project, national regulatory authorities may grant appropriate incentives to that project in accordance with Regulation</w:t>
      </w:r>
      <w:r w:rsidR="00AD4AC9">
        <w:rPr>
          <w:noProof/>
        </w:rPr>
        <w:t>s</w:t>
      </w:r>
      <w:r w:rsidR="00213309" w:rsidRPr="00C327B3">
        <w:rPr>
          <w:noProof/>
        </w:rPr>
        <w:t xml:space="preserve"> (E</w:t>
      </w:r>
      <w:r w:rsidR="00E13358" w:rsidRPr="00C327B3">
        <w:rPr>
          <w:noProof/>
        </w:rPr>
        <w:t>U</w:t>
      </w:r>
      <w:r w:rsidR="00213309" w:rsidRPr="00C327B3">
        <w:rPr>
          <w:noProof/>
        </w:rPr>
        <w:t>)</w:t>
      </w:r>
      <w:r w:rsidR="00E13358" w:rsidRPr="00C327B3">
        <w:rPr>
          <w:noProof/>
        </w:rPr>
        <w:t xml:space="preserve"> </w:t>
      </w:r>
      <w:r w:rsidR="00AD4AC9" w:rsidRPr="00C327B3">
        <w:rPr>
          <w:noProof/>
        </w:rPr>
        <w:t>2019/943</w:t>
      </w:r>
      <w:r w:rsidR="00AD4AC9">
        <w:rPr>
          <w:noProof/>
        </w:rPr>
        <w:t xml:space="preserve"> and </w:t>
      </w:r>
      <w:r w:rsidR="00E13358" w:rsidRPr="00C327B3">
        <w:rPr>
          <w:noProof/>
        </w:rPr>
        <w:t>2024/1789</w:t>
      </w:r>
      <w:r w:rsidR="00213309" w:rsidRPr="00C327B3">
        <w:rPr>
          <w:noProof/>
        </w:rPr>
        <w:t xml:space="preserve"> </w:t>
      </w:r>
      <w:r w:rsidR="0009421D">
        <w:rPr>
          <w:noProof/>
        </w:rPr>
        <w:t>and</w:t>
      </w:r>
      <w:r w:rsidR="00213309" w:rsidRPr="00C327B3">
        <w:rPr>
          <w:noProof/>
        </w:rPr>
        <w:t xml:space="preserve"> Directive</w:t>
      </w:r>
      <w:r w:rsidR="00AD4AC9">
        <w:rPr>
          <w:noProof/>
        </w:rPr>
        <w:t>s</w:t>
      </w:r>
      <w:r w:rsidR="00213309" w:rsidRPr="00C327B3">
        <w:rPr>
          <w:noProof/>
        </w:rPr>
        <w:t xml:space="preserve"> </w:t>
      </w:r>
      <w:r w:rsidR="00AD4AC9" w:rsidRPr="00C327B3">
        <w:rPr>
          <w:noProof/>
        </w:rPr>
        <w:t>(EU) 2019/944</w:t>
      </w:r>
      <w:r w:rsidR="00AD4AC9">
        <w:rPr>
          <w:noProof/>
        </w:rPr>
        <w:t xml:space="preserve"> and</w:t>
      </w:r>
      <w:r w:rsidR="00213309" w:rsidRPr="00C327B3">
        <w:rPr>
          <w:noProof/>
        </w:rPr>
        <w:t xml:space="preserve"> </w:t>
      </w:r>
      <w:r w:rsidR="00BD523B" w:rsidRPr="00C327B3">
        <w:rPr>
          <w:noProof/>
        </w:rPr>
        <w:t>(EU) 2024/1788</w:t>
      </w:r>
      <w:r w:rsidR="00213309" w:rsidRPr="00C327B3">
        <w:rPr>
          <w:noProof/>
        </w:rPr>
        <w:t>.</w:t>
      </w:r>
    </w:p>
    <w:p w14:paraId="5BF967C2" w14:textId="77777777" w:rsidR="00213309" w:rsidRPr="00C327B3" w:rsidRDefault="00213309" w:rsidP="00213309">
      <w:pPr>
        <w:pStyle w:val="Text1"/>
        <w:rPr>
          <w:noProof/>
        </w:rPr>
      </w:pPr>
      <w:r w:rsidRPr="00C327B3">
        <w:rPr>
          <w:noProof/>
        </w:rPr>
        <w:t xml:space="preserve">The first subparagraph shall not apply where the project of common interest </w:t>
      </w:r>
      <w:r w:rsidR="004B3CB8" w:rsidRPr="00C327B3">
        <w:rPr>
          <w:noProof/>
        </w:rPr>
        <w:t>benefit</w:t>
      </w:r>
      <w:r w:rsidR="00E97011">
        <w:rPr>
          <w:noProof/>
        </w:rPr>
        <w:t>s</w:t>
      </w:r>
      <w:r w:rsidR="004B3CB8" w:rsidRPr="00C327B3">
        <w:rPr>
          <w:noProof/>
        </w:rPr>
        <w:t xml:space="preserve"> from</w:t>
      </w:r>
      <w:r w:rsidR="00AD4AC9">
        <w:rPr>
          <w:noProof/>
        </w:rPr>
        <w:t xml:space="preserve"> one or more of the following</w:t>
      </w:r>
      <w:r w:rsidRPr="00C327B3">
        <w:rPr>
          <w:noProof/>
        </w:rPr>
        <w:t>:</w:t>
      </w:r>
    </w:p>
    <w:p w14:paraId="0A0E67E1" w14:textId="3AF856B6" w:rsidR="00213309" w:rsidRPr="00C327B3" w:rsidRDefault="00C44DD6" w:rsidP="00C44DD6">
      <w:pPr>
        <w:pStyle w:val="Point1"/>
        <w:rPr>
          <w:noProof/>
        </w:rPr>
      </w:pPr>
      <w:r w:rsidRPr="00C44DD6">
        <w:rPr>
          <w:noProof/>
        </w:rPr>
        <w:t>(a)</w:t>
      </w:r>
      <w:r w:rsidRPr="00C44DD6">
        <w:rPr>
          <w:noProof/>
        </w:rPr>
        <w:tab/>
      </w:r>
      <w:r w:rsidR="00AD4AC9">
        <w:rPr>
          <w:noProof/>
        </w:rPr>
        <w:t>a</w:t>
      </w:r>
      <w:r w:rsidR="004B3CB8" w:rsidRPr="00C327B3">
        <w:rPr>
          <w:noProof/>
        </w:rPr>
        <w:t xml:space="preserve">n exemption </w:t>
      </w:r>
      <w:r w:rsidR="00213309" w:rsidRPr="00C327B3">
        <w:rPr>
          <w:noProof/>
        </w:rPr>
        <w:t xml:space="preserve">from Articles </w:t>
      </w:r>
      <w:r w:rsidR="004B3CB8" w:rsidRPr="00C327B3">
        <w:rPr>
          <w:noProof/>
        </w:rPr>
        <w:t>31,</w:t>
      </w:r>
      <w:r w:rsidR="00EF60C5" w:rsidRPr="00C327B3">
        <w:rPr>
          <w:noProof/>
        </w:rPr>
        <w:t xml:space="preserve"> </w:t>
      </w:r>
      <w:r w:rsidR="00213309" w:rsidRPr="00C327B3">
        <w:rPr>
          <w:noProof/>
        </w:rPr>
        <w:t xml:space="preserve">32, </w:t>
      </w:r>
      <w:r w:rsidR="00255414" w:rsidRPr="00C327B3">
        <w:rPr>
          <w:noProof/>
        </w:rPr>
        <w:t xml:space="preserve">and </w:t>
      </w:r>
      <w:r w:rsidR="00213309" w:rsidRPr="00C327B3">
        <w:rPr>
          <w:noProof/>
        </w:rPr>
        <w:t>33, and Article</w:t>
      </w:r>
      <w:r w:rsidR="00255414" w:rsidRPr="00C327B3">
        <w:rPr>
          <w:noProof/>
        </w:rPr>
        <w:t>s</w:t>
      </w:r>
      <w:r w:rsidR="00213309" w:rsidRPr="00C327B3">
        <w:rPr>
          <w:noProof/>
        </w:rPr>
        <w:t xml:space="preserve"> </w:t>
      </w:r>
      <w:r w:rsidR="00255414" w:rsidRPr="00C327B3">
        <w:rPr>
          <w:noProof/>
        </w:rPr>
        <w:t>78(7)</w:t>
      </w:r>
      <w:r w:rsidR="003E3A78" w:rsidRPr="00C327B3">
        <w:rPr>
          <w:noProof/>
        </w:rPr>
        <w:t xml:space="preserve"> and (9)</w:t>
      </w:r>
      <w:r w:rsidR="009F0537" w:rsidRPr="00C327B3">
        <w:rPr>
          <w:noProof/>
        </w:rPr>
        <w:t xml:space="preserve"> </w:t>
      </w:r>
      <w:r w:rsidR="00213309" w:rsidRPr="00C327B3">
        <w:rPr>
          <w:noProof/>
        </w:rPr>
        <w:t>of Directive</w:t>
      </w:r>
      <w:r w:rsidR="009F0537" w:rsidRPr="00C327B3">
        <w:rPr>
          <w:noProof/>
        </w:rPr>
        <w:t xml:space="preserve"> (EU)</w:t>
      </w:r>
      <w:r w:rsidR="00AE19D7" w:rsidRPr="00C327B3">
        <w:rPr>
          <w:noProof/>
        </w:rPr>
        <w:t xml:space="preserve"> 2024/1788</w:t>
      </w:r>
      <w:r w:rsidR="00213309" w:rsidRPr="00C327B3">
        <w:rPr>
          <w:noProof/>
        </w:rPr>
        <w:t xml:space="preserve">, pursuant to Article </w:t>
      </w:r>
      <w:r w:rsidR="006269C9" w:rsidRPr="00C327B3">
        <w:rPr>
          <w:noProof/>
        </w:rPr>
        <w:t>78</w:t>
      </w:r>
      <w:r w:rsidR="00213309" w:rsidRPr="00C327B3">
        <w:rPr>
          <w:noProof/>
        </w:rPr>
        <w:t xml:space="preserve"> of </w:t>
      </w:r>
      <w:r w:rsidR="00C53C15" w:rsidRPr="00C327B3">
        <w:rPr>
          <w:noProof/>
        </w:rPr>
        <w:t>Re</w:t>
      </w:r>
      <w:r w:rsidR="00F855D7" w:rsidRPr="00C327B3">
        <w:rPr>
          <w:noProof/>
        </w:rPr>
        <w:t>gulation (EU) 2024//1789</w:t>
      </w:r>
      <w:r w:rsidR="00213309" w:rsidRPr="00C327B3">
        <w:rPr>
          <w:noProof/>
        </w:rPr>
        <w:t>;</w:t>
      </w:r>
    </w:p>
    <w:p w14:paraId="65B3D384" w14:textId="0E8FBAA7" w:rsidR="00213309" w:rsidRPr="00C327B3" w:rsidRDefault="00C44DD6" w:rsidP="00C44DD6">
      <w:pPr>
        <w:pStyle w:val="Point1"/>
        <w:rPr>
          <w:noProof/>
        </w:rPr>
      </w:pPr>
      <w:r w:rsidRPr="00C44DD6">
        <w:rPr>
          <w:noProof/>
        </w:rPr>
        <w:t>(b)</w:t>
      </w:r>
      <w:r w:rsidRPr="00C44DD6">
        <w:rPr>
          <w:noProof/>
        </w:rPr>
        <w:tab/>
      </w:r>
      <w:r w:rsidR="00AD4AC9">
        <w:rPr>
          <w:noProof/>
        </w:rPr>
        <w:t>a</w:t>
      </w:r>
      <w:r w:rsidR="00C327B3" w:rsidRPr="00C327B3">
        <w:rPr>
          <w:noProof/>
        </w:rPr>
        <w:t xml:space="preserve">n exemption </w:t>
      </w:r>
      <w:r w:rsidR="00213309" w:rsidRPr="00C327B3">
        <w:rPr>
          <w:noProof/>
        </w:rPr>
        <w:t>from Article 19(2) and (3) of Regulation (EU) 2019/943 or from Article 6, Article 59(7) and Article 60(1) of Directive (EU) 2019/944 pursuant to Article 63 of Regulation (EU) 2019/943;</w:t>
      </w:r>
    </w:p>
    <w:p w14:paraId="3EC6524F" w14:textId="1238227C" w:rsidR="00213309" w:rsidRPr="00C327B3" w:rsidRDefault="00C44DD6" w:rsidP="00C44DD6">
      <w:pPr>
        <w:pStyle w:val="Point1"/>
        <w:rPr>
          <w:noProof/>
        </w:rPr>
      </w:pPr>
      <w:r w:rsidRPr="00C44DD6">
        <w:rPr>
          <w:noProof/>
        </w:rPr>
        <w:t>(c)</w:t>
      </w:r>
      <w:r w:rsidRPr="00C44DD6">
        <w:rPr>
          <w:noProof/>
        </w:rPr>
        <w:tab/>
      </w:r>
      <w:r w:rsidR="00AD4AC9">
        <w:rPr>
          <w:noProof/>
        </w:rPr>
        <w:t>a</w:t>
      </w:r>
      <w:r w:rsidR="00C327B3">
        <w:rPr>
          <w:noProof/>
        </w:rPr>
        <w:t xml:space="preserve">n exemption </w:t>
      </w:r>
      <w:r w:rsidR="00213309">
        <w:rPr>
          <w:noProof/>
        </w:rPr>
        <w:t>pursuant to Article 36 of Directive 2009/73/EC;</w:t>
      </w:r>
    </w:p>
    <w:p w14:paraId="595074FE" w14:textId="7EB8CA5C" w:rsidR="00213309" w:rsidRPr="00185722" w:rsidRDefault="00C44DD6" w:rsidP="00C44DD6">
      <w:pPr>
        <w:pStyle w:val="Point1"/>
        <w:rPr>
          <w:noProof/>
        </w:rPr>
      </w:pPr>
      <w:r w:rsidRPr="00C44DD6">
        <w:rPr>
          <w:noProof/>
        </w:rPr>
        <w:t>(d)</w:t>
      </w:r>
      <w:r w:rsidRPr="00C44DD6">
        <w:rPr>
          <w:noProof/>
        </w:rPr>
        <w:tab/>
      </w:r>
      <w:r w:rsidR="00AD4AC9">
        <w:rPr>
          <w:noProof/>
        </w:rPr>
        <w:t>a</w:t>
      </w:r>
      <w:r w:rsidR="00C327B3">
        <w:rPr>
          <w:noProof/>
        </w:rPr>
        <w:t xml:space="preserve"> derogation </w:t>
      </w:r>
      <w:r w:rsidR="00213309">
        <w:rPr>
          <w:noProof/>
        </w:rPr>
        <w:t>pursuant to Article 17 of Regulation (EC) No 714/2009.</w:t>
      </w:r>
    </w:p>
    <w:p w14:paraId="7EA51B5F" w14:textId="60D5A21B" w:rsidR="00213309" w:rsidRPr="00185722" w:rsidRDefault="00C44DD6" w:rsidP="00C44DD6">
      <w:pPr>
        <w:pStyle w:val="ManualNumPar1"/>
        <w:rPr>
          <w:noProof/>
        </w:rPr>
      </w:pPr>
      <w:r w:rsidRPr="00C44DD6">
        <w:rPr>
          <w:noProof/>
        </w:rPr>
        <w:t>2.</w:t>
      </w:r>
      <w:r w:rsidRPr="00C44DD6">
        <w:rPr>
          <w:noProof/>
        </w:rPr>
        <w:tab/>
      </w:r>
      <w:r w:rsidR="00213309">
        <w:rPr>
          <w:noProof/>
        </w:rPr>
        <w:t>In the case of a decision to grant the incentives referred to in paragraph 1 of this Article, national regulatory authorities shall consider the results of the cost-benefit analysis consistent with the methodology drawn up pursuant to Article 1</w:t>
      </w:r>
      <w:r w:rsidR="2AFD8800">
        <w:rPr>
          <w:noProof/>
        </w:rPr>
        <w:t>4</w:t>
      </w:r>
      <w:r w:rsidR="00213309">
        <w:rPr>
          <w:noProof/>
        </w:rPr>
        <w:t xml:space="preserve"> and in particular the regional or Union-wide positive externalities generated by the project. The national regulatory authorities shall further analyse the specific risks incurred by the project promoters, the risk mitigation measures taken and the reasons for the risk profile in view of the net positive impact provided by the project, when compared to a lower-risk alternative. Eligible risks shall in particular include risks related to new transmission technologies, both onshore and offshore, risks related to under-recovery of costs and development risks.</w:t>
      </w:r>
    </w:p>
    <w:p w14:paraId="1F180952" w14:textId="4B178852" w:rsidR="00213309" w:rsidRPr="00185722" w:rsidRDefault="00C44DD6" w:rsidP="00C44DD6">
      <w:pPr>
        <w:pStyle w:val="ManualNumPar1"/>
        <w:rPr>
          <w:noProof/>
        </w:rPr>
      </w:pPr>
      <w:r w:rsidRPr="00C44DD6">
        <w:rPr>
          <w:noProof/>
        </w:rPr>
        <w:t>3.</w:t>
      </w:r>
      <w:r w:rsidRPr="00C44DD6">
        <w:rPr>
          <w:noProof/>
        </w:rPr>
        <w:tab/>
      </w:r>
      <w:r w:rsidR="00213309" w:rsidRPr="00185722">
        <w:rPr>
          <w:noProof/>
        </w:rPr>
        <w:t>The decision to grant the incentives shall take into account the specific nature of the risk incurred and may grant incentives covering, inter alia, one or more of the following measures:</w:t>
      </w:r>
    </w:p>
    <w:p w14:paraId="782A415D" w14:textId="1BF61886" w:rsidR="00213309" w:rsidRPr="00185722" w:rsidRDefault="00C44DD6" w:rsidP="00C44DD6">
      <w:pPr>
        <w:pStyle w:val="Point1"/>
        <w:rPr>
          <w:noProof/>
        </w:rPr>
      </w:pPr>
      <w:r w:rsidRPr="00C44DD6">
        <w:rPr>
          <w:noProof/>
        </w:rPr>
        <w:t>(a)</w:t>
      </w:r>
      <w:r w:rsidRPr="00C44DD6">
        <w:rPr>
          <w:noProof/>
        </w:rPr>
        <w:tab/>
      </w:r>
      <w:r w:rsidR="00213309" w:rsidRPr="00185722">
        <w:rPr>
          <w:noProof/>
        </w:rPr>
        <w:t>the rules for anticipatory investment;</w:t>
      </w:r>
    </w:p>
    <w:p w14:paraId="081A7DEE" w14:textId="2CFA5E08" w:rsidR="00213309" w:rsidRPr="00185722" w:rsidRDefault="00C44DD6" w:rsidP="00C44DD6">
      <w:pPr>
        <w:pStyle w:val="Point1"/>
        <w:rPr>
          <w:noProof/>
        </w:rPr>
      </w:pPr>
      <w:r w:rsidRPr="00C44DD6">
        <w:rPr>
          <w:noProof/>
        </w:rPr>
        <w:t>(b)</w:t>
      </w:r>
      <w:r w:rsidRPr="00C44DD6">
        <w:rPr>
          <w:noProof/>
        </w:rPr>
        <w:tab/>
      </w:r>
      <w:r w:rsidR="00213309" w:rsidRPr="00185722">
        <w:rPr>
          <w:noProof/>
        </w:rPr>
        <w:t xml:space="preserve">the rules for recognition of efficiently incurred costs before </w:t>
      </w:r>
      <w:r w:rsidR="00213309" w:rsidRPr="00185722">
        <w:rPr>
          <w:noProof/>
          <w:lang w:eastAsia="en-IE"/>
        </w:rPr>
        <w:t>commissioning</w:t>
      </w:r>
      <w:r w:rsidR="00213309" w:rsidRPr="00185722">
        <w:rPr>
          <w:noProof/>
        </w:rPr>
        <w:t xml:space="preserve"> of the project;</w:t>
      </w:r>
    </w:p>
    <w:p w14:paraId="7B5DD1B9" w14:textId="2B02FEEC" w:rsidR="00213309" w:rsidRPr="00185722" w:rsidRDefault="00C44DD6" w:rsidP="00C44DD6">
      <w:pPr>
        <w:pStyle w:val="Point1"/>
        <w:rPr>
          <w:noProof/>
        </w:rPr>
      </w:pPr>
      <w:r w:rsidRPr="00C44DD6">
        <w:rPr>
          <w:noProof/>
        </w:rPr>
        <w:t>(c)</w:t>
      </w:r>
      <w:r w:rsidRPr="00C44DD6">
        <w:rPr>
          <w:noProof/>
        </w:rPr>
        <w:tab/>
      </w:r>
      <w:r w:rsidR="00213309" w:rsidRPr="00185722">
        <w:rPr>
          <w:noProof/>
        </w:rPr>
        <w:t>the rules for providing additional return on the capital invested for the project;</w:t>
      </w:r>
    </w:p>
    <w:p w14:paraId="5943A43C" w14:textId="4FEBFAD8" w:rsidR="00213309" w:rsidRPr="00185722" w:rsidRDefault="00C44DD6" w:rsidP="00C44DD6">
      <w:pPr>
        <w:pStyle w:val="Point1"/>
        <w:rPr>
          <w:noProof/>
        </w:rPr>
      </w:pPr>
      <w:r w:rsidRPr="00C44DD6">
        <w:rPr>
          <w:noProof/>
        </w:rPr>
        <w:t>(d)</w:t>
      </w:r>
      <w:r w:rsidRPr="00C44DD6">
        <w:rPr>
          <w:noProof/>
        </w:rPr>
        <w:tab/>
      </w:r>
      <w:r w:rsidR="00213309" w:rsidRPr="00185722">
        <w:rPr>
          <w:noProof/>
        </w:rPr>
        <w:t>any other measure deemed necessary and appropriate.</w:t>
      </w:r>
    </w:p>
    <w:p w14:paraId="13007FB8" w14:textId="77777777" w:rsidR="00213309" w:rsidRPr="00185722" w:rsidRDefault="00213309" w:rsidP="00213309">
      <w:pPr>
        <w:shd w:val="clear" w:color="auto" w:fill="FFFFFF"/>
        <w:spacing w:after="0"/>
        <w:rPr>
          <w:rFonts w:ascii="inherit" w:eastAsia="Times New Roman" w:hAnsi="inherit"/>
          <w:noProof/>
          <w:color w:val="000000"/>
          <w:lang w:eastAsia="en-IE"/>
        </w:rPr>
      </w:pPr>
    </w:p>
    <w:p w14:paraId="15307B3B" w14:textId="77777777" w:rsidR="001F4B2A" w:rsidRPr="00185722" w:rsidRDefault="001F4B2A" w:rsidP="001F4B2A">
      <w:pPr>
        <w:pStyle w:val="ChapterTitle"/>
        <w:rPr>
          <w:noProof/>
        </w:rPr>
      </w:pPr>
      <w:bookmarkStart w:id="28" w:name="bookmark81"/>
      <w:r w:rsidRPr="00185722">
        <w:rPr>
          <w:noProof/>
        </w:rPr>
        <w:t>CHAPTER VII</w:t>
      </w:r>
      <w:bookmarkEnd w:id="28"/>
    </w:p>
    <w:p w14:paraId="7FF4418C" w14:textId="77777777" w:rsidR="001F4B2A" w:rsidRPr="00185722" w:rsidRDefault="001F4B2A" w:rsidP="001F4B2A">
      <w:pPr>
        <w:pStyle w:val="ChapterTitle"/>
        <w:rPr>
          <w:noProof/>
        </w:rPr>
      </w:pPr>
      <w:r w:rsidRPr="00185722">
        <w:rPr>
          <w:noProof/>
        </w:rPr>
        <w:t>Financing</w:t>
      </w:r>
    </w:p>
    <w:p w14:paraId="5883A420" w14:textId="77777777" w:rsidR="001F4B2A" w:rsidRPr="00185722" w:rsidRDefault="001F4B2A" w:rsidP="001F4B2A">
      <w:pPr>
        <w:pStyle w:val="Titrearticle"/>
        <w:rPr>
          <w:noProof/>
        </w:rPr>
      </w:pPr>
      <w:r w:rsidRPr="00185722">
        <w:rPr>
          <w:noProof/>
          <w:lang w:eastAsia="en-IE"/>
        </w:rPr>
        <w:t xml:space="preserve">Article </w:t>
      </w:r>
      <w:bookmarkStart w:id="29" w:name="bookmark84"/>
      <w:bookmarkEnd w:id="29"/>
      <w:r w:rsidRPr="00185722">
        <w:rPr>
          <w:noProof/>
          <w:lang w:eastAsia="en-IE"/>
        </w:rPr>
        <w:t>2</w:t>
      </w:r>
      <w:r w:rsidR="00293678">
        <w:rPr>
          <w:noProof/>
          <w:lang w:eastAsia="en-IE"/>
        </w:rPr>
        <w:t>1</w:t>
      </w:r>
    </w:p>
    <w:p w14:paraId="4D3C3AAA" w14:textId="77777777" w:rsidR="001F4B2A" w:rsidRPr="00CB3E4F" w:rsidRDefault="001F4B2A" w:rsidP="001F4B2A">
      <w:pPr>
        <w:pStyle w:val="Titrearticle"/>
        <w:rPr>
          <w:b/>
          <w:bCs/>
          <w:noProof/>
        </w:rPr>
      </w:pPr>
      <w:r>
        <w:rPr>
          <w:noProof/>
        </w:rPr>
        <w:t xml:space="preserve">  </w:t>
      </w:r>
      <w:r w:rsidRPr="00CB3E4F">
        <w:rPr>
          <w:b/>
          <w:bCs/>
          <w:noProof/>
        </w:rPr>
        <w:t>Eligibility of projects for Union financial assistance under Regulation (EU) 2021/1153</w:t>
      </w:r>
    </w:p>
    <w:p w14:paraId="1AA359D6" w14:textId="25DDFAD1" w:rsidR="001F4B2A" w:rsidRPr="00185722" w:rsidRDefault="00C44DD6" w:rsidP="00C44DD6">
      <w:pPr>
        <w:pStyle w:val="ManualNumPar1"/>
        <w:rPr>
          <w:noProof/>
        </w:rPr>
      </w:pPr>
      <w:r w:rsidRPr="00C44DD6">
        <w:rPr>
          <w:noProof/>
        </w:rPr>
        <w:t>1.</w:t>
      </w:r>
      <w:r w:rsidRPr="00C44DD6">
        <w:rPr>
          <w:noProof/>
        </w:rPr>
        <w:tab/>
      </w:r>
      <w:r w:rsidR="001F4B2A" w:rsidRPr="00185722">
        <w:rPr>
          <w:noProof/>
        </w:rPr>
        <w:t>Projects of common interest falling under the energy infrastructure categories set out in Article 2</w:t>
      </w:r>
      <w:r w:rsidR="00362C26">
        <w:rPr>
          <w:noProof/>
        </w:rPr>
        <w:t>7</w:t>
      </w:r>
      <w:r w:rsidR="001F4B2A" w:rsidRPr="00185722">
        <w:rPr>
          <w:noProof/>
        </w:rPr>
        <w:t xml:space="preserve"> and Annex II shall be eligible for Union financial assistance in the form of grants for studies and financial instruments.</w:t>
      </w:r>
    </w:p>
    <w:p w14:paraId="07BA2490" w14:textId="0ACE429B" w:rsidR="001F4B2A" w:rsidRPr="00185722" w:rsidRDefault="00C44DD6" w:rsidP="00C44DD6">
      <w:pPr>
        <w:pStyle w:val="ManualNumPar1"/>
        <w:rPr>
          <w:noProof/>
        </w:rPr>
      </w:pPr>
      <w:r w:rsidRPr="00C44DD6">
        <w:rPr>
          <w:noProof/>
        </w:rPr>
        <w:t>2.</w:t>
      </w:r>
      <w:r w:rsidRPr="00C44DD6">
        <w:rPr>
          <w:noProof/>
        </w:rPr>
        <w:tab/>
      </w:r>
      <w:r w:rsidR="001F4B2A" w:rsidRPr="00185722">
        <w:rPr>
          <w:noProof/>
        </w:rPr>
        <w:t>Projects of common interest falling under the energy infrastructure categories set out in Article 2</w:t>
      </w:r>
      <w:r w:rsidR="00362C26">
        <w:rPr>
          <w:noProof/>
        </w:rPr>
        <w:t>7</w:t>
      </w:r>
      <w:r w:rsidR="001F4B2A" w:rsidRPr="00185722">
        <w:rPr>
          <w:noProof/>
        </w:rPr>
        <w:t xml:space="preserve"> and in point</w:t>
      </w:r>
      <w:r w:rsidR="00DF4267">
        <w:rPr>
          <w:noProof/>
        </w:rPr>
        <w:t>s</w:t>
      </w:r>
      <w:r w:rsidR="001F4B2A" w:rsidRPr="00185722">
        <w:rPr>
          <w:noProof/>
        </w:rPr>
        <w:t xml:space="preserve"> (1)(a), (b), (c), (d), (e)</w:t>
      </w:r>
      <w:r w:rsidR="007856D7">
        <w:rPr>
          <w:noProof/>
        </w:rPr>
        <w:t xml:space="preserve">, </w:t>
      </w:r>
      <w:r w:rsidR="001F4B2A" w:rsidRPr="00185722">
        <w:rPr>
          <w:noProof/>
        </w:rPr>
        <w:t xml:space="preserve">(f) and (h) and point (2) of Annex II </w:t>
      </w:r>
      <w:r w:rsidR="001F4B2A" w:rsidRPr="00185722">
        <w:rPr>
          <w:rFonts w:eastAsia="Times New Roman"/>
          <w:noProof/>
          <w:color w:val="000000" w:themeColor="text1"/>
          <w:lang w:eastAsia="en-IE"/>
        </w:rPr>
        <w:t xml:space="preserve">and under the competence of national regulatory authorities </w:t>
      </w:r>
      <w:r w:rsidR="001F4B2A" w:rsidRPr="00185722">
        <w:rPr>
          <w:noProof/>
        </w:rPr>
        <w:t>shall also be eligible for Union financial assistance in the form of grants for works where they fulfil all of the following criteria:</w:t>
      </w:r>
    </w:p>
    <w:p w14:paraId="0B19562C" w14:textId="713B4B8D" w:rsidR="001F4B2A" w:rsidRPr="00185722" w:rsidRDefault="00C44DD6" w:rsidP="00C44DD6">
      <w:pPr>
        <w:pStyle w:val="Point1"/>
        <w:rPr>
          <w:noProof/>
        </w:rPr>
      </w:pPr>
      <w:r w:rsidRPr="00C44DD6">
        <w:rPr>
          <w:noProof/>
        </w:rPr>
        <w:t>(a)</w:t>
      </w:r>
      <w:r w:rsidRPr="00C44DD6">
        <w:rPr>
          <w:noProof/>
        </w:rPr>
        <w:tab/>
      </w:r>
      <w:r w:rsidR="001F4B2A">
        <w:rPr>
          <w:noProof/>
        </w:rPr>
        <w:t>the project specific cost-benefit analysis drawn up pursuant to Article 1</w:t>
      </w:r>
      <w:r w:rsidR="77FC4C22">
        <w:rPr>
          <w:noProof/>
        </w:rPr>
        <w:t>7</w:t>
      </w:r>
      <w:r w:rsidR="001F4B2A">
        <w:rPr>
          <w:noProof/>
        </w:rPr>
        <w:t>(4), point (a), provides evidence concerning the existence of significant positive externalities, such as security of supply, system flexibility, solidarity or innovation;</w:t>
      </w:r>
    </w:p>
    <w:p w14:paraId="660B8FC1" w14:textId="271BD15B" w:rsidR="001F4B2A" w:rsidRPr="00185722" w:rsidRDefault="00C44DD6" w:rsidP="00C44DD6">
      <w:pPr>
        <w:pStyle w:val="Point1"/>
        <w:rPr>
          <w:noProof/>
        </w:rPr>
      </w:pPr>
      <w:r w:rsidRPr="00C44DD6">
        <w:rPr>
          <w:noProof/>
        </w:rPr>
        <w:t>(b)</w:t>
      </w:r>
      <w:r w:rsidRPr="00C44DD6">
        <w:rPr>
          <w:noProof/>
        </w:rPr>
        <w:tab/>
      </w:r>
      <w:r w:rsidR="001F4B2A" w:rsidRPr="00185722">
        <w:rPr>
          <w:noProof/>
        </w:rPr>
        <w:t>the project has received a cross-border cost allocation decision pursuant to Article 17;</w:t>
      </w:r>
    </w:p>
    <w:p w14:paraId="6496BAAC" w14:textId="24854103" w:rsidR="001F4B2A" w:rsidRPr="00185722" w:rsidRDefault="00C44DD6" w:rsidP="00C44DD6">
      <w:pPr>
        <w:pStyle w:val="Point1"/>
        <w:rPr>
          <w:noProof/>
        </w:rPr>
      </w:pPr>
      <w:bookmarkStart w:id="30" w:name="_Hlk207277813"/>
      <w:r w:rsidRPr="00C44DD6">
        <w:rPr>
          <w:noProof/>
        </w:rPr>
        <w:t>(c)</w:t>
      </w:r>
      <w:r w:rsidRPr="00C44DD6">
        <w:rPr>
          <w:noProof/>
        </w:rPr>
        <w:tab/>
      </w:r>
      <w:r w:rsidR="001F4B2A" w:rsidRPr="00185722">
        <w:rPr>
          <w:noProof/>
        </w:rPr>
        <w:t xml:space="preserve">the project cannot be financed by the market or through the </w:t>
      </w:r>
      <w:r w:rsidR="001F4B2A" w:rsidRPr="00185722">
        <w:rPr>
          <w:noProof/>
          <w:lang w:eastAsia="en-IE"/>
        </w:rPr>
        <w:t>regulatory</w:t>
      </w:r>
      <w:r w:rsidR="001F4B2A" w:rsidRPr="00185722">
        <w:rPr>
          <w:noProof/>
        </w:rPr>
        <w:t xml:space="preserve"> framework in accordance with the business plan and other assessments, in particular those carried out by potential investors, creditors or the national regulatory authority, taking into account any decision on incentives and reasons referred to in Article </w:t>
      </w:r>
      <w:r w:rsidR="007B7256">
        <w:rPr>
          <w:noProof/>
        </w:rPr>
        <w:t>20</w:t>
      </w:r>
      <w:r w:rsidR="001F4B2A" w:rsidRPr="00185722">
        <w:rPr>
          <w:noProof/>
        </w:rPr>
        <w:t>(2) when assessing the project’s need for Union financial assistance.</w:t>
      </w:r>
    </w:p>
    <w:bookmarkEnd w:id="30"/>
    <w:p w14:paraId="05845758" w14:textId="5E169CAB" w:rsidR="001F4B2A" w:rsidRPr="00185722" w:rsidRDefault="00C44DD6" w:rsidP="00C44DD6">
      <w:pPr>
        <w:pStyle w:val="ManualNumPar1"/>
        <w:rPr>
          <w:noProof/>
        </w:rPr>
      </w:pPr>
      <w:r w:rsidRPr="00C44DD6">
        <w:rPr>
          <w:noProof/>
        </w:rPr>
        <w:t>3.</w:t>
      </w:r>
      <w:r w:rsidRPr="00C44DD6">
        <w:rPr>
          <w:noProof/>
        </w:rPr>
        <w:tab/>
      </w:r>
      <w:r w:rsidR="001F4B2A" w:rsidRPr="00185722">
        <w:rPr>
          <w:noProof/>
        </w:rPr>
        <w:t>Projects of common interest carried out in accordance with the procedure referred to in Article 5(7), point (d), shall also be eligible for Union financial assistance in the form of grants for works where they fulfil the criteria set out in paragraph 2 of this Article.</w:t>
      </w:r>
    </w:p>
    <w:p w14:paraId="41176BF0" w14:textId="1CDCCFA5" w:rsidR="001F4B2A" w:rsidRPr="00185722" w:rsidRDefault="00C44DD6" w:rsidP="00C44DD6">
      <w:pPr>
        <w:pStyle w:val="ManualNumPar1"/>
        <w:rPr>
          <w:rFonts w:eastAsia="Times New Roman"/>
          <w:noProof/>
          <w:color w:val="000000"/>
          <w:lang w:val="hr-HR" w:eastAsia="en-IE" w:bidi="hr-HR"/>
        </w:rPr>
      </w:pPr>
      <w:r w:rsidRPr="00C44DD6">
        <w:rPr>
          <w:noProof/>
        </w:rPr>
        <w:t>4.</w:t>
      </w:r>
      <w:r w:rsidRPr="00C44DD6">
        <w:rPr>
          <w:noProof/>
        </w:rPr>
        <w:tab/>
      </w:r>
      <w:r w:rsidR="001F4B2A" w:rsidRPr="00185722">
        <w:rPr>
          <w:noProof/>
          <w:color w:val="000000"/>
        </w:rPr>
        <w:t xml:space="preserve">Projects of common interest falling under the energy infrastructure categories set out in </w:t>
      </w:r>
      <w:r w:rsidR="001F4B2A" w:rsidRPr="00185722">
        <w:rPr>
          <w:noProof/>
        </w:rPr>
        <w:t xml:space="preserve">Annex II </w:t>
      </w:r>
      <w:r w:rsidR="001F4B2A" w:rsidRPr="00185722">
        <w:rPr>
          <w:noProof/>
          <w:lang w:eastAsia="en-IE"/>
        </w:rPr>
        <w:t xml:space="preserve">other than those referred to in </w:t>
      </w:r>
      <w:r w:rsidR="001F4B2A" w:rsidRPr="00C84F82">
        <w:rPr>
          <w:noProof/>
          <w:lang w:eastAsia="en-IE"/>
        </w:rPr>
        <w:t>paragraph 2</w:t>
      </w:r>
      <w:r w:rsidR="001F4B2A" w:rsidRPr="00C84F82">
        <w:rPr>
          <w:rFonts w:eastAsia="Times New Roman"/>
          <w:noProof/>
          <w:lang w:eastAsia="en-IE"/>
        </w:rPr>
        <w:t>, with the exception of the infrastructure category set out in point (3) of that Annex</w:t>
      </w:r>
      <w:r w:rsidR="001F4B2A" w:rsidRPr="00185722">
        <w:rPr>
          <w:rFonts w:eastAsia="Times New Roman"/>
          <w:noProof/>
          <w:color w:val="000000"/>
          <w:lang w:eastAsia="en-IE"/>
        </w:rPr>
        <w:t xml:space="preserve"> </w:t>
      </w:r>
      <w:r w:rsidR="001F4B2A" w:rsidRPr="00185722">
        <w:rPr>
          <w:noProof/>
          <w:color w:val="000000"/>
        </w:rPr>
        <w:t>shall also be eligible for Union financial assistance in the form of grants for works</w:t>
      </w:r>
      <w:r w:rsidR="001F4B2A" w:rsidRPr="00185722">
        <w:rPr>
          <w:noProof/>
        </w:rPr>
        <w:t xml:space="preserve"> </w:t>
      </w:r>
      <w:r w:rsidR="001F4B2A" w:rsidRPr="00185722">
        <w:rPr>
          <w:noProof/>
          <w:color w:val="000000"/>
        </w:rPr>
        <w:t xml:space="preserve">where </w:t>
      </w:r>
      <w:r w:rsidR="001F4B2A" w:rsidRPr="00185722">
        <w:rPr>
          <w:noProof/>
          <w:lang w:eastAsia="en-IE"/>
        </w:rPr>
        <w:t>they fulfil all of the following criteria:</w:t>
      </w:r>
    </w:p>
    <w:p w14:paraId="3A94AD08" w14:textId="5E0FBD44" w:rsidR="001F4B2A" w:rsidRPr="00185722" w:rsidRDefault="00C44DD6" w:rsidP="00C44DD6">
      <w:pPr>
        <w:pStyle w:val="Point1"/>
        <w:rPr>
          <w:noProof/>
          <w:lang w:eastAsia="en-IE"/>
        </w:rPr>
      </w:pPr>
      <w:r w:rsidRPr="00C44DD6">
        <w:rPr>
          <w:noProof/>
        </w:rPr>
        <w:t>(a)</w:t>
      </w:r>
      <w:r w:rsidRPr="00C44DD6">
        <w:rPr>
          <w:noProof/>
        </w:rPr>
        <w:tab/>
      </w:r>
      <w:r w:rsidR="001F4B2A" w:rsidRPr="00185722">
        <w:rPr>
          <w:noProof/>
          <w:lang w:eastAsia="en-IE"/>
        </w:rPr>
        <w:t>the</w:t>
      </w:r>
      <w:r w:rsidR="001F4B2A" w:rsidRPr="00185722">
        <w:rPr>
          <w:noProof/>
        </w:rPr>
        <w:t xml:space="preserve"> project </w:t>
      </w:r>
      <w:r w:rsidR="001F4B2A" w:rsidRPr="00185722">
        <w:rPr>
          <w:noProof/>
          <w:lang w:eastAsia="en-IE"/>
        </w:rPr>
        <w:t xml:space="preserve">specific cost-benefit analysis drawn up by the project promoter in application of the relevant cost-benefit analysis methodology developed in </w:t>
      </w:r>
      <w:r w:rsidR="00B0665C">
        <w:rPr>
          <w:noProof/>
          <w:lang w:eastAsia="en-IE"/>
        </w:rPr>
        <w:t>accordance</w:t>
      </w:r>
      <w:r w:rsidR="00B0665C" w:rsidRPr="00185722">
        <w:rPr>
          <w:noProof/>
          <w:lang w:eastAsia="en-IE"/>
        </w:rPr>
        <w:t xml:space="preserve"> </w:t>
      </w:r>
      <w:r w:rsidR="001F4B2A" w:rsidRPr="00185722">
        <w:rPr>
          <w:noProof/>
          <w:lang w:eastAsia="en-IE"/>
        </w:rPr>
        <w:t>with Article 11 provides evidence concerning the existence of significant positive externalities, such as security of supply, system flexibility, solidarity or innovation;</w:t>
      </w:r>
    </w:p>
    <w:p w14:paraId="74BED363" w14:textId="55314422" w:rsidR="001F4B2A" w:rsidRPr="001F4B2A" w:rsidRDefault="00C44DD6" w:rsidP="00C44DD6">
      <w:pPr>
        <w:pStyle w:val="Point1"/>
        <w:rPr>
          <w:noProof/>
          <w:lang w:eastAsia="en-IE"/>
        </w:rPr>
      </w:pPr>
      <w:r w:rsidRPr="00C44DD6">
        <w:rPr>
          <w:noProof/>
        </w:rPr>
        <w:t>(b)</w:t>
      </w:r>
      <w:r w:rsidRPr="00C44DD6">
        <w:rPr>
          <w:noProof/>
        </w:rPr>
        <w:tab/>
      </w:r>
      <w:r w:rsidR="001F4B2A" w:rsidRPr="001F4B2A">
        <w:rPr>
          <w:noProof/>
          <w:lang w:eastAsia="en-IE"/>
        </w:rPr>
        <w:t>the project cannot be financed by the market in accordance with the business plan drawn-up by the project promoter and other assessments, in particular those carried out by potential investors, creditors or the national regulatory authority;</w:t>
      </w:r>
    </w:p>
    <w:p w14:paraId="57C061BE" w14:textId="18D8EE0E" w:rsidR="001F4B2A" w:rsidRPr="001F4B2A" w:rsidRDefault="00C44DD6" w:rsidP="00C44DD6">
      <w:pPr>
        <w:pStyle w:val="Point1"/>
        <w:rPr>
          <w:noProof/>
        </w:rPr>
      </w:pPr>
      <w:r w:rsidRPr="00C44DD6">
        <w:rPr>
          <w:noProof/>
        </w:rPr>
        <w:t>(c)</w:t>
      </w:r>
      <w:r w:rsidRPr="00C44DD6">
        <w:rPr>
          <w:noProof/>
        </w:rPr>
        <w:tab/>
      </w:r>
      <w:r w:rsidR="001F4B2A" w:rsidRPr="001F4B2A">
        <w:rPr>
          <w:noProof/>
          <w:lang w:eastAsia="en-IE"/>
        </w:rPr>
        <w:t>the project has received</w:t>
      </w:r>
      <w:r w:rsidR="001F4B2A" w:rsidRPr="001F4B2A">
        <w:rPr>
          <w:noProof/>
        </w:rPr>
        <w:t xml:space="preserve"> an evaluation </w:t>
      </w:r>
      <w:r w:rsidR="001F4B2A" w:rsidRPr="001F4B2A">
        <w:rPr>
          <w:noProof/>
          <w:lang w:eastAsia="en-IE"/>
        </w:rPr>
        <w:t xml:space="preserve"> </w:t>
      </w:r>
      <w:r w:rsidR="001F4B2A" w:rsidRPr="001F4B2A">
        <w:rPr>
          <w:noProof/>
        </w:rPr>
        <w:t xml:space="preserve">carried out by the relevant national authority or, where applicable, the national regulatory authority, </w:t>
      </w:r>
      <w:r w:rsidR="001F4B2A" w:rsidRPr="001F4B2A">
        <w:rPr>
          <w:noProof/>
          <w:lang w:eastAsia="en-IE"/>
        </w:rPr>
        <w:t xml:space="preserve"> in consultation with the TSOs or relevant DSOs from the Member States where the project provides a significant net positive impact, that</w:t>
      </w:r>
      <w:r w:rsidR="001F4B2A" w:rsidRPr="001F4B2A">
        <w:rPr>
          <w:noProof/>
        </w:rPr>
        <w:t xml:space="preserve"> clearly </w:t>
      </w:r>
      <w:r w:rsidR="001F4B2A" w:rsidRPr="001F4B2A">
        <w:rPr>
          <w:noProof/>
          <w:lang w:eastAsia="en-IE"/>
        </w:rPr>
        <w:t>demonstrates the existence of</w:t>
      </w:r>
      <w:r w:rsidR="001F4B2A" w:rsidRPr="001F4B2A">
        <w:rPr>
          <w:noProof/>
        </w:rPr>
        <w:t xml:space="preserve"> significant positive </w:t>
      </w:r>
      <w:r w:rsidR="001F4B2A" w:rsidRPr="001F4B2A">
        <w:rPr>
          <w:noProof/>
          <w:lang w:eastAsia="en-IE"/>
        </w:rPr>
        <w:t>externalities</w:t>
      </w:r>
      <w:r w:rsidR="001F4B2A" w:rsidRPr="001F4B2A">
        <w:rPr>
          <w:noProof/>
        </w:rPr>
        <w:t xml:space="preserve">, such as security of supply, system flexibility, solidarity or innovation, generated by the </w:t>
      </w:r>
      <w:r w:rsidR="001F4B2A" w:rsidRPr="001F4B2A">
        <w:rPr>
          <w:noProof/>
          <w:lang w:eastAsia="en-IE"/>
        </w:rPr>
        <w:t>project and include an evaluation thereof, and provides</w:t>
      </w:r>
      <w:r w:rsidR="001F4B2A" w:rsidRPr="001F4B2A">
        <w:rPr>
          <w:noProof/>
        </w:rPr>
        <w:t xml:space="preserve"> clear evidence of their lack of commercial viability, in accordance with the cost-benefit analysis, the business plan and assessments carried out</w:t>
      </w:r>
      <w:r w:rsidR="001F4B2A" w:rsidRPr="001F4B2A">
        <w:rPr>
          <w:noProof/>
          <w:lang w:eastAsia="en-IE"/>
        </w:rPr>
        <w:t xml:space="preserve">  by the project promoter and potential investors or creditors and, where applicable, a national regulatory authority. </w:t>
      </w:r>
    </w:p>
    <w:p w14:paraId="0A729BB4" w14:textId="32844F0A" w:rsidR="00B0665C" w:rsidRDefault="00C44DD6" w:rsidP="00C44DD6">
      <w:pPr>
        <w:pStyle w:val="ManualNumPar1"/>
        <w:rPr>
          <w:noProof/>
        </w:rPr>
      </w:pPr>
      <w:r w:rsidRPr="00C44DD6">
        <w:rPr>
          <w:noProof/>
        </w:rPr>
        <w:t>5.</w:t>
      </w:r>
      <w:r w:rsidRPr="00C44DD6">
        <w:rPr>
          <w:noProof/>
        </w:rPr>
        <w:tab/>
      </w:r>
      <w:r w:rsidR="00B0665C" w:rsidRPr="001F4B2A">
        <w:rPr>
          <w:noProof/>
          <w:lang w:eastAsia="en-IE"/>
        </w:rPr>
        <w:t>Th</w:t>
      </w:r>
      <w:r w:rsidR="00B0665C">
        <w:rPr>
          <w:noProof/>
          <w:lang w:eastAsia="en-IE"/>
        </w:rPr>
        <w:t>e</w:t>
      </w:r>
      <w:r w:rsidR="00B0665C" w:rsidRPr="001F4B2A">
        <w:rPr>
          <w:noProof/>
          <w:lang w:eastAsia="en-IE"/>
        </w:rPr>
        <w:t xml:space="preserve"> evaluation</w:t>
      </w:r>
      <w:r w:rsidR="00B0665C">
        <w:rPr>
          <w:noProof/>
          <w:lang w:eastAsia="en-IE"/>
        </w:rPr>
        <w:t xml:space="preserve"> referred to in paragraph 4, point </w:t>
      </w:r>
      <w:r w:rsidR="00F23AC4">
        <w:rPr>
          <w:noProof/>
          <w:lang w:eastAsia="en-IE"/>
        </w:rPr>
        <w:t>(</w:t>
      </w:r>
      <w:r w:rsidR="00B0665C">
        <w:rPr>
          <w:noProof/>
          <w:lang w:eastAsia="en-IE"/>
        </w:rPr>
        <w:t>c), of this Article</w:t>
      </w:r>
      <w:r w:rsidR="00B0665C" w:rsidRPr="001F4B2A">
        <w:rPr>
          <w:noProof/>
          <w:lang w:eastAsia="en-IE"/>
        </w:rPr>
        <w:t xml:space="preserve"> shall be based on the scenario established under Article 11 and any existing </w:t>
      </w:r>
      <w:r w:rsidR="00B0665C">
        <w:rPr>
          <w:noProof/>
          <w:lang w:eastAsia="en-IE"/>
        </w:rPr>
        <w:t>sensitivity analyses</w:t>
      </w:r>
      <w:r w:rsidR="00B0665C" w:rsidRPr="001F4B2A">
        <w:rPr>
          <w:noProof/>
          <w:lang w:eastAsia="en-IE"/>
        </w:rPr>
        <w:t xml:space="preserve"> thereof and shall include an accurate evaluation and assessment  of the efficiently incurred costs, an accurate description of the benefits of the project including their split across borders for individual Member States or third countries including non-hosting countries, a description of the split of costs across-borders and of all financing sources relevant for the project and already certain.</w:t>
      </w:r>
    </w:p>
    <w:p w14:paraId="69CC0E85" w14:textId="54AAAB8E" w:rsidR="001F4B2A" w:rsidRPr="00185722" w:rsidRDefault="00C44DD6" w:rsidP="00C44DD6">
      <w:pPr>
        <w:pStyle w:val="ManualNumPar1"/>
        <w:rPr>
          <w:noProof/>
        </w:rPr>
      </w:pPr>
      <w:r w:rsidRPr="00C44DD6">
        <w:rPr>
          <w:noProof/>
        </w:rPr>
        <w:t>6.</w:t>
      </w:r>
      <w:r w:rsidRPr="00C44DD6">
        <w:rPr>
          <w:noProof/>
        </w:rPr>
        <w:tab/>
      </w:r>
      <w:r w:rsidR="001F4B2A" w:rsidRPr="00185722">
        <w:rPr>
          <w:noProof/>
        </w:rPr>
        <w:t xml:space="preserve">This Article shall apply </w:t>
      </w:r>
      <w:r w:rsidR="001F4B2A" w:rsidRPr="00AE58B8">
        <w:rPr>
          <w:i/>
          <w:noProof/>
        </w:rPr>
        <w:t>mutatis mutandis</w:t>
      </w:r>
      <w:r w:rsidR="001F4B2A" w:rsidRPr="00185722">
        <w:rPr>
          <w:noProof/>
        </w:rPr>
        <w:t xml:space="preserve"> to projects of mutual interest and bundles of projects pursuant to Article </w:t>
      </w:r>
      <w:r w:rsidR="006D6864">
        <w:rPr>
          <w:noProof/>
        </w:rPr>
        <w:t>18</w:t>
      </w:r>
      <w:r w:rsidR="001F4B2A" w:rsidRPr="00185722">
        <w:rPr>
          <w:noProof/>
        </w:rPr>
        <w:t>.</w:t>
      </w:r>
    </w:p>
    <w:p w14:paraId="5456051E" w14:textId="77777777" w:rsidR="001F4B2A" w:rsidRPr="00185722" w:rsidRDefault="001F4B2A" w:rsidP="001F4B2A">
      <w:pPr>
        <w:pStyle w:val="Text1"/>
        <w:rPr>
          <w:noProof/>
        </w:rPr>
      </w:pPr>
      <w:r w:rsidRPr="00185722">
        <w:rPr>
          <w:noProof/>
        </w:rPr>
        <w:t xml:space="preserve">Projects of mutual interest shall be eligible for Union financial assistance under conditions set out in Regulation (EU) 2021/1153. With regard to grants for works, projects of mutual interest shall be eligible for Union financial assistance provided that they fulfil the criteria set out in paragraph 2 </w:t>
      </w:r>
      <w:r w:rsidR="002F2901">
        <w:rPr>
          <w:noProof/>
        </w:rPr>
        <w:t>or</w:t>
      </w:r>
      <w:r w:rsidR="00DD5E4A">
        <w:rPr>
          <w:noProof/>
        </w:rPr>
        <w:t xml:space="preserve"> </w:t>
      </w:r>
      <w:r w:rsidR="000E4C9E">
        <w:rPr>
          <w:noProof/>
        </w:rPr>
        <w:t xml:space="preserve">4 </w:t>
      </w:r>
      <w:r w:rsidRPr="00185722">
        <w:rPr>
          <w:noProof/>
        </w:rPr>
        <w:t>of this Article</w:t>
      </w:r>
      <w:r w:rsidR="000E4C9E">
        <w:rPr>
          <w:noProof/>
        </w:rPr>
        <w:t>, as applicable,</w:t>
      </w:r>
      <w:r w:rsidRPr="00185722">
        <w:rPr>
          <w:noProof/>
        </w:rPr>
        <w:t xml:space="preserve"> and where the project contributes to the Union’s overall energy and climate policy objectives.</w:t>
      </w:r>
    </w:p>
    <w:p w14:paraId="030F32F5" w14:textId="77777777" w:rsidR="001F4B2A" w:rsidRPr="00185722" w:rsidRDefault="001F4B2A" w:rsidP="001F4B2A">
      <w:pPr>
        <w:pStyle w:val="Titrearticle"/>
        <w:rPr>
          <w:noProof/>
          <w:lang w:eastAsia="en-IE"/>
        </w:rPr>
      </w:pPr>
      <w:r w:rsidRPr="00185722">
        <w:rPr>
          <w:noProof/>
          <w:lang w:eastAsia="en-IE"/>
        </w:rPr>
        <w:t>Article 2</w:t>
      </w:r>
      <w:r w:rsidR="003A63CF">
        <w:rPr>
          <w:noProof/>
          <w:lang w:eastAsia="en-IE"/>
        </w:rPr>
        <w:t>2</w:t>
      </w:r>
    </w:p>
    <w:p w14:paraId="7922996C" w14:textId="77777777" w:rsidR="001F4B2A" w:rsidRPr="00CB3E4F" w:rsidRDefault="001F4B2A" w:rsidP="001F4B2A">
      <w:pPr>
        <w:pStyle w:val="Titrearticle"/>
        <w:rPr>
          <w:b/>
          <w:bCs/>
          <w:noProof/>
        </w:rPr>
      </w:pPr>
      <w:bookmarkStart w:id="31" w:name="bookmark87"/>
      <w:r w:rsidRPr="00CB3E4F">
        <w:rPr>
          <w:b/>
          <w:bCs/>
          <w:noProof/>
        </w:rPr>
        <w:t>Guidance for the award criteria of Union financial assistance</w:t>
      </w:r>
      <w:bookmarkEnd w:id="31"/>
    </w:p>
    <w:p w14:paraId="3F64BBD3" w14:textId="77777777" w:rsidR="002B0756" w:rsidRDefault="001F4B2A" w:rsidP="001F4B2A">
      <w:pPr>
        <w:pStyle w:val="Text1"/>
        <w:rPr>
          <w:noProof/>
        </w:rPr>
      </w:pPr>
      <w:r w:rsidRPr="001F4B2A">
        <w:rPr>
          <w:noProof/>
        </w:rPr>
        <w:t>The specific criteria set out in Article 4(3) of this Regulation and the parameters set out in Article 4(5) of this Regulation shall apply for the purpose of establishing award criteria for Union financial assistance under Regulation (EU) 2021/1153. For projects of common interest falling under Article 2</w:t>
      </w:r>
      <w:r w:rsidR="001F72D8">
        <w:rPr>
          <w:noProof/>
        </w:rPr>
        <w:t>7</w:t>
      </w:r>
      <w:r w:rsidRPr="001F4B2A">
        <w:rPr>
          <w:noProof/>
        </w:rPr>
        <w:t xml:space="preserve"> of this Regulation, in addition to the requirements provided by Article 2</w:t>
      </w:r>
      <w:r w:rsidR="001F72D8">
        <w:rPr>
          <w:noProof/>
        </w:rPr>
        <w:t>1</w:t>
      </w:r>
      <w:r w:rsidRPr="001F4B2A">
        <w:rPr>
          <w:noProof/>
        </w:rPr>
        <w:t>(2), the criteria of market integration, security of supply, competition and sustainability shall apply.</w:t>
      </w:r>
    </w:p>
    <w:p w14:paraId="16865450" w14:textId="77777777" w:rsidR="001F4B2A" w:rsidRPr="0074532C" w:rsidRDefault="001F4B2A" w:rsidP="001F4B2A">
      <w:pPr>
        <w:pStyle w:val="ChapterTitle"/>
        <w:rPr>
          <w:noProof/>
        </w:rPr>
      </w:pPr>
      <w:r w:rsidRPr="0074532C">
        <w:rPr>
          <w:noProof/>
        </w:rPr>
        <w:t>CHAPTER VIII</w:t>
      </w:r>
    </w:p>
    <w:p w14:paraId="3A5D3F8E" w14:textId="77777777" w:rsidR="001F4B2A" w:rsidRPr="0074532C" w:rsidRDefault="001F4B2A" w:rsidP="001F4B2A">
      <w:pPr>
        <w:pStyle w:val="ChapterTitle"/>
        <w:rPr>
          <w:noProof/>
        </w:rPr>
      </w:pPr>
      <w:r w:rsidRPr="0074532C">
        <w:rPr>
          <w:noProof/>
        </w:rPr>
        <w:t>Final provisions</w:t>
      </w:r>
    </w:p>
    <w:p w14:paraId="265BF0CC" w14:textId="77777777" w:rsidR="001F4B2A" w:rsidRPr="0074532C" w:rsidRDefault="001F4B2A" w:rsidP="001F4B2A">
      <w:pPr>
        <w:pStyle w:val="Titrearticle"/>
        <w:rPr>
          <w:noProof/>
        </w:rPr>
      </w:pPr>
      <w:r w:rsidRPr="0074532C">
        <w:rPr>
          <w:noProof/>
          <w:lang w:eastAsia="en-IE"/>
        </w:rPr>
        <w:t xml:space="preserve">Article </w:t>
      </w:r>
      <w:r w:rsidR="00CB3E4F" w:rsidRPr="0074532C">
        <w:rPr>
          <w:noProof/>
          <w:lang w:eastAsia="en-IE"/>
        </w:rPr>
        <w:t>2</w:t>
      </w:r>
      <w:r w:rsidR="00293678" w:rsidRPr="0074532C">
        <w:rPr>
          <w:noProof/>
          <w:lang w:eastAsia="en-IE"/>
        </w:rPr>
        <w:t>3</w:t>
      </w:r>
    </w:p>
    <w:p w14:paraId="30317D27" w14:textId="77777777" w:rsidR="001F4B2A" w:rsidRPr="00CB3E4F" w:rsidRDefault="001F4B2A" w:rsidP="001F4B2A">
      <w:pPr>
        <w:pStyle w:val="Titrearticle"/>
        <w:rPr>
          <w:b/>
          <w:bCs/>
          <w:noProof/>
        </w:rPr>
      </w:pPr>
      <w:r w:rsidRPr="00CB3E4F">
        <w:rPr>
          <w:b/>
          <w:bCs/>
          <w:noProof/>
        </w:rPr>
        <w:t>Exercise of the delegation</w:t>
      </w:r>
    </w:p>
    <w:p w14:paraId="759B2019" w14:textId="4AB9CAEC" w:rsidR="001F4B2A" w:rsidRPr="00D427DC" w:rsidRDefault="00C44DD6" w:rsidP="00C44DD6">
      <w:pPr>
        <w:pStyle w:val="ManualNumPar1"/>
        <w:rPr>
          <w:noProof/>
        </w:rPr>
      </w:pPr>
      <w:r w:rsidRPr="00C44DD6">
        <w:rPr>
          <w:noProof/>
        </w:rPr>
        <w:t>1.</w:t>
      </w:r>
      <w:r w:rsidRPr="00C44DD6">
        <w:rPr>
          <w:noProof/>
        </w:rPr>
        <w:tab/>
      </w:r>
      <w:r w:rsidR="001F4B2A" w:rsidRPr="00185722">
        <w:rPr>
          <w:noProof/>
        </w:rPr>
        <w:t xml:space="preserve">The power to adopt delegated acts is conferred on the Commission subject to the </w:t>
      </w:r>
      <w:r w:rsidR="001F4B2A" w:rsidRPr="00D427DC">
        <w:rPr>
          <w:noProof/>
        </w:rPr>
        <w:t>conditions laid down in this Article.</w:t>
      </w:r>
    </w:p>
    <w:p w14:paraId="5B2B649A" w14:textId="6C1A5EF5" w:rsidR="001F4B2A" w:rsidRPr="00D427DC" w:rsidRDefault="00C44DD6" w:rsidP="00C44DD6">
      <w:pPr>
        <w:pStyle w:val="ManualNumPar1"/>
        <w:rPr>
          <w:noProof/>
        </w:rPr>
      </w:pPr>
      <w:r w:rsidRPr="00C44DD6">
        <w:rPr>
          <w:noProof/>
        </w:rPr>
        <w:t>2.</w:t>
      </w:r>
      <w:r w:rsidRPr="00C44DD6">
        <w:rPr>
          <w:noProof/>
        </w:rPr>
        <w:tab/>
      </w:r>
      <w:r w:rsidR="001F4B2A" w:rsidRPr="00D427DC">
        <w:rPr>
          <w:noProof/>
        </w:rPr>
        <w:t>The power to adopt delegated acts referred to in Article 3(4), Article 11(</w:t>
      </w:r>
      <w:r w:rsidR="00D427DC" w:rsidRPr="00D427DC">
        <w:rPr>
          <w:noProof/>
        </w:rPr>
        <w:t>6</w:t>
      </w:r>
      <w:r w:rsidR="001F4B2A" w:rsidRPr="00D427DC">
        <w:rPr>
          <w:noProof/>
        </w:rPr>
        <w:t xml:space="preserve">) </w:t>
      </w:r>
      <w:r w:rsidR="00BC28CB" w:rsidRPr="00D427DC">
        <w:rPr>
          <w:noProof/>
        </w:rPr>
        <w:t xml:space="preserve">and </w:t>
      </w:r>
      <w:r w:rsidR="00C83EA7">
        <w:rPr>
          <w:noProof/>
        </w:rPr>
        <w:t xml:space="preserve">Article </w:t>
      </w:r>
      <w:r w:rsidR="00BC28CB" w:rsidRPr="00D427DC">
        <w:rPr>
          <w:noProof/>
        </w:rPr>
        <w:t>19(</w:t>
      </w:r>
      <w:r w:rsidR="00D427DC" w:rsidRPr="00D427DC">
        <w:rPr>
          <w:noProof/>
        </w:rPr>
        <w:t>4</w:t>
      </w:r>
      <w:r w:rsidR="00BC28CB" w:rsidRPr="00D427DC">
        <w:rPr>
          <w:noProof/>
        </w:rPr>
        <w:t xml:space="preserve">) </w:t>
      </w:r>
      <w:r w:rsidR="001F4B2A" w:rsidRPr="00D427DC">
        <w:rPr>
          <w:noProof/>
        </w:rPr>
        <w:t xml:space="preserve">shall be conferred on the Commission for a period of seven years from 23 June </w:t>
      </w:r>
      <w:r w:rsidR="001F4B2A" w:rsidRPr="00D427DC">
        <w:rPr>
          <w:rFonts w:eastAsia="Times New Roman"/>
          <w:noProof/>
          <w:lang w:eastAsia="en-IE"/>
        </w:rPr>
        <w:t>2027</w:t>
      </w:r>
      <w:r w:rsidR="001F4B2A" w:rsidRPr="00D427DC">
        <w:rPr>
          <w:noProof/>
        </w:rPr>
        <w:t>. The Commission shall draw up a report in respect of the delegation of power not later than nine months before the end of the seven-year period. The delegation of power shall be tacitly extended for periods of an identical duration, unless the European Parliament or the Council opposes such extension not later than three months before the end of each period.</w:t>
      </w:r>
    </w:p>
    <w:p w14:paraId="2ABF5C29" w14:textId="3FFD1BA5" w:rsidR="001F4B2A" w:rsidRPr="001F4B2A" w:rsidRDefault="00C44DD6" w:rsidP="00C44DD6">
      <w:pPr>
        <w:pStyle w:val="ManualNumPar1"/>
        <w:rPr>
          <w:noProof/>
          <w:color w:val="000000"/>
        </w:rPr>
      </w:pPr>
      <w:r w:rsidRPr="00C44DD6">
        <w:rPr>
          <w:noProof/>
        </w:rPr>
        <w:t>3.</w:t>
      </w:r>
      <w:r w:rsidRPr="00C44DD6">
        <w:rPr>
          <w:noProof/>
        </w:rPr>
        <w:tab/>
      </w:r>
      <w:r w:rsidR="001F4B2A" w:rsidRPr="00185722">
        <w:rPr>
          <w:noProof/>
        </w:rPr>
        <w:t xml:space="preserve">The </w:t>
      </w:r>
      <w:r w:rsidR="001F4B2A" w:rsidRPr="00D427DC">
        <w:rPr>
          <w:noProof/>
        </w:rPr>
        <w:t xml:space="preserve">delegation of power referred </w:t>
      </w:r>
      <w:r w:rsidR="00FC5402" w:rsidRPr="00D427DC">
        <w:rPr>
          <w:noProof/>
        </w:rPr>
        <w:t>to</w:t>
      </w:r>
      <w:r w:rsidR="001F4B2A" w:rsidRPr="00D427DC">
        <w:rPr>
          <w:noProof/>
        </w:rPr>
        <w:t xml:space="preserve"> in </w:t>
      </w:r>
      <w:r w:rsidR="00FC5402" w:rsidRPr="00D427DC">
        <w:rPr>
          <w:noProof/>
        </w:rPr>
        <w:t>Article 3(4), Article 11(</w:t>
      </w:r>
      <w:r w:rsidR="00D427DC" w:rsidRPr="00D427DC">
        <w:rPr>
          <w:noProof/>
        </w:rPr>
        <w:t>6</w:t>
      </w:r>
      <w:r w:rsidR="00FC5402" w:rsidRPr="00D427DC">
        <w:rPr>
          <w:noProof/>
        </w:rPr>
        <w:t>) and 19(</w:t>
      </w:r>
      <w:r w:rsidR="00D427DC" w:rsidRPr="00D427DC">
        <w:rPr>
          <w:noProof/>
        </w:rPr>
        <w:t>4</w:t>
      </w:r>
      <w:r w:rsidR="00FC5402" w:rsidRPr="00D427DC">
        <w:rPr>
          <w:noProof/>
        </w:rPr>
        <w:t xml:space="preserve">) </w:t>
      </w:r>
      <w:r w:rsidR="001F4B2A" w:rsidRPr="00D427DC">
        <w:rPr>
          <w:noProof/>
        </w:rPr>
        <w:t>may be revoked at any time by the European Parliament or by the Council. A decision to revoke shall put an end to the delegation of the power specified in that decision. It shall take effect the day following the publication of the decision in the</w:t>
      </w:r>
      <w:r w:rsidR="001F4B2A" w:rsidRPr="00D427DC">
        <w:rPr>
          <w:rFonts w:eastAsia="Times New Roman"/>
          <w:noProof/>
          <w:lang w:eastAsia="en-IE"/>
        </w:rPr>
        <w:t> </w:t>
      </w:r>
      <w:r w:rsidR="001F4B2A" w:rsidRPr="00D427DC">
        <w:rPr>
          <w:noProof/>
        </w:rPr>
        <w:t>Official Journal of the European Union</w:t>
      </w:r>
      <w:r w:rsidR="001F4B2A" w:rsidRPr="00D427DC">
        <w:rPr>
          <w:rFonts w:eastAsia="Times New Roman"/>
          <w:noProof/>
          <w:lang w:eastAsia="en-IE"/>
        </w:rPr>
        <w:t> </w:t>
      </w:r>
      <w:r w:rsidR="001F4B2A" w:rsidRPr="00D427DC">
        <w:rPr>
          <w:noProof/>
        </w:rPr>
        <w:t>or at a later date specified therein. It shall not affect the validity of any delegated acts already in force.</w:t>
      </w:r>
    </w:p>
    <w:p w14:paraId="0A3F602C" w14:textId="5A4C664A" w:rsidR="001F4B2A" w:rsidRPr="00185722" w:rsidRDefault="00C44DD6" w:rsidP="00C44DD6">
      <w:pPr>
        <w:pStyle w:val="ManualNumPar1"/>
        <w:rPr>
          <w:noProof/>
        </w:rPr>
      </w:pPr>
      <w:r w:rsidRPr="00C44DD6">
        <w:rPr>
          <w:noProof/>
        </w:rPr>
        <w:t>4.</w:t>
      </w:r>
      <w:r w:rsidRPr="00C44DD6">
        <w:rPr>
          <w:noProof/>
        </w:rPr>
        <w:tab/>
      </w:r>
      <w:r w:rsidR="001F4B2A" w:rsidRPr="00185722">
        <w:rPr>
          <w:noProof/>
        </w:rPr>
        <w:t xml:space="preserve">Before adopting a delegated act, the Commission shall consult experts designated by each Member State in accordance with the </w:t>
      </w:r>
      <w:r w:rsidR="001F4B2A" w:rsidRPr="001F4B2A">
        <w:rPr>
          <w:rFonts w:eastAsia="Times New Roman"/>
          <w:noProof/>
          <w:lang w:eastAsia="en-IE"/>
        </w:rPr>
        <w:t>principles</w:t>
      </w:r>
      <w:r w:rsidR="001F4B2A" w:rsidRPr="00185722">
        <w:rPr>
          <w:noProof/>
        </w:rPr>
        <w:t xml:space="preserve"> laid down in the Interinstitutional Agreement of 13 April 2016 on Better Law-Making.</w:t>
      </w:r>
    </w:p>
    <w:p w14:paraId="3C593234" w14:textId="1C3C8F26" w:rsidR="001F4B2A" w:rsidRPr="00185722" w:rsidRDefault="00C44DD6" w:rsidP="00C44DD6">
      <w:pPr>
        <w:pStyle w:val="ManualNumPar1"/>
        <w:rPr>
          <w:noProof/>
        </w:rPr>
      </w:pPr>
      <w:r w:rsidRPr="00C44DD6">
        <w:rPr>
          <w:noProof/>
        </w:rPr>
        <w:t>5.</w:t>
      </w:r>
      <w:r w:rsidRPr="00C44DD6">
        <w:rPr>
          <w:noProof/>
        </w:rPr>
        <w:tab/>
      </w:r>
      <w:r w:rsidR="001F4B2A" w:rsidRPr="00185722">
        <w:rPr>
          <w:noProof/>
        </w:rPr>
        <w:t>As soon as it adopts a delegated act, the Commission shall notify it simultaneously to the European Parliament and to the Council.</w:t>
      </w:r>
    </w:p>
    <w:p w14:paraId="44E7D3E6" w14:textId="1E396DF8" w:rsidR="001F4B2A" w:rsidRPr="00185722" w:rsidRDefault="00C44DD6" w:rsidP="00C44DD6">
      <w:pPr>
        <w:pStyle w:val="ManualNumPar1"/>
        <w:rPr>
          <w:noProof/>
        </w:rPr>
      </w:pPr>
      <w:r w:rsidRPr="00C44DD6">
        <w:rPr>
          <w:noProof/>
        </w:rPr>
        <w:t>6.</w:t>
      </w:r>
      <w:r w:rsidRPr="00C44DD6">
        <w:rPr>
          <w:noProof/>
        </w:rPr>
        <w:tab/>
      </w:r>
      <w:r w:rsidR="001F4B2A" w:rsidRPr="00185722">
        <w:rPr>
          <w:noProof/>
        </w:rPr>
        <w:t xml:space="preserve">A delegated act adopted pursuant to </w:t>
      </w:r>
      <w:r w:rsidR="001F4B2A" w:rsidRPr="00FD0737">
        <w:rPr>
          <w:noProof/>
        </w:rPr>
        <w:t>Article 3(4</w:t>
      </w:r>
      <w:r w:rsidR="00501658" w:rsidRPr="00FD0737">
        <w:rPr>
          <w:noProof/>
        </w:rPr>
        <w:t>), Article 11(</w:t>
      </w:r>
      <w:r w:rsidR="00FD0737" w:rsidRPr="00FD0737">
        <w:rPr>
          <w:noProof/>
        </w:rPr>
        <w:t>6</w:t>
      </w:r>
      <w:r w:rsidR="00501658" w:rsidRPr="00FD0737">
        <w:rPr>
          <w:noProof/>
        </w:rPr>
        <w:t>) and</w:t>
      </w:r>
      <w:r w:rsidR="00C83EA7">
        <w:rPr>
          <w:noProof/>
        </w:rPr>
        <w:t xml:space="preserve"> Article</w:t>
      </w:r>
      <w:r w:rsidR="00501658" w:rsidRPr="00FD0737">
        <w:rPr>
          <w:noProof/>
        </w:rPr>
        <w:t xml:space="preserve"> 19(</w:t>
      </w:r>
      <w:r w:rsidR="00FD0737" w:rsidRPr="00FD0737">
        <w:rPr>
          <w:noProof/>
        </w:rPr>
        <w:t>4</w:t>
      </w:r>
      <w:r w:rsidR="00501658" w:rsidRPr="00FD0737">
        <w:rPr>
          <w:noProof/>
        </w:rPr>
        <w:t xml:space="preserve">) </w:t>
      </w:r>
      <w:r w:rsidR="001F4B2A" w:rsidRPr="00FD0737">
        <w:rPr>
          <w:noProof/>
        </w:rPr>
        <w:t>shall enter into force only if no objection has been expressed either by the European Parliament or the Council within a period of two months of notification of that act to the European Parliament and the Council or if, before</w:t>
      </w:r>
      <w:r w:rsidR="001F4B2A" w:rsidRPr="00185722">
        <w:rPr>
          <w:noProof/>
        </w:rPr>
        <w:t xml:space="preserve"> the expiry of that period, the European Parliament and the Council have both informed the Commission that they will not object. That period shall be extended by two months at the initiative of the European Parliament or of the Council.</w:t>
      </w:r>
    </w:p>
    <w:p w14:paraId="0CB904AF" w14:textId="77777777" w:rsidR="001F4B2A" w:rsidRPr="001F4B2A" w:rsidRDefault="001F4B2A" w:rsidP="001F4B2A">
      <w:pPr>
        <w:pStyle w:val="Titrearticle"/>
        <w:rPr>
          <w:noProof/>
          <w:lang w:eastAsia="en-IE"/>
        </w:rPr>
      </w:pPr>
      <w:r w:rsidRPr="001F4B2A">
        <w:rPr>
          <w:noProof/>
          <w:lang w:eastAsia="en-IE"/>
        </w:rPr>
        <w:t xml:space="preserve">Article </w:t>
      </w:r>
      <w:r w:rsidR="00CB3E4F">
        <w:rPr>
          <w:noProof/>
          <w:lang w:eastAsia="en-IE"/>
        </w:rPr>
        <w:t>2</w:t>
      </w:r>
      <w:r w:rsidR="00293678">
        <w:rPr>
          <w:noProof/>
          <w:lang w:eastAsia="en-IE"/>
        </w:rPr>
        <w:t>4</w:t>
      </w:r>
    </w:p>
    <w:p w14:paraId="30F57728" w14:textId="77777777" w:rsidR="001F4B2A" w:rsidRPr="00CB3E4F" w:rsidRDefault="001F4B2A" w:rsidP="001F4B2A">
      <w:pPr>
        <w:pStyle w:val="Titrearticle"/>
        <w:rPr>
          <w:b/>
          <w:bCs/>
          <w:noProof/>
        </w:rPr>
      </w:pPr>
      <w:r w:rsidRPr="00CB3E4F">
        <w:rPr>
          <w:b/>
          <w:bCs/>
          <w:noProof/>
        </w:rPr>
        <w:t>Reporting and evaluation</w:t>
      </w:r>
    </w:p>
    <w:p w14:paraId="53E8FB3E" w14:textId="77777777" w:rsidR="001F4B2A" w:rsidRPr="001F4B2A" w:rsidRDefault="001F4B2A" w:rsidP="00800CFF">
      <w:pPr>
        <w:pStyle w:val="Text1"/>
        <w:rPr>
          <w:noProof/>
        </w:rPr>
      </w:pPr>
      <w:r w:rsidRPr="001F4B2A">
        <w:rPr>
          <w:noProof/>
        </w:rPr>
        <w:t xml:space="preserve">By 30 June </w:t>
      </w:r>
      <w:r w:rsidRPr="001F4B2A">
        <w:rPr>
          <w:rFonts w:eastAsia="Times New Roman"/>
          <w:noProof/>
          <w:color w:val="000000" w:themeColor="text1"/>
          <w:lang w:eastAsia="en-IE"/>
        </w:rPr>
        <w:t>2032</w:t>
      </w:r>
      <w:r w:rsidRPr="001F4B2A">
        <w:rPr>
          <w:noProof/>
        </w:rPr>
        <w:t xml:space="preserve">, the Commission shall publish a report on the </w:t>
      </w:r>
      <w:r w:rsidRPr="001F4B2A">
        <w:rPr>
          <w:rFonts w:eastAsia="Times New Roman"/>
          <w:noProof/>
          <w:color w:val="000000" w:themeColor="text1"/>
          <w:lang w:eastAsia="en-IE"/>
        </w:rPr>
        <w:t>implementation</w:t>
      </w:r>
      <w:r w:rsidRPr="001F4B2A">
        <w:rPr>
          <w:noProof/>
        </w:rPr>
        <w:t xml:space="preserve"> of projects on the Union list and submit it to the European Parliament and the Council. That report shall provide an evaluation of:</w:t>
      </w:r>
    </w:p>
    <w:p w14:paraId="2BFB5ED4" w14:textId="7917B9A2" w:rsidR="001F4B2A" w:rsidRPr="001F4B2A" w:rsidRDefault="00C44DD6" w:rsidP="00C44DD6">
      <w:pPr>
        <w:pStyle w:val="Point1"/>
        <w:rPr>
          <w:noProof/>
        </w:rPr>
      </w:pPr>
      <w:r w:rsidRPr="00C44DD6">
        <w:rPr>
          <w:noProof/>
        </w:rPr>
        <w:t>(a)</w:t>
      </w:r>
      <w:r w:rsidRPr="00C44DD6">
        <w:rPr>
          <w:noProof/>
        </w:rPr>
        <w:tab/>
      </w:r>
      <w:r w:rsidR="001F4B2A" w:rsidRPr="001F4B2A">
        <w:rPr>
          <w:noProof/>
        </w:rPr>
        <w:t>the progress achieved in the planning, development, construction and commissioning of projects on the Union list, and, where relevant, delays in implementation and other difficulties encountered;</w:t>
      </w:r>
    </w:p>
    <w:p w14:paraId="6571B4AB" w14:textId="5FF5F07C" w:rsidR="001F4B2A" w:rsidRPr="001F4B2A" w:rsidRDefault="00C44DD6" w:rsidP="00C44DD6">
      <w:pPr>
        <w:pStyle w:val="Point1"/>
        <w:rPr>
          <w:noProof/>
        </w:rPr>
      </w:pPr>
      <w:r w:rsidRPr="00C44DD6">
        <w:rPr>
          <w:noProof/>
        </w:rPr>
        <w:t>(b)</w:t>
      </w:r>
      <w:r w:rsidRPr="00C44DD6">
        <w:rPr>
          <w:noProof/>
        </w:rPr>
        <w:tab/>
      </w:r>
      <w:r w:rsidR="001F4B2A" w:rsidRPr="001F4B2A">
        <w:rPr>
          <w:noProof/>
        </w:rPr>
        <w:t>the funds engaged and disbursed by the Union for projects on the Union list, compared to the total value of funded projects on the Union list;</w:t>
      </w:r>
    </w:p>
    <w:p w14:paraId="562CF32A" w14:textId="13FCAFEE" w:rsidR="001F4B2A" w:rsidRPr="001F4B2A" w:rsidRDefault="00C44DD6" w:rsidP="00C44DD6">
      <w:pPr>
        <w:pStyle w:val="Point1"/>
        <w:rPr>
          <w:noProof/>
        </w:rPr>
      </w:pPr>
      <w:r w:rsidRPr="00C44DD6">
        <w:rPr>
          <w:noProof/>
        </w:rPr>
        <w:t>(c)</w:t>
      </w:r>
      <w:r w:rsidRPr="00C44DD6">
        <w:rPr>
          <w:noProof/>
        </w:rPr>
        <w:tab/>
      </w:r>
      <w:r w:rsidR="001F4B2A" w:rsidRPr="001F4B2A">
        <w:rPr>
          <w:noProof/>
        </w:rPr>
        <w:t>the progress achieved in terms of integration of renewable energy sources, including offshore renewable energy sources, and reduced greenhouse gas emissions through the planning, development, construction and commissioning of projects on the Union list;</w:t>
      </w:r>
    </w:p>
    <w:p w14:paraId="15797371" w14:textId="3A8ED135" w:rsidR="001F4B2A" w:rsidRPr="001F4B2A" w:rsidRDefault="00C44DD6" w:rsidP="00C44DD6">
      <w:pPr>
        <w:pStyle w:val="Point1"/>
        <w:rPr>
          <w:noProof/>
        </w:rPr>
      </w:pPr>
      <w:r w:rsidRPr="00C44DD6">
        <w:rPr>
          <w:noProof/>
        </w:rPr>
        <w:t>(d)</w:t>
      </w:r>
      <w:r w:rsidRPr="00C44DD6">
        <w:rPr>
          <w:noProof/>
        </w:rPr>
        <w:tab/>
      </w:r>
      <w:r w:rsidR="001F4B2A" w:rsidRPr="001F4B2A">
        <w:rPr>
          <w:noProof/>
        </w:rPr>
        <w:t xml:space="preserve">for the electricity and hydrogen sectors, the evolution of the interconnection level between Member States, </w:t>
      </w:r>
      <w:r w:rsidR="001F4B2A" w:rsidRPr="001F4B2A">
        <w:rPr>
          <w:noProof/>
          <w:lang w:eastAsia="en-IE"/>
        </w:rPr>
        <w:t xml:space="preserve">and </w:t>
      </w:r>
      <w:r w:rsidR="001F4B2A" w:rsidRPr="001F4B2A">
        <w:rPr>
          <w:noProof/>
        </w:rPr>
        <w:t>the corresponding evolution of energy prices;</w:t>
      </w:r>
    </w:p>
    <w:p w14:paraId="6F4E8014" w14:textId="3D8BE2F6" w:rsidR="001F4B2A" w:rsidRPr="001F4B2A" w:rsidRDefault="00C44DD6" w:rsidP="00C44DD6">
      <w:pPr>
        <w:pStyle w:val="Point1"/>
        <w:rPr>
          <w:noProof/>
        </w:rPr>
      </w:pPr>
      <w:r w:rsidRPr="00C44DD6">
        <w:rPr>
          <w:noProof/>
        </w:rPr>
        <w:t>(e)</w:t>
      </w:r>
      <w:r w:rsidRPr="00C44DD6">
        <w:rPr>
          <w:noProof/>
        </w:rPr>
        <w:tab/>
      </w:r>
      <w:r w:rsidR="001F4B2A" w:rsidRPr="001F4B2A">
        <w:rPr>
          <w:noProof/>
        </w:rPr>
        <w:t>the permit</w:t>
      </w:r>
      <w:r w:rsidR="00382844">
        <w:rPr>
          <w:noProof/>
        </w:rPr>
        <w:t>-</w:t>
      </w:r>
      <w:r w:rsidR="001F4B2A" w:rsidRPr="001F4B2A">
        <w:rPr>
          <w:noProof/>
        </w:rPr>
        <w:t>granting process and public participation, in particular:</w:t>
      </w:r>
    </w:p>
    <w:p w14:paraId="31946ACA" w14:textId="77777777" w:rsidR="001F4B2A" w:rsidRPr="001F4B2A" w:rsidRDefault="00664163" w:rsidP="0031779B">
      <w:pPr>
        <w:pStyle w:val="Point2"/>
        <w:rPr>
          <w:noProof/>
        </w:rPr>
      </w:pPr>
      <w:r>
        <w:rPr>
          <w:noProof/>
          <w:lang w:eastAsia="en-IE"/>
        </w:rPr>
        <w:t>(i)</w:t>
      </w:r>
      <w:r w:rsidR="0031779B">
        <w:rPr>
          <w:noProof/>
          <w:lang w:eastAsia="en-IE"/>
        </w:rPr>
        <w:tab/>
      </w:r>
      <w:r w:rsidR="001F4B2A" w:rsidRPr="001F4B2A">
        <w:rPr>
          <w:noProof/>
        </w:rPr>
        <w:t>the average and maximum total duration of the permit</w:t>
      </w:r>
      <w:r w:rsidR="00382844">
        <w:rPr>
          <w:noProof/>
        </w:rPr>
        <w:t>-</w:t>
      </w:r>
      <w:r w:rsidR="001F4B2A" w:rsidRPr="001F4B2A">
        <w:rPr>
          <w:noProof/>
        </w:rPr>
        <w:t>granting process for projects on the Union list, including the duration of each step of the pre-application procedure, compared to the timing foreseen by the initial major milestones referred to in Article 10(</w:t>
      </w:r>
      <w:r w:rsidR="00AF0D51">
        <w:rPr>
          <w:noProof/>
        </w:rPr>
        <w:t>9</w:t>
      </w:r>
      <w:r w:rsidR="001F4B2A" w:rsidRPr="001F4B2A">
        <w:rPr>
          <w:noProof/>
        </w:rPr>
        <w:t>);</w:t>
      </w:r>
    </w:p>
    <w:p w14:paraId="25D19409" w14:textId="77777777" w:rsidR="001F4B2A" w:rsidRPr="001F4B2A" w:rsidRDefault="00664163" w:rsidP="0031779B">
      <w:pPr>
        <w:pStyle w:val="Point2"/>
        <w:rPr>
          <w:noProof/>
        </w:rPr>
      </w:pPr>
      <w:r>
        <w:rPr>
          <w:noProof/>
          <w:lang w:eastAsia="en-IE"/>
        </w:rPr>
        <w:t>(ii)</w:t>
      </w:r>
      <w:r w:rsidR="0031779B">
        <w:rPr>
          <w:noProof/>
          <w:lang w:eastAsia="en-IE"/>
        </w:rPr>
        <w:tab/>
      </w:r>
      <w:r w:rsidR="001F4B2A" w:rsidRPr="001F4B2A">
        <w:rPr>
          <w:noProof/>
        </w:rPr>
        <w:t>best and innovative practices with regard to stakeholder involvement;</w:t>
      </w:r>
    </w:p>
    <w:p w14:paraId="7428F023" w14:textId="77777777" w:rsidR="001F4B2A" w:rsidRPr="001F4B2A" w:rsidRDefault="00664163" w:rsidP="0031779B">
      <w:pPr>
        <w:pStyle w:val="Point2"/>
        <w:rPr>
          <w:noProof/>
        </w:rPr>
      </w:pPr>
      <w:r>
        <w:rPr>
          <w:noProof/>
          <w:lang w:eastAsia="en-IE"/>
        </w:rPr>
        <w:t>(iii)</w:t>
      </w:r>
      <w:r w:rsidR="0031779B">
        <w:rPr>
          <w:noProof/>
          <w:lang w:eastAsia="en-IE"/>
        </w:rPr>
        <w:tab/>
      </w:r>
      <w:r w:rsidR="001F4B2A" w:rsidRPr="001F4B2A">
        <w:rPr>
          <w:noProof/>
        </w:rPr>
        <w:t xml:space="preserve">best and innovative practices with regard to mitigation of </w:t>
      </w:r>
      <w:r w:rsidR="001F4B2A" w:rsidRPr="001F4B2A">
        <w:rPr>
          <w:noProof/>
          <w:lang w:eastAsia="en-IE"/>
        </w:rPr>
        <w:t>environmental</w:t>
      </w:r>
      <w:r w:rsidR="001F4B2A" w:rsidRPr="001F4B2A">
        <w:rPr>
          <w:noProof/>
        </w:rPr>
        <w:t xml:space="preserve"> impacts, including climate adaptation, during permit</w:t>
      </w:r>
      <w:r w:rsidR="00382844">
        <w:rPr>
          <w:noProof/>
        </w:rPr>
        <w:t>-</w:t>
      </w:r>
      <w:r w:rsidR="001F4B2A" w:rsidRPr="001F4B2A">
        <w:rPr>
          <w:noProof/>
        </w:rPr>
        <w:t>granting processes and project implementation;</w:t>
      </w:r>
    </w:p>
    <w:p w14:paraId="61916ADF" w14:textId="77777777" w:rsidR="001F4B2A" w:rsidRDefault="00664163" w:rsidP="0031779B">
      <w:pPr>
        <w:pStyle w:val="Point2"/>
        <w:rPr>
          <w:noProof/>
        </w:rPr>
      </w:pPr>
      <w:r>
        <w:rPr>
          <w:noProof/>
          <w:lang w:eastAsia="en-IE"/>
        </w:rPr>
        <w:t>(iv)</w:t>
      </w:r>
      <w:r w:rsidR="0031779B">
        <w:rPr>
          <w:noProof/>
          <w:lang w:eastAsia="en-IE"/>
        </w:rPr>
        <w:tab/>
      </w:r>
      <w:r w:rsidR="001F4B2A" w:rsidRPr="001F4B2A">
        <w:rPr>
          <w:noProof/>
        </w:rPr>
        <w:t>the effectiveness of the schemes provided for in Article 8(3) regarding compliance with the time limits set in Article 10(1) and (2);</w:t>
      </w:r>
    </w:p>
    <w:p w14:paraId="22BDC61B" w14:textId="77777777" w:rsidR="00F840AF" w:rsidRPr="001F4B2A" w:rsidRDefault="00664163" w:rsidP="00664163">
      <w:pPr>
        <w:pStyle w:val="Point2"/>
        <w:rPr>
          <w:noProof/>
        </w:rPr>
      </w:pPr>
      <w:r>
        <w:rPr>
          <w:noProof/>
        </w:rPr>
        <w:t>(v)</w:t>
      </w:r>
      <w:r>
        <w:rPr>
          <w:noProof/>
        </w:rPr>
        <w:tab/>
      </w:r>
      <w:r w:rsidR="009D64F4">
        <w:rPr>
          <w:noProof/>
        </w:rPr>
        <w:t>t</w:t>
      </w:r>
      <w:r w:rsidR="00415BC0">
        <w:rPr>
          <w:noProof/>
        </w:rPr>
        <w:t>he rate of digitalisation of permitting procedures;</w:t>
      </w:r>
    </w:p>
    <w:p w14:paraId="6565AC29" w14:textId="388E136C" w:rsidR="001F4B2A" w:rsidRPr="001F4B2A" w:rsidRDefault="00C44DD6" w:rsidP="00C44DD6">
      <w:pPr>
        <w:pStyle w:val="Point1"/>
        <w:rPr>
          <w:noProof/>
        </w:rPr>
      </w:pPr>
      <w:r w:rsidRPr="00C44DD6">
        <w:rPr>
          <w:noProof/>
        </w:rPr>
        <w:t>(f)</w:t>
      </w:r>
      <w:r w:rsidRPr="00C44DD6">
        <w:rPr>
          <w:noProof/>
        </w:rPr>
        <w:tab/>
      </w:r>
      <w:r w:rsidR="001F4B2A" w:rsidRPr="001F4B2A">
        <w:rPr>
          <w:noProof/>
        </w:rPr>
        <w:t>regulatory treatment, in particular:</w:t>
      </w:r>
    </w:p>
    <w:p w14:paraId="088A7D23" w14:textId="77777777" w:rsidR="001F4B2A" w:rsidRPr="001F4B2A" w:rsidRDefault="0031779B" w:rsidP="0031779B">
      <w:pPr>
        <w:pStyle w:val="Point2"/>
        <w:rPr>
          <w:noProof/>
        </w:rPr>
      </w:pPr>
      <w:r>
        <w:rPr>
          <w:noProof/>
          <w:lang w:eastAsia="en-IE"/>
        </w:rPr>
        <w:t>(i)</w:t>
      </w:r>
      <w:r>
        <w:rPr>
          <w:noProof/>
          <w:lang w:eastAsia="en-IE"/>
        </w:rPr>
        <w:tab/>
      </w:r>
      <w:r w:rsidR="001F4B2A" w:rsidRPr="001F4B2A">
        <w:rPr>
          <w:noProof/>
        </w:rPr>
        <w:t>the number of projects of common interest</w:t>
      </w:r>
      <w:r w:rsidR="00664163">
        <w:rPr>
          <w:noProof/>
        </w:rPr>
        <w:t>, or bundles of projects,</w:t>
      </w:r>
      <w:r w:rsidR="001F4B2A" w:rsidRPr="001F4B2A">
        <w:rPr>
          <w:noProof/>
        </w:rPr>
        <w:t xml:space="preserve"> having been granted a cross-border cost allocation decision pursuant to Article 17;</w:t>
      </w:r>
    </w:p>
    <w:p w14:paraId="43EF4BD5" w14:textId="77777777" w:rsidR="001F4B2A" w:rsidRPr="001F4B2A" w:rsidRDefault="0031779B" w:rsidP="0031779B">
      <w:pPr>
        <w:pStyle w:val="Point2"/>
        <w:rPr>
          <w:noProof/>
        </w:rPr>
      </w:pPr>
      <w:r>
        <w:rPr>
          <w:noProof/>
          <w:lang w:eastAsia="en-IE"/>
        </w:rPr>
        <w:t>(ii)</w:t>
      </w:r>
      <w:r>
        <w:rPr>
          <w:noProof/>
          <w:lang w:eastAsia="en-IE"/>
        </w:rPr>
        <w:tab/>
      </w:r>
      <w:r w:rsidR="001F4B2A" w:rsidRPr="001F4B2A">
        <w:rPr>
          <w:noProof/>
        </w:rPr>
        <w:t xml:space="preserve">the number and type of projects of common interest which received specific incentives pursuant to Article </w:t>
      </w:r>
      <w:r w:rsidR="00F03E67">
        <w:rPr>
          <w:noProof/>
        </w:rPr>
        <w:t>20</w:t>
      </w:r>
      <w:r w:rsidR="001F4B2A" w:rsidRPr="001F4B2A">
        <w:rPr>
          <w:noProof/>
        </w:rPr>
        <w:t>;</w:t>
      </w:r>
    </w:p>
    <w:p w14:paraId="4E3CF2FC" w14:textId="25869EFD" w:rsidR="001F4B2A" w:rsidRDefault="00C44DD6" w:rsidP="00C44DD6">
      <w:pPr>
        <w:pStyle w:val="Point1"/>
        <w:rPr>
          <w:noProof/>
        </w:rPr>
      </w:pPr>
      <w:r w:rsidRPr="00C44DD6">
        <w:rPr>
          <w:noProof/>
        </w:rPr>
        <w:t>(g)</w:t>
      </w:r>
      <w:r w:rsidRPr="00C44DD6">
        <w:rPr>
          <w:noProof/>
        </w:rPr>
        <w:tab/>
      </w:r>
      <w:r w:rsidR="001F4B2A" w:rsidRPr="001F4B2A">
        <w:rPr>
          <w:noProof/>
        </w:rPr>
        <w:t>the effectiveness of this Regulation in contributing to the Union</w:t>
      </w:r>
      <w:r w:rsidR="001F4B2A" w:rsidRPr="001F4B2A">
        <w:rPr>
          <w:noProof/>
          <w:lang w:eastAsia="en-IE"/>
        </w:rPr>
        <w:t xml:space="preserve"> </w:t>
      </w:r>
      <w:r w:rsidR="001F4B2A" w:rsidRPr="001F4B2A">
        <w:rPr>
          <w:noProof/>
        </w:rPr>
        <w:t>targets for energy and climate and the achievement of climate neutrality by 2050 at the latest</w:t>
      </w:r>
      <w:r w:rsidR="00A94793">
        <w:rPr>
          <w:noProof/>
        </w:rPr>
        <w:t>;</w:t>
      </w:r>
    </w:p>
    <w:p w14:paraId="134287C3" w14:textId="482A9AEF" w:rsidR="00A94793" w:rsidRDefault="00C44DD6" w:rsidP="00C44DD6">
      <w:pPr>
        <w:pStyle w:val="Point1"/>
        <w:rPr>
          <w:noProof/>
        </w:rPr>
      </w:pPr>
      <w:r w:rsidRPr="00C44DD6">
        <w:rPr>
          <w:noProof/>
        </w:rPr>
        <w:t>(h)</w:t>
      </w:r>
      <w:r w:rsidRPr="00C44DD6">
        <w:rPr>
          <w:noProof/>
        </w:rPr>
        <w:tab/>
      </w:r>
      <w:r w:rsidR="00A94793">
        <w:rPr>
          <w:noProof/>
        </w:rPr>
        <w:t>the improvement of physical and cyber security resilience of cross-border energy infrastructure;</w:t>
      </w:r>
    </w:p>
    <w:p w14:paraId="7A5F11FD" w14:textId="163346AA" w:rsidR="00664163" w:rsidRPr="001F4B2A" w:rsidRDefault="00C44DD6" w:rsidP="00C44DD6">
      <w:pPr>
        <w:pStyle w:val="Point1"/>
        <w:rPr>
          <w:noProof/>
        </w:rPr>
      </w:pPr>
      <w:r w:rsidRPr="00C44DD6">
        <w:rPr>
          <w:noProof/>
        </w:rPr>
        <w:t>(i)</w:t>
      </w:r>
      <w:r w:rsidRPr="00C44DD6">
        <w:rPr>
          <w:noProof/>
        </w:rPr>
        <w:tab/>
      </w:r>
      <w:r w:rsidR="00A94793">
        <w:rPr>
          <w:noProof/>
        </w:rPr>
        <w:t xml:space="preserve">the uptake of non-wire solutions in terms of number of projects and respective increase in grid capacity. </w:t>
      </w:r>
    </w:p>
    <w:p w14:paraId="2C42020F" w14:textId="77777777" w:rsidR="007328F1" w:rsidRPr="00185722" w:rsidRDefault="007328F1" w:rsidP="007328F1">
      <w:pPr>
        <w:pStyle w:val="Titrearticle"/>
        <w:rPr>
          <w:noProof/>
        </w:rPr>
      </w:pPr>
      <w:r w:rsidRPr="00185722">
        <w:rPr>
          <w:noProof/>
        </w:rPr>
        <w:t xml:space="preserve">Article </w:t>
      </w:r>
      <w:r w:rsidR="00CB3E4F">
        <w:rPr>
          <w:noProof/>
        </w:rPr>
        <w:t>2</w:t>
      </w:r>
      <w:r w:rsidR="00293678">
        <w:rPr>
          <w:noProof/>
        </w:rPr>
        <w:t>5</w:t>
      </w:r>
    </w:p>
    <w:p w14:paraId="7B55C9B2" w14:textId="77777777" w:rsidR="007328F1" w:rsidRPr="00CB3E4F" w:rsidRDefault="007328F1" w:rsidP="007328F1">
      <w:pPr>
        <w:pStyle w:val="Titrearticle"/>
        <w:rPr>
          <w:b/>
          <w:bCs/>
          <w:noProof/>
        </w:rPr>
      </w:pPr>
      <w:r w:rsidRPr="00CB3E4F">
        <w:rPr>
          <w:b/>
          <w:bCs/>
          <w:noProof/>
        </w:rPr>
        <w:t xml:space="preserve"> Review</w:t>
      </w:r>
    </w:p>
    <w:p w14:paraId="2527A01C" w14:textId="77777777" w:rsidR="007328F1" w:rsidRPr="00185722" w:rsidRDefault="007328F1" w:rsidP="007328F1">
      <w:pPr>
        <w:pStyle w:val="Text1"/>
        <w:rPr>
          <w:noProof/>
        </w:rPr>
      </w:pPr>
      <w:r w:rsidRPr="00185722">
        <w:rPr>
          <w:noProof/>
        </w:rPr>
        <w:t xml:space="preserve">By 30 June </w:t>
      </w:r>
      <w:r w:rsidRPr="00185722">
        <w:rPr>
          <w:rFonts w:eastAsia="Times New Roman"/>
          <w:noProof/>
          <w:lang w:eastAsia="en-IE"/>
        </w:rPr>
        <w:t>2033</w:t>
      </w:r>
      <w:r w:rsidRPr="00185722">
        <w:rPr>
          <w:noProof/>
        </w:rPr>
        <w:t>, the Commission shall carry out a review of this Regulation, on the basis of the results of the reporting and evaluation provided for in Article 2</w:t>
      </w:r>
      <w:r w:rsidR="002B3B03">
        <w:rPr>
          <w:noProof/>
        </w:rPr>
        <w:t>4</w:t>
      </w:r>
      <w:r w:rsidRPr="00185722">
        <w:rPr>
          <w:noProof/>
        </w:rPr>
        <w:t xml:space="preserve"> of this Regulation, as well as the monitoring, reporting and evaluation carried out pursuant to Articles 22 and 23 of Regulation (EU) 2021/1153.</w:t>
      </w:r>
    </w:p>
    <w:p w14:paraId="7C36221E" w14:textId="77777777" w:rsidR="007328F1" w:rsidRPr="00185722" w:rsidRDefault="007328F1" w:rsidP="007328F1">
      <w:pPr>
        <w:pStyle w:val="Titrearticle"/>
        <w:rPr>
          <w:noProof/>
        </w:rPr>
      </w:pPr>
      <w:r w:rsidRPr="00185722">
        <w:rPr>
          <w:noProof/>
          <w:lang w:eastAsia="en-IE"/>
        </w:rPr>
        <w:t xml:space="preserve">Article </w:t>
      </w:r>
      <w:r w:rsidR="00CB3E4F">
        <w:rPr>
          <w:noProof/>
          <w:lang w:eastAsia="en-IE"/>
        </w:rPr>
        <w:t>2</w:t>
      </w:r>
      <w:r w:rsidR="00293678">
        <w:rPr>
          <w:noProof/>
          <w:lang w:eastAsia="en-IE"/>
        </w:rPr>
        <w:t>6</w:t>
      </w:r>
    </w:p>
    <w:p w14:paraId="43C7D1D5" w14:textId="77777777" w:rsidR="007328F1" w:rsidRPr="00CB3E4F" w:rsidRDefault="007328F1" w:rsidP="007328F1">
      <w:pPr>
        <w:pStyle w:val="Titrearticle"/>
        <w:rPr>
          <w:b/>
          <w:bCs/>
          <w:noProof/>
        </w:rPr>
      </w:pPr>
      <w:r w:rsidRPr="00CB3E4F">
        <w:rPr>
          <w:b/>
          <w:bCs/>
          <w:noProof/>
        </w:rPr>
        <w:t>Information and publicity</w:t>
      </w:r>
    </w:p>
    <w:p w14:paraId="63C9B8CF" w14:textId="77777777" w:rsidR="007328F1" w:rsidRPr="00185722" w:rsidRDefault="007328F1" w:rsidP="007328F1">
      <w:pPr>
        <w:pStyle w:val="Text1"/>
        <w:rPr>
          <w:noProof/>
        </w:rPr>
      </w:pPr>
      <w:r w:rsidRPr="00185722">
        <w:rPr>
          <w:noProof/>
        </w:rPr>
        <w:t>The Commission shall establish and maintain a transparency platform easily accessible to the general public through the internet. The platform shall be regularly updated with information from</w:t>
      </w:r>
      <w:r w:rsidR="007612C5">
        <w:rPr>
          <w:noProof/>
        </w:rPr>
        <w:t>:</w:t>
      </w:r>
      <w:r w:rsidRPr="00185722">
        <w:rPr>
          <w:noProof/>
        </w:rPr>
        <w:t xml:space="preserve"> the reports referred to in Article 5(4</w:t>
      </w:r>
      <w:r w:rsidRPr="00185722">
        <w:rPr>
          <w:rFonts w:eastAsia="Times New Roman"/>
          <w:noProof/>
          <w:lang w:eastAsia="en-IE"/>
        </w:rPr>
        <w:t>)</w:t>
      </w:r>
      <w:r w:rsidR="007612C5">
        <w:rPr>
          <w:rFonts w:eastAsia="Times New Roman"/>
          <w:noProof/>
          <w:lang w:eastAsia="en-IE"/>
        </w:rPr>
        <w:t>;</w:t>
      </w:r>
      <w:r w:rsidRPr="00185722">
        <w:rPr>
          <w:noProof/>
        </w:rPr>
        <w:t xml:space="preserve"> the website referred to in Article 9(7</w:t>
      </w:r>
      <w:r w:rsidRPr="00185722">
        <w:rPr>
          <w:rFonts w:eastAsia="Times New Roman"/>
          <w:noProof/>
          <w:lang w:eastAsia="en-IE"/>
        </w:rPr>
        <w:t>)</w:t>
      </w:r>
      <w:r w:rsidR="007612C5">
        <w:rPr>
          <w:rFonts w:eastAsia="Times New Roman"/>
          <w:noProof/>
          <w:lang w:eastAsia="en-IE"/>
        </w:rPr>
        <w:t>;</w:t>
      </w:r>
      <w:r w:rsidRPr="00185722">
        <w:rPr>
          <w:rFonts w:eastAsia="Times New Roman"/>
          <w:noProof/>
          <w:lang w:eastAsia="en-IE"/>
        </w:rPr>
        <w:t xml:space="preserve"> </w:t>
      </w:r>
      <w:r w:rsidR="00C95F1C">
        <w:rPr>
          <w:rFonts w:eastAsia="Times New Roman"/>
          <w:noProof/>
          <w:lang w:eastAsia="en-IE"/>
        </w:rPr>
        <w:t>and</w:t>
      </w:r>
      <w:r w:rsidRPr="00185722">
        <w:rPr>
          <w:rFonts w:eastAsia="Times New Roman"/>
          <w:noProof/>
          <w:lang w:eastAsia="en-IE"/>
        </w:rPr>
        <w:t xml:space="preserve"> direct information from the project promoters as regards projects </w:t>
      </w:r>
      <w:r w:rsidR="002055A1">
        <w:rPr>
          <w:rFonts w:eastAsia="Times New Roman"/>
          <w:noProof/>
          <w:lang w:eastAsia="en-IE"/>
        </w:rPr>
        <w:t>no longer</w:t>
      </w:r>
      <w:r w:rsidR="002055A1" w:rsidRPr="00185722">
        <w:rPr>
          <w:rFonts w:eastAsia="Times New Roman"/>
          <w:noProof/>
          <w:lang w:eastAsia="en-IE"/>
        </w:rPr>
        <w:t xml:space="preserve"> </w:t>
      </w:r>
      <w:r w:rsidRPr="00185722">
        <w:rPr>
          <w:rFonts w:eastAsia="Times New Roman"/>
          <w:noProof/>
          <w:lang w:eastAsia="en-IE"/>
        </w:rPr>
        <w:t>on the Union list.</w:t>
      </w:r>
      <w:r w:rsidRPr="00185722">
        <w:rPr>
          <w:noProof/>
        </w:rPr>
        <w:t xml:space="preserve"> The platform shall contain the following information:</w:t>
      </w:r>
    </w:p>
    <w:p w14:paraId="4CC3D4A2" w14:textId="2E7D40FF" w:rsidR="007328F1" w:rsidRPr="00185722" w:rsidRDefault="00C44DD6" w:rsidP="00C44DD6">
      <w:pPr>
        <w:pStyle w:val="Point1"/>
        <w:rPr>
          <w:noProof/>
        </w:rPr>
      </w:pPr>
      <w:r w:rsidRPr="00C44DD6">
        <w:rPr>
          <w:noProof/>
        </w:rPr>
        <w:t>(a)</w:t>
      </w:r>
      <w:r w:rsidRPr="00C44DD6">
        <w:rPr>
          <w:noProof/>
        </w:rPr>
        <w:tab/>
      </w:r>
      <w:r w:rsidR="007328F1" w:rsidRPr="00185722">
        <w:rPr>
          <w:noProof/>
        </w:rPr>
        <w:t>general, updated information, including geographic information, for each project on the Union list;</w:t>
      </w:r>
    </w:p>
    <w:p w14:paraId="0FC13939" w14:textId="402D8CBF" w:rsidR="007328F1" w:rsidRPr="00185722" w:rsidRDefault="00C44DD6" w:rsidP="00C44DD6">
      <w:pPr>
        <w:pStyle w:val="Point1"/>
        <w:rPr>
          <w:noProof/>
        </w:rPr>
      </w:pPr>
      <w:r w:rsidRPr="00C44DD6">
        <w:rPr>
          <w:noProof/>
        </w:rPr>
        <w:t>(b)</w:t>
      </w:r>
      <w:r w:rsidRPr="00C44DD6">
        <w:rPr>
          <w:noProof/>
        </w:rPr>
        <w:tab/>
      </w:r>
      <w:r w:rsidR="007328F1" w:rsidRPr="00185722">
        <w:rPr>
          <w:noProof/>
        </w:rPr>
        <w:t>the implementation plan as set out in Article 5(1) for each project on the Union list, presented in a manner that allows the assessment of the progress in implementation at any time;</w:t>
      </w:r>
    </w:p>
    <w:p w14:paraId="02BD088B" w14:textId="781B08CD" w:rsidR="007328F1" w:rsidRPr="00185722" w:rsidRDefault="00C44DD6" w:rsidP="00C44DD6">
      <w:pPr>
        <w:pStyle w:val="Point1"/>
        <w:rPr>
          <w:noProof/>
        </w:rPr>
      </w:pPr>
      <w:r w:rsidRPr="00C44DD6">
        <w:rPr>
          <w:noProof/>
        </w:rPr>
        <w:t>(c)</w:t>
      </w:r>
      <w:r w:rsidRPr="00C44DD6">
        <w:rPr>
          <w:noProof/>
        </w:rPr>
        <w:tab/>
      </w:r>
      <w:r w:rsidR="007328F1" w:rsidRPr="00185722">
        <w:rPr>
          <w:noProof/>
        </w:rPr>
        <w:t>the main expected benefits and contribution to the objectives referred to in Article 1(1) and the costs of the projects except for any commercially sensitive information;</w:t>
      </w:r>
    </w:p>
    <w:p w14:paraId="28FD5EE4" w14:textId="755279E4" w:rsidR="007328F1" w:rsidRPr="00185722" w:rsidRDefault="00C44DD6" w:rsidP="00C44DD6">
      <w:pPr>
        <w:pStyle w:val="Point1"/>
        <w:rPr>
          <w:noProof/>
        </w:rPr>
      </w:pPr>
      <w:r w:rsidRPr="00C44DD6">
        <w:rPr>
          <w:noProof/>
        </w:rPr>
        <w:t>(d)</w:t>
      </w:r>
      <w:r w:rsidRPr="00C44DD6">
        <w:rPr>
          <w:noProof/>
        </w:rPr>
        <w:tab/>
      </w:r>
      <w:r w:rsidR="007328F1" w:rsidRPr="00185722">
        <w:rPr>
          <w:noProof/>
        </w:rPr>
        <w:t>the Union list;</w:t>
      </w:r>
    </w:p>
    <w:p w14:paraId="1B2E129F" w14:textId="770426D4" w:rsidR="007328F1" w:rsidRPr="00185722" w:rsidRDefault="00C44DD6" w:rsidP="00C44DD6">
      <w:pPr>
        <w:pStyle w:val="Point1"/>
        <w:rPr>
          <w:noProof/>
        </w:rPr>
      </w:pPr>
      <w:r w:rsidRPr="00C44DD6">
        <w:rPr>
          <w:noProof/>
        </w:rPr>
        <w:t>(e)</w:t>
      </w:r>
      <w:r w:rsidRPr="00C44DD6">
        <w:rPr>
          <w:noProof/>
        </w:rPr>
        <w:tab/>
      </w:r>
      <w:r w:rsidR="007328F1" w:rsidRPr="00185722">
        <w:rPr>
          <w:noProof/>
        </w:rPr>
        <w:t>the funds allocated and disbursed by the Union for each project on the Union list;</w:t>
      </w:r>
    </w:p>
    <w:p w14:paraId="518D144F" w14:textId="11DD6F51" w:rsidR="007328F1" w:rsidRPr="00185722" w:rsidRDefault="00C44DD6" w:rsidP="00C44DD6">
      <w:pPr>
        <w:pStyle w:val="Point1"/>
        <w:rPr>
          <w:noProof/>
        </w:rPr>
      </w:pPr>
      <w:r w:rsidRPr="00C44DD6">
        <w:rPr>
          <w:noProof/>
        </w:rPr>
        <w:t>(f)</w:t>
      </w:r>
      <w:r w:rsidRPr="00C44DD6">
        <w:rPr>
          <w:noProof/>
        </w:rPr>
        <w:tab/>
      </w:r>
      <w:r w:rsidR="007328F1" w:rsidRPr="00185722">
        <w:rPr>
          <w:noProof/>
        </w:rPr>
        <w:t>the links to the national manual of procedures referred to in Article 9;</w:t>
      </w:r>
    </w:p>
    <w:p w14:paraId="2C50FD88" w14:textId="38258148" w:rsidR="007328F1" w:rsidRPr="00185722" w:rsidRDefault="00C44DD6" w:rsidP="00C44DD6">
      <w:pPr>
        <w:pStyle w:val="Point1"/>
        <w:rPr>
          <w:noProof/>
          <w:lang w:eastAsia="en-IE"/>
        </w:rPr>
      </w:pPr>
      <w:bookmarkStart w:id="32" w:name="bookmark97"/>
      <w:bookmarkEnd w:id="32"/>
      <w:r w:rsidRPr="00C44DD6">
        <w:rPr>
          <w:noProof/>
        </w:rPr>
        <w:t>(g)</w:t>
      </w:r>
      <w:r w:rsidRPr="00C44DD6">
        <w:rPr>
          <w:noProof/>
        </w:rPr>
        <w:tab/>
      </w:r>
      <w:r w:rsidR="007328F1" w:rsidRPr="00185722">
        <w:rPr>
          <w:noProof/>
          <w:lang w:eastAsia="en-IE"/>
        </w:rPr>
        <w:t>information and status updates as regards projects that were on the Union list, but are no longer included.</w:t>
      </w:r>
    </w:p>
    <w:p w14:paraId="3A1B1449" w14:textId="77777777" w:rsidR="007328F1" w:rsidRPr="00185722" w:rsidRDefault="007328F1" w:rsidP="007328F1">
      <w:pPr>
        <w:pStyle w:val="Titrearticle"/>
        <w:rPr>
          <w:noProof/>
          <w:lang w:eastAsia="en-IE"/>
        </w:rPr>
      </w:pPr>
      <w:r w:rsidRPr="00185722">
        <w:rPr>
          <w:noProof/>
          <w:lang w:eastAsia="en-IE"/>
        </w:rPr>
        <w:t xml:space="preserve">Article </w:t>
      </w:r>
      <w:r w:rsidR="00CB3E4F">
        <w:rPr>
          <w:noProof/>
          <w:lang w:eastAsia="en-IE"/>
        </w:rPr>
        <w:t>2</w:t>
      </w:r>
      <w:r w:rsidR="00293678">
        <w:rPr>
          <w:noProof/>
          <w:lang w:eastAsia="en-IE"/>
        </w:rPr>
        <w:t>7</w:t>
      </w:r>
    </w:p>
    <w:p w14:paraId="3BE6121B" w14:textId="77777777" w:rsidR="007328F1" w:rsidRPr="00CB3E4F" w:rsidRDefault="007328F1" w:rsidP="007328F1">
      <w:pPr>
        <w:pStyle w:val="Titrearticle"/>
        <w:rPr>
          <w:b/>
          <w:bCs/>
          <w:noProof/>
        </w:rPr>
      </w:pPr>
      <w:r w:rsidRPr="00CB3E4F">
        <w:rPr>
          <w:b/>
          <w:bCs/>
          <w:noProof/>
        </w:rPr>
        <w:t>Derogation for interconnections for Cyprus and Malta</w:t>
      </w:r>
    </w:p>
    <w:p w14:paraId="04516AA2" w14:textId="7CA74596" w:rsidR="007328F1" w:rsidRPr="007328F1" w:rsidRDefault="00C44DD6" w:rsidP="00C44DD6">
      <w:pPr>
        <w:pStyle w:val="ManualNumPar1"/>
        <w:rPr>
          <w:noProof/>
        </w:rPr>
      </w:pPr>
      <w:r w:rsidRPr="00C44DD6">
        <w:rPr>
          <w:noProof/>
        </w:rPr>
        <w:t>1.</w:t>
      </w:r>
      <w:r w:rsidRPr="00C44DD6">
        <w:rPr>
          <w:noProof/>
        </w:rPr>
        <w:tab/>
      </w:r>
      <w:r w:rsidR="007328F1" w:rsidRPr="00185722">
        <w:rPr>
          <w:noProof/>
        </w:rPr>
        <w:t>In the case of Cyprus and Malta, which are not interconnected to the trans-European gas network, a derogation from Article 3, Article 4(1), points (a) and (b), Article 4(5), and Annexes I, II and III shall apply. One interconnection for each of those Member States shall maintain its status of project of common interest under this Regulation with all relevant rights and obligations, where that interconnection:</w:t>
      </w:r>
    </w:p>
    <w:p w14:paraId="42746DA4" w14:textId="0CA3A2C0" w:rsidR="007328F1" w:rsidRPr="007328F1" w:rsidRDefault="00C44DD6" w:rsidP="00C44DD6">
      <w:pPr>
        <w:pStyle w:val="Point1"/>
        <w:rPr>
          <w:noProof/>
        </w:rPr>
      </w:pPr>
      <w:r w:rsidRPr="00C44DD6">
        <w:rPr>
          <w:noProof/>
        </w:rPr>
        <w:t>(a)</w:t>
      </w:r>
      <w:r w:rsidRPr="00C44DD6">
        <w:rPr>
          <w:noProof/>
        </w:rPr>
        <w:tab/>
      </w:r>
      <w:r w:rsidR="00DE7021">
        <w:rPr>
          <w:noProof/>
        </w:rPr>
        <w:t>wa</w:t>
      </w:r>
      <w:r w:rsidR="007328F1" w:rsidRPr="00185722">
        <w:rPr>
          <w:noProof/>
        </w:rPr>
        <w:t>s under development or planning on 23 June 2022;</w:t>
      </w:r>
    </w:p>
    <w:p w14:paraId="079F0D8A" w14:textId="25B0D9E3" w:rsidR="007328F1" w:rsidRPr="00185722" w:rsidRDefault="00C44DD6" w:rsidP="00C44DD6">
      <w:pPr>
        <w:pStyle w:val="Point1"/>
        <w:rPr>
          <w:noProof/>
        </w:rPr>
      </w:pPr>
      <w:r w:rsidRPr="00C44DD6">
        <w:rPr>
          <w:noProof/>
        </w:rPr>
        <w:t>(b)</w:t>
      </w:r>
      <w:r w:rsidRPr="00C44DD6">
        <w:rPr>
          <w:noProof/>
        </w:rPr>
        <w:tab/>
      </w:r>
      <w:r w:rsidR="007328F1" w:rsidRPr="00185722">
        <w:rPr>
          <w:noProof/>
        </w:rPr>
        <w:t>has been granted the status of project of common interest under Regulation (EU) No 347/2013</w:t>
      </w:r>
      <w:r w:rsidR="00827C10">
        <w:rPr>
          <w:noProof/>
        </w:rPr>
        <w:t xml:space="preserve"> of the European Parliament and of the Council</w:t>
      </w:r>
      <w:r w:rsidR="00C62666">
        <w:rPr>
          <w:rStyle w:val="FootnoteReference"/>
          <w:noProof/>
        </w:rPr>
        <w:footnoteReference w:id="69"/>
      </w:r>
      <w:r w:rsidR="007328F1" w:rsidRPr="00185722">
        <w:rPr>
          <w:noProof/>
        </w:rPr>
        <w:t xml:space="preserve">; </w:t>
      </w:r>
    </w:p>
    <w:p w14:paraId="7BD71C41" w14:textId="4F30FEEE" w:rsidR="007328F1" w:rsidRPr="00185722" w:rsidRDefault="00C44DD6" w:rsidP="00C44DD6">
      <w:pPr>
        <w:pStyle w:val="Point1"/>
        <w:rPr>
          <w:noProof/>
        </w:rPr>
      </w:pPr>
      <w:r w:rsidRPr="00C44DD6">
        <w:rPr>
          <w:noProof/>
        </w:rPr>
        <w:t>(c)</w:t>
      </w:r>
      <w:r w:rsidRPr="00C44DD6">
        <w:rPr>
          <w:noProof/>
        </w:rPr>
        <w:tab/>
      </w:r>
      <w:r w:rsidR="007328F1" w:rsidRPr="00185722">
        <w:rPr>
          <w:noProof/>
        </w:rPr>
        <w:t>is necessary to secure permanent interconnection of those Member States to the trans-European gas network.</w:t>
      </w:r>
    </w:p>
    <w:p w14:paraId="0663E181" w14:textId="77777777" w:rsidR="007328F1" w:rsidRPr="00185722" w:rsidRDefault="007328F1" w:rsidP="007328F1">
      <w:pPr>
        <w:pStyle w:val="Text1"/>
        <w:rPr>
          <w:noProof/>
        </w:rPr>
      </w:pPr>
      <w:r w:rsidRPr="00185722">
        <w:rPr>
          <w:noProof/>
        </w:rPr>
        <w:t>Those projects shall ensure the future ability to access new energy markets, including hydrogen.</w:t>
      </w:r>
    </w:p>
    <w:p w14:paraId="40CEB6F4" w14:textId="7F03C888" w:rsidR="007328F1" w:rsidRPr="00185722" w:rsidRDefault="00C44DD6" w:rsidP="00C44DD6">
      <w:pPr>
        <w:pStyle w:val="ManualNumPar1"/>
        <w:rPr>
          <w:noProof/>
        </w:rPr>
      </w:pPr>
      <w:r w:rsidRPr="00C44DD6">
        <w:rPr>
          <w:noProof/>
        </w:rPr>
        <w:t>2.</w:t>
      </w:r>
      <w:r w:rsidRPr="00C44DD6">
        <w:rPr>
          <w:noProof/>
        </w:rPr>
        <w:tab/>
      </w:r>
      <w:r w:rsidR="007328F1" w:rsidRPr="00185722">
        <w:rPr>
          <w:noProof/>
        </w:rPr>
        <w:t xml:space="preserve">The project promoters shall provide sufficient evidence of how the interconnections referred to in paragraph 1 will allow access to new energy markets, including hydrogen, in </w:t>
      </w:r>
      <w:r w:rsidR="004D4494">
        <w:rPr>
          <w:noProof/>
        </w:rPr>
        <w:t>accordance</w:t>
      </w:r>
      <w:r w:rsidR="007328F1" w:rsidRPr="00185722">
        <w:rPr>
          <w:noProof/>
        </w:rPr>
        <w:t xml:space="preserve"> with the Union’s overall energy and climate policy objectives. Such evidence shall include an assessment of the supply and demand for renewable or low-carbon hydrogen as well as a calculation of the greenhouse gas emissions reduction enabled by the project.</w:t>
      </w:r>
    </w:p>
    <w:p w14:paraId="554D851B" w14:textId="77777777" w:rsidR="007328F1" w:rsidRPr="00185722" w:rsidRDefault="007328F1" w:rsidP="007328F1">
      <w:pPr>
        <w:pStyle w:val="Text1"/>
        <w:rPr>
          <w:noProof/>
        </w:rPr>
      </w:pPr>
      <w:r w:rsidRPr="00185722">
        <w:rPr>
          <w:noProof/>
        </w:rPr>
        <w:t xml:space="preserve">The Commission shall regularly verify that assessment and that </w:t>
      </w:r>
      <w:r w:rsidRPr="00185722">
        <w:rPr>
          <w:rFonts w:eastAsia="Times New Roman"/>
          <w:noProof/>
          <w:lang w:eastAsia="en-IE"/>
        </w:rPr>
        <w:t>calculation</w:t>
      </w:r>
      <w:r w:rsidRPr="00185722">
        <w:rPr>
          <w:noProof/>
        </w:rPr>
        <w:t>, as well as the timely implementation of the project.</w:t>
      </w:r>
    </w:p>
    <w:p w14:paraId="19F84E2E" w14:textId="28311BC9" w:rsidR="007328F1" w:rsidRPr="00185722" w:rsidRDefault="00C44DD6" w:rsidP="00C44DD6">
      <w:pPr>
        <w:pStyle w:val="ManualNumPar1"/>
        <w:rPr>
          <w:noProof/>
        </w:rPr>
      </w:pPr>
      <w:r w:rsidRPr="00C44DD6">
        <w:rPr>
          <w:noProof/>
        </w:rPr>
        <w:t>3.</w:t>
      </w:r>
      <w:r w:rsidRPr="00C44DD6">
        <w:rPr>
          <w:noProof/>
        </w:rPr>
        <w:tab/>
      </w:r>
      <w:r w:rsidR="007328F1" w:rsidRPr="00185722">
        <w:rPr>
          <w:noProof/>
        </w:rPr>
        <w:t>In addition to the specific criteria set out in Article 21 for Union financial assistance, the interconnections referred to in paragraph 1 shall be designed in view of ensuring access to future energy markets, including hydrogen, shall not lead to a prolongation of the lifetime of natural gas assets and shall ensure the interoperability of neighbouring networks across borders. Any eligibility for Union financial assistance under Article 2</w:t>
      </w:r>
      <w:r w:rsidR="002B64BB">
        <w:rPr>
          <w:noProof/>
        </w:rPr>
        <w:t>1</w:t>
      </w:r>
      <w:r w:rsidR="007328F1" w:rsidRPr="00185722">
        <w:rPr>
          <w:noProof/>
        </w:rPr>
        <w:t xml:space="preserve"> shall end on 31 December 2027.</w:t>
      </w:r>
    </w:p>
    <w:p w14:paraId="65DBE75E" w14:textId="01A814C3" w:rsidR="007328F1" w:rsidRPr="00185722" w:rsidRDefault="00C44DD6" w:rsidP="00C44DD6">
      <w:pPr>
        <w:pStyle w:val="ManualNumPar1"/>
        <w:rPr>
          <w:noProof/>
        </w:rPr>
      </w:pPr>
      <w:r w:rsidRPr="00C44DD6">
        <w:rPr>
          <w:noProof/>
        </w:rPr>
        <w:t>4.</w:t>
      </w:r>
      <w:r w:rsidRPr="00C44DD6">
        <w:rPr>
          <w:noProof/>
        </w:rPr>
        <w:tab/>
      </w:r>
      <w:r w:rsidR="007328F1" w:rsidRPr="00185722">
        <w:rPr>
          <w:noProof/>
        </w:rPr>
        <w:t>Any request for Union financial assistance for works shall clearly demonstrate the aim to convert the asset into a dedicated hydrogen asset by 2036 if market conditions allow, by means of a roadmap with a precise timeline.</w:t>
      </w:r>
    </w:p>
    <w:p w14:paraId="4047E4E1" w14:textId="03EEF7E1" w:rsidR="007328F1" w:rsidRDefault="00C44DD6" w:rsidP="00C44DD6">
      <w:pPr>
        <w:pStyle w:val="ManualNumPar1"/>
        <w:rPr>
          <w:noProof/>
        </w:rPr>
      </w:pPr>
      <w:r w:rsidRPr="00C44DD6">
        <w:rPr>
          <w:noProof/>
        </w:rPr>
        <w:t>5.</w:t>
      </w:r>
      <w:r w:rsidRPr="00C44DD6">
        <w:rPr>
          <w:noProof/>
        </w:rPr>
        <w:tab/>
      </w:r>
      <w:r w:rsidR="007328F1" w:rsidRPr="00185722">
        <w:rPr>
          <w:noProof/>
        </w:rPr>
        <w:t>The derogation set out in paragraph 1 shall apply until Cyprus or Malta, respectively, is directly interconnected to the trans-European gas network or until 31 December 2029, whichever is the earlier.</w:t>
      </w:r>
    </w:p>
    <w:p w14:paraId="21245C83" w14:textId="77777777" w:rsidR="004C45EB" w:rsidRPr="008679BD" w:rsidRDefault="004C45EB" w:rsidP="004D60A9">
      <w:pPr>
        <w:pStyle w:val="Titrearticle"/>
        <w:rPr>
          <w:noProof/>
          <w:lang w:val="en-IE" w:eastAsia="en-IE"/>
        </w:rPr>
      </w:pPr>
      <w:r w:rsidRPr="008679BD">
        <w:rPr>
          <w:noProof/>
          <w:lang w:val="en-IE" w:eastAsia="en-IE"/>
        </w:rPr>
        <w:t xml:space="preserve">Article </w:t>
      </w:r>
      <w:r>
        <w:rPr>
          <w:noProof/>
          <w:lang w:val="en-IE" w:eastAsia="en-IE"/>
        </w:rPr>
        <w:t>2</w:t>
      </w:r>
      <w:r w:rsidR="00293678">
        <w:rPr>
          <w:noProof/>
          <w:lang w:val="en-IE" w:eastAsia="en-IE"/>
        </w:rPr>
        <w:t>8</w:t>
      </w:r>
    </w:p>
    <w:p w14:paraId="0AFDE017" w14:textId="77777777" w:rsidR="004C45EB" w:rsidRPr="004D60A9" w:rsidRDefault="004C45EB" w:rsidP="004D60A9">
      <w:pPr>
        <w:pStyle w:val="Titrearticle"/>
        <w:rPr>
          <w:b/>
          <w:noProof/>
          <w:szCs w:val="24"/>
        </w:rPr>
      </w:pPr>
      <w:r w:rsidRPr="004D60A9">
        <w:rPr>
          <w:b/>
          <w:noProof/>
          <w:szCs w:val="24"/>
        </w:rPr>
        <w:t>Amendments to Regulation (EU) 2019/94</w:t>
      </w:r>
      <w:r w:rsidR="005C0297">
        <w:rPr>
          <w:b/>
          <w:noProof/>
          <w:szCs w:val="24"/>
        </w:rPr>
        <w:t>2</w:t>
      </w:r>
    </w:p>
    <w:p w14:paraId="488A854E" w14:textId="77777777" w:rsidR="008F033D" w:rsidRDefault="00441EBF" w:rsidP="00FD01FF">
      <w:pPr>
        <w:pStyle w:val="Text1"/>
        <w:rPr>
          <w:noProof/>
        </w:rPr>
      </w:pPr>
      <w:r>
        <w:rPr>
          <w:noProof/>
        </w:rPr>
        <w:t>Regulation (EU) 2019/942</w:t>
      </w:r>
      <w:r w:rsidR="008F033D">
        <w:rPr>
          <w:noProof/>
        </w:rPr>
        <w:t xml:space="preserve"> is amended as follows:</w:t>
      </w:r>
    </w:p>
    <w:p w14:paraId="0528EEF6" w14:textId="77777777" w:rsidR="004E465F" w:rsidRDefault="008F033D" w:rsidP="00FD01FF">
      <w:pPr>
        <w:pStyle w:val="Text1"/>
        <w:rPr>
          <w:noProof/>
        </w:rPr>
      </w:pPr>
      <w:r>
        <w:rPr>
          <w:noProof/>
        </w:rPr>
        <w:t>(1) in Article 3(2)</w:t>
      </w:r>
      <w:r w:rsidR="00877CCA">
        <w:rPr>
          <w:noProof/>
        </w:rPr>
        <w:t>,</w:t>
      </w:r>
      <w:r>
        <w:rPr>
          <w:noProof/>
        </w:rPr>
        <w:t xml:space="preserve"> </w:t>
      </w:r>
      <w:r w:rsidR="00CE3F0E">
        <w:rPr>
          <w:noProof/>
        </w:rPr>
        <w:t>the first subparagraph</w:t>
      </w:r>
      <w:r w:rsidR="00186BC1">
        <w:rPr>
          <w:noProof/>
        </w:rPr>
        <w:t xml:space="preserve"> is replaced by the following:</w:t>
      </w:r>
    </w:p>
    <w:p w14:paraId="0E63FCE1" w14:textId="77777777" w:rsidR="0047523A" w:rsidRPr="004D60A9" w:rsidRDefault="0047523A" w:rsidP="00FD01FF">
      <w:pPr>
        <w:pStyle w:val="Text1"/>
        <w:rPr>
          <w:noProof/>
        </w:rPr>
      </w:pPr>
      <w:r w:rsidRPr="004D60A9">
        <w:rPr>
          <w:noProof/>
        </w:rPr>
        <w:t xml:space="preserve">‘At ACER’s request, the regulatory authorities, the ENTSO for Electricity, the ENTSO for Gas, the ENNOH, the regional coordination centres, the EU DSO </w:t>
      </w:r>
      <w:r w:rsidR="00962C75">
        <w:rPr>
          <w:noProof/>
        </w:rPr>
        <w:t>E</w:t>
      </w:r>
      <w:r w:rsidRPr="004D60A9">
        <w:rPr>
          <w:noProof/>
        </w:rPr>
        <w:t>ntity, the transmission system operators, hydrogen network operators, the nominated electricity market operators, and entities established by transmission system operators for natural gas, LNG system operators, natural gas storage system operators or hydrogen storage operators or hydrogen terminal operators shall provide to ACER the information in the same level of detail necessary for the purpose of carrying out ACER’s tasks under this Regulation, unless ACER has already requested and received such information.’</w:t>
      </w:r>
    </w:p>
    <w:p w14:paraId="2CE90F58" w14:textId="77777777" w:rsidR="004C45EB" w:rsidRPr="00B14620" w:rsidRDefault="00877CCA" w:rsidP="00FD01FF">
      <w:pPr>
        <w:pStyle w:val="Text1"/>
        <w:rPr>
          <w:noProof/>
        </w:rPr>
      </w:pPr>
      <w:r>
        <w:rPr>
          <w:noProof/>
        </w:rPr>
        <w:t>(2) i</w:t>
      </w:r>
      <w:r w:rsidR="005C0297">
        <w:rPr>
          <w:noProof/>
        </w:rPr>
        <w:t xml:space="preserve">n </w:t>
      </w:r>
      <w:r w:rsidR="004C45EB">
        <w:rPr>
          <w:noProof/>
        </w:rPr>
        <w:t xml:space="preserve">Article </w:t>
      </w:r>
      <w:r w:rsidR="005C0297">
        <w:rPr>
          <w:noProof/>
        </w:rPr>
        <w:t>11</w:t>
      </w:r>
      <w:r w:rsidR="00C26A86">
        <w:rPr>
          <w:noProof/>
        </w:rPr>
        <w:t>, points (c)</w:t>
      </w:r>
      <w:r w:rsidR="004C45EB" w:rsidRPr="00B14620">
        <w:rPr>
          <w:noProof/>
        </w:rPr>
        <w:t xml:space="preserve"> </w:t>
      </w:r>
      <w:r w:rsidR="00255254">
        <w:rPr>
          <w:noProof/>
        </w:rPr>
        <w:t>and (d) are</w:t>
      </w:r>
      <w:r w:rsidR="004C45EB" w:rsidRPr="00B14620">
        <w:rPr>
          <w:noProof/>
        </w:rPr>
        <w:t xml:space="preserve"> replaced by the following:</w:t>
      </w:r>
    </w:p>
    <w:p w14:paraId="03FE6103" w14:textId="77777777" w:rsidR="00BB3A31" w:rsidRPr="00F56F62" w:rsidRDefault="00472069" w:rsidP="00FD01FF">
      <w:pPr>
        <w:pStyle w:val="Text1"/>
        <w:rPr>
          <w:noProof/>
          <w:lang w:eastAsia="en-IE"/>
        </w:rPr>
      </w:pPr>
      <w:r>
        <w:rPr>
          <w:noProof/>
        </w:rPr>
        <w:t>‘(</w:t>
      </w:r>
      <w:r w:rsidR="00BB3A31">
        <w:rPr>
          <w:noProof/>
          <w:lang w:eastAsia="en-IE"/>
        </w:rPr>
        <w:t xml:space="preserve">c) carry out the </w:t>
      </w:r>
      <w:r w:rsidR="00BB3A31" w:rsidRPr="00B25443">
        <w:rPr>
          <w:noProof/>
          <w:lang w:eastAsia="en-IE"/>
        </w:rPr>
        <w:t>obligations laid out in Article</w:t>
      </w:r>
      <w:r w:rsidR="004E36A0">
        <w:rPr>
          <w:noProof/>
          <w:lang w:eastAsia="en-IE"/>
        </w:rPr>
        <w:t>s</w:t>
      </w:r>
      <w:r w:rsidR="00BB3A31" w:rsidRPr="00B25443">
        <w:rPr>
          <w:noProof/>
          <w:lang w:eastAsia="en-IE"/>
        </w:rPr>
        <w:t xml:space="preserve"> 5, 11</w:t>
      </w:r>
      <w:r w:rsidR="00C144FD" w:rsidRPr="00B25443">
        <w:rPr>
          <w:noProof/>
          <w:lang w:eastAsia="en-IE"/>
        </w:rPr>
        <w:t xml:space="preserve">, </w:t>
      </w:r>
      <w:r w:rsidR="00BB3A31" w:rsidRPr="00B25443">
        <w:rPr>
          <w:noProof/>
          <w:lang w:eastAsia="en-IE"/>
        </w:rPr>
        <w:t>12,</w:t>
      </w:r>
      <w:r w:rsidR="00C144FD" w:rsidRPr="00B25443">
        <w:rPr>
          <w:noProof/>
          <w:lang w:eastAsia="en-IE"/>
        </w:rPr>
        <w:t xml:space="preserve"> </w:t>
      </w:r>
      <w:r w:rsidR="00D851AA" w:rsidRPr="00B25443">
        <w:rPr>
          <w:noProof/>
          <w:lang w:eastAsia="en-IE"/>
        </w:rPr>
        <w:t>14</w:t>
      </w:r>
      <w:r w:rsidR="004767D1">
        <w:rPr>
          <w:noProof/>
          <w:lang w:eastAsia="en-IE"/>
        </w:rPr>
        <w:t>, 17</w:t>
      </w:r>
      <w:r w:rsidR="00BB3A31" w:rsidRPr="00B25443">
        <w:rPr>
          <w:noProof/>
          <w:lang w:eastAsia="en-IE"/>
        </w:rPr>
        <w:t xml:space="preserve"> </w:t>
      </w:r>
      <w:r w:rsidR="00ED7A57">
        <w:rPr>
          <w:noProof/>
          <w:lang w:eastAsia="en-IE"/>
        </w:rPr>
        <w:t>of</w:t>
      </w:r>
      <w:r w:rsidR="00BB3A31">
        <w:rPr>
          <w:noProof/>
          <w:lang w:eastAsia="en-IE"/>
        </w:rPr>
        <w:t xml:space="preserve"> </w:t>
      </w:r>
      <w:r w:rsidR="00371F35" w:rsidRPr="00B14620">
        <w:rPr>
          <w:noProof/>
        </w:rPr>
        <w:t xml:space="preserve">Regulation (EU) </w:t>
      </w:r>
      <w:r w:rsidR="00371F35">
        <w:rPr>
          <w:noProof/>
        </w:rPr>
        <w:t>…/… of the European Parliament and of the Council*</w:t>
      </w:r>
      <w:r w:rsidR="00371F35" w:rsidRPr="004D60A9">
        <w:rPr>
          <w:noProof/>
          <w:lang w:eastAsia="en-IE"/>
        </w:rPr>
        <w:t xml:space="preserve"> </w:t>
      </w:r>
      <w:r w:rsidR="00682F3F">
        <w:rPr>
          <w:noProof/>
        </w:rPr>
        <w:t>[</w:t>
      </w:r>
      <w:r w:rsidR="00BB3A31">
        <w:rPr>
          <w:i/>
          <w:noProof/>
        </w:rPr>
        <w:t xml:space="preserve">the </w:t>
      </w:r>
      <w:r w:rsidR="00682F3F">
        <w:rPr>
          <w:i/>
          <w:noProof/>
        </w:rPr>
        <w:t>TEN-E Regulation as proposed by COM(2025)xxxx</w:t>
      </w:r>
      <w:r w:rsidR="00682F3F">
        <w:rPr>
          <w:noProof/>
        </w:rPr>
        <w:t>]</w:t>
      </w:r>
      <w:r w:rsidR="008C01B9" w:rsidRPr="00F56F62">
        <w:rPr>
          <w:noProof/>
        </w:rPr>
        <w:t xml:space="preserve"> </w:t>
      </w:r>
      <w:r w:rsidR="008C01B9" w:rsidRPr="00F56F62">
        <w:rPr>
          <w:noProof/>
          <w:lang w:eastAsia="en-IE"/>
        </w:rPr>
        <w:t>and in Section 2, point (8), of Annex III to that Regulation</w:t>
      </w:r>
      <w:r w:rsidR="00BB3A31" w:rsidRPr="00F56F62">
        <w:rPr>
          <w:noProof/>
        </w:rPr>
        <w:t>;</w:t>
      </w:r>
    </w:p>
    <w:p w14:paraId="50DC72DA" w14:textId="77777777" w:rsidR="00371F35" w:rsidRPr="00F56F62" w:rsidRDefault="00BB3A31" w:rsidP="00FD01FF">
      <w:pPr>
        <w:pStyle w:val="Text1"/>
        <w:rPr>
          <w:noProof/>
        </w:rPr>
      </w:pPr>
      <w:r w:rsidRPr="00F56F62">
        <w:rPr>
          <w:noProof/>
          <w:lang w:eastAsia="en-IE"/>
        </w:rPr>
        <w:t>(d) take decisions on investment requests including cross-border cost allocation pursuant to Article 1</w:t>
      </w:r>
      <w:r w:rsidR="00C75D97" w:rsidRPr="00F56F62">
        <w:rPr>
          <w:noProof/>
          <w:lang w:eastAsia="en-IE"/>
        </w:rPr>
        <w:t>7</w:t>
      </w:r>
      <w:r w:rsidRPr="00F56F62">
        <w:rPr>
          <w:noProof/>
          <w:lang w:eastAsia="en-IE"/>
        </w:rPr>
        <w:t>(</w:t>
      </w:r>
      <w:r w:rsidR="00C75D97" w:rsidRPr="00F56F62">
        <w:rPr>
          <w:noProof/>
          <w:lang w:eastAsia="en-IE"/>
        </w:rPr>
        <w:t>9</w:t>
      </w:r>
      <w:r w:rsidRPr="00F56F62">
        <w:rPr>
          <w:noProof/>
          <w:lang w:eastAsia="en-IE"/>
        </w:rPr>
        <w:t xml:space="preserve">) of </w:t>
      </w:r>
      <w:r w:rsidR="00371F35" w:rsidRPr="00F56F62">
        <w:rPr>
          <w:noProof/>
        </w:rPr>
        <w:t xml:space="preserve">Regulation (EU) …/… </w:t>
      </w:r>
      <w:r w:rsidR="00682F3F">
        <w:rPr>
          <w:noProof/>
        </w:rPr>
        <w:t>[</w:t>
      </w:r>
      <w:r w:rsidR="00682F3F">
        <w:rPr>
          <w:i/>
          <w:noProof/>
        </w:rPr>
        <w:t xml:space="preserve">the TEN-E </w:t>
      </w:r>
      <w:r>
        <w:rPr>
          <w:i/>
          <w:noProof/>
        </w:rPr>
        <w:t xml:space="preserve">Regulation </w:t>
      </w:r>
      <w:r w:rsidR="00682F3F">
        <w:rPr>
          <w:i/>
          <w:noProof/>
        </w:rPr>
        <w:t>as proposed by COM(2025)xxxx</w:t>
      </w:r>
      <w:r w:rsidR="00682F3F">
        <w:rPr>
          <w:noProof/>
        </w:rPr>
        <w:t>]</w:t>
      </w:r>
      <w:r w:rsidRPr="00F56F62">
        <w:rPr>
          <w:noProof/>
        </w:rPr>
        <w:t>.</w:t>
      </w:r>
    </w:p>
    <w:p w14:paraId="342EE8F7" w14:textId="77777777" w:rsidR="00F30BCF" w:rsidRPr="00F56F62" w:rsidRDefault="00F30BCF">
      <w:pPr>
        <w:pStyle w:val="Text1"/>
        <w:rPr>
          <w:noProof/>
          <w:lang w:eastAsia="en-IE"/>
        </w:rPr>
      </w:pPr>
      <w:r w:rsidRPr="00F56F62">
        <w:rPr>
          <w:noProof/>
          <w:lang w:eastAsia="en-IE"/>
        </w:rPr>
        <w:t>___________</w:t>
      </w:r>
    </w:p>
    <w:p w14:paraId="06AC286C" w14:textId="77777777" w:rsidR="004C45EB" w:rsidRPr="004D60A9" w:rsidRDefault="00F30BCF" w:rsidP="00112E5C">
      <w:pPr>
        <w:pStyle w:val="Text1"/>
        <w:rPr>
          <w:noProof/>
          <w:lang w:eastAsia="en-IE"/>
        </w:rPr>
      </w:pPr>
      <w:r w:rsidRPr="00F56F62">
        <w:rPr>
          <w:noProof/>
          <w:lang w:eastAsia="en-IE"/>
        </w:rPr>
        <w:t xml:space="preserve">* </w:t>
      </w:r>
      <w:r w:rsidRPr="00F56F62">
        <w:rPr>
          <w:noProof/>
        </w:rPr>
        <w:t xml:space="preserve">Regulation (EU) …/… of the European Parliament and of the Council </w:t>
      </w:r>
      <w:r>
        <w:rPr>
          <w:noProof/>
        </w:rPr>
        <w:t>[the TEN-E Regulation as proposed by COM(2025)xxxx]</w:t>
      </w:r>
      <w:r w:rsidRPr="00F56F62">
        <w:rPr>
          <w:noProof/>
        </w:rPr>
        <w:t xml:space="preserve"> (OJ…, ELI: …)</w:t>
      </w:r>
      <w:r w:rsidR="00B71662" w:rsidRPr="00F56F62">
        <w:rPr>
          <w:noProof/>
        </w:rPr>
        <w:t>’</w:t>
      </w:r>
    </w:p>
    <w:p w14:paraId="15975ECD" w14:textId="77777777" w:rsidR="00CB3E4F" w:rsidRPr="008679BD" w:rsidRDefault="00CB3E4F" w:rsidP="00CB3E4F">
      <w:pPr>
        <w:pStyle w:val="Titrearticle"/>
        <w:rPr>
          <w:noProof/>
          <w:lang w:val="en-IE" w:eastAsia="en-IE"/>
        </w:rPr>
      </w:pPr>
      <w:r w:rsidRPr="008679BD">
        <w:rPr>
          <w:noProof/>
          <w:lang w:val="en-IE" w:eastAsia="en-IE"/>
        </w:rPr>
        <w:t xml:space="preserve">Article </w:t>
      </w:r>
      <w:r w:rsidR="00191512">
        <w:rPr>
          <w:noProof/>
          <w:lang w:val="en-IE" w:eastAsia="en-IE"/>
        </w:rPr>
        <w:t>2</w:t>
      </w:r>
      <w:r w:rsidR="00293678">
        <w:rPr>
          <w:noProof/>
          <w:lang w:val="en-IE" w:eastAsia="en-IE"/>
        </w:rPr>
        <w:t>9</w:t>
      </w:r>
    </w:p>
    <w:p w14:paraId="6B1C8E59" w14:textId="77777777" w:rsidR="00C50AD1" w:rsidRPr="00B14620" w:rsidRDefault="00C50AD1" w:rsidP="00F7357E">
      <w:pPr>
        <w:pStyle w:val="Titrearticle"/>
        <w:rPr>
          <w:b/>
          <w:noProof/>
          <w:szCs w:val="24"/>
        </w:rPr>
      </w:pPr>
      <w:r w:rsidRPr="00B14620">
        <w:rPr>
          <w:b/>
          <w:noProof/>
          <w:szCs w:val="24"/>
        </w:rPr>
        <w:t>Amendments to Regulation (EU) 2019/94</w:t>
      </w:r>
      <w:r w:rsidR="005C2C8C">
        <w:rPr>
          <w:b/>
          <w:noProof/>
          <w:szCs w:val="24"/>
        </w:rPr>
        <w:t>3</w:t>
      </w:r>
    </w:p>
    <w:p w14:paraId="418DEF28" w14:textId="77777777" w:rsidR="00C50AD1" w:rsidRDefault="00406543" w:rsidP="00FD01FF">
      <w:pPr>
        <w:pStyle w:val="Text1"/>
        <w:rPr>
          <w:noProof/>
        </w:rPr>
      </w:pPr>
      <w:r>
        <w:rPr>
          <w:noProof/>
        </w:rPr>
        <w:t>Article 48</w:t>
      </w:r>
      <w:r w:rsidR="00C50AD1" w:rsidRPr="00B14620">
        <w:rPr>
          <w:noProof/>
        </w:rPr>
        <w:t xml:space="preserve"> of Regulation (EU) 2019/94</w:t>
      </w:r>
      <w:r w:rsidR="005F441A">
        <w:rPr>
          <w:noProof/>
        </w:rPr>
        <w:t>3</w:t>
      </w:r>
      <w:r w:rsidR="00C50AD1" w:rsidRPr="00B14620">
        <w:rPr>
          <w:noProof/>
        </w:rPr>
        <w:t xml:space="preserve"> </w:t>
      </w:r>
      <w:r w:rsidR="005F441A">
        <w:rPr>
          <w:noProof/>
        </w:rPr>
        <w:t>is</w:t>
      </w:r>
      <w:r w:rsidR="00C50AD1" w:rsidRPr="00B14620">
        <w:rPr>
          <w:noProof/>
        </w:rPr>
        <w:t xml:space="preserve"> replaced by the following:</w:t>
      </w:r>
    </w:p>
    <w:p w14:paraId="7D1CB110" w14:textId="77777777" w:rsidR="00EF563B" w:rsidRPr="00B14620" w:rsidRDefault="00EF563B" w:rsidP="004145E2">
      <w:pPr>
        <w:jc w:val="center"/>
        <w:rPr>
          <w:noProof/>
        </w:rPr>
      </w:pPr>
      <w:r>
        <w:rPr>
          <w:noProof/>
        </w:rPr>
        <w:t>‘Article 48</w:t>
      </w:r>
    </w:p>
    <w:p w14:paraId="50C1A35B" w14:textId="77777777" w:rsidR="0090576D" w:rsidRPr="00044186" w:rsidRDefault="0090576D" w:rsidP="00F7357E">
      <w:pPr>
        <w:shd w:val="clear" w:color="auto" w:fill="FFFFFF" w:themeFill="background1"/>
        <w:jc w:val="center"/>
        <w:rPr>
          <w:rFonts w:eastAsia="Times New Roman"/>
          <w:b/>
          <w:bCs/>
          <w:noProof/>
          <w:color w:val="000000"/>
          <w:lang w:eastAsia="en-IE"/>
        </w:rPr>
      </w:pPr>
      <w:r w:rsidRPr="00044186">
        <w:rPr>
          <w:rFonts w:eastAsia="Times New Roman"/>
          <w:b/>
          <w:bCs/>
          <w:noProof/>
          <w:color w:val="000000" w:themeColor="text1"/>
          <w:lang w:eastAsia="en-IE"/>
        </w:rPr>
        <w:t>Ten-year network development plan</w:t>
      </w:r>
    </w:p>
    <w:p w14:paraId="2FA4AD4E" w14:textId="5CECCFDB" w:rsidR="0090576D" w:rsidRPr="00F56F62" w:rsidRDefault="00C44DD6" w:rsidP="00C44DD6">
      <w:pPr>
        <w:pStyle w:val="ManualNumPar1"/>
        <w:rPr>
          <w:rFonts w:eastAsia="Times New Roman"/>
          <w:noProof/>
          <w:color w:val="000000"/>
          <w:lang w:eastAsia="en-IE"/>
        </w:rPr>
      </w:pPr>
      <w:r w:rsidRPr="00C44DD6">
        <w:rPr>
          <w:noProof/>
        </w:rPr>
        <w:t>1.</w:t>
      </w:r>
      <w:r w:rsidRPr="00C44DD6">
        <w:rPr>
          <w:noProof/>
        </w:rPr>
        <w:tab/>
      </w:r>
      <w:r w:rsidR="0090576D" w:rsidRPr="00DD44C0">
        <w:rPr>
          <w:noProof/>
          <w:lang w:eastAsia="en-IE"/>
        </w:rPr>
        <w:t>The Union-wide network development plan referred to under Article 30(1), point (b),</w:t>
      </w:r>
      <w:r w:rsidR="00A81AF9">
        <w:rPr>
          <w:noProof/>
          <w:lang w:eastAsia="en-IE"/>
        </w:rPr>
        <w:t xml:space="preserve"> </w:t>
      </w:r>
      <w:r w:rsidR="00AD05AC">
        <w:rPr>
          <w:noProof/>
          <w:lang w:eastAsia="en-IE"/>
        </w:rPr>
        <w:t xml:space="preserve">of this </w:t>
      </w:r>
      <w:r w:rsidR="007605BA">
        <w:rPr>
          <w:noProof/>
          <w:lang w:eastAsia="en-IE"/>
        </w:rPr>
        <w:t>Regulation</w:t>
      </w:r>
      <w:r w:rsidR="0090576D" w:rsidRPr="00DD44C0">
        <w:rPr>
          <w:noProof/>
          <w:lang w:eastAsia="en-IE"/>
        </w:rPr>
        <w:t xml:space="preserve"> shall </w:t>
      </w:r>
      <w:r w:rsidR="0090576D" w:rsidRPr="00F7357E">
        <w:rPr>
          <w:noProof/>
          <w:lang w:eastAsia="en-IE"/>
        </w:rPr>
        <w:t xml:space="preserve">be based on the central scenario and the identification of system needs </w:t>
      </w:r>
      <w:r w:rsidR="0090576D" w:rsidRPr="00F56F62">
        <w:rPr>
          <w:noProof/>
          <w:lang w:eastAsia="en-IE"/>
        </w:rPr>
        <w:t>report pursuant to Articles 11 and 12 of</w:t>
      </w:r>
      <w:r w:rsidR="00DD44C0" w:rsidRPr="00F56F62">
        <w:rPr>
          <w:noProof/>
          <w:lang w:eastAsia="en-IE"/>
        </w:rPr>
        <w:t xml:space="preserve"> </w:t>
      </w:r>
      <w:r w:rsidR="009D1D39" w:rsidRPr="00F56F62">
        <w:rPr>
          <w:noProof/>
        </w:rPr>
        <w:t>Regulation (EU) …/… of the European Parliament and of the Council*</w:t>
      </w:r>
      <w:r w:rsidR="009D1D39" w:rsidRPr="00F56F62">
        <w:rPr>
          <w:noProof/>
          <w:lang w:eastAsia="en-IE"/>
        </w:rPr>
        <w:t xml:space="preserve"> </w:t>
      </w:r>
      <w:r w:rsidR="00196A64">
        <w:rPr>
          <w:noProof/>
        </w:rPr>
        <w:t>[</w:t>
      </w:r>
      <w:r w:rsidR="00196A64">
        <w:rPr>
          <w:i/>
          <w:noProof/>
        </w:rPr>
        <w:t>the TEN-E Regulation as proposed by COM(202</w:t>
      </w:r>
      <w:r w:rsidR="00682F3F">
        <w:rPr>
          <w:i/>
          <w:noProof/>
        </w:rPr>
        <w:t>5</w:t>
      </w:r>
      <w:r w:rsidR="00196A64">
        <w:rPr>
          <w:i/>
          <w:noProof/>
        </w:rPr>
        <w:t>)xxxx</w:t>
      </w:r>
      <w:r w:rsidR="00196A64">
        <w:rPr>
          <w:noProof/>
        </w:rPr>
        <w:t>]</w:t>
      </w:r>
      <w:r w:rsidR="0090576D" w:rsidRPr="00F56F62">
        <w:rPr>
          <w:noProof/>
          <w:lang w:eastAsia="en-IE"/>
        </w:rPr>
        <w:t xml:space="preserve"> and shall include the modelling of the integrated network</w:t>
      </w:r>
      <w:r w:rsidR="00CD7309" w:rsidRPr="00F56F62">
        <w:rPr>
          <w:noProof/>
          <w:lang w:eastAsia="en-IE"/>
        </w:rPr>
        <w:t xml:space="preserve"> and </w:t>
      </w:r>
      <w:r w:rsidR="0090576D" w:rsidRPr="00F56F62">
        <w:rPr>
          <w:noProof/>
          <w:lang w:eastAsia="en-IE"/>
        </w:rPr>
        <w:t>an assessment of the resilience of the system. Relevant input parameters for the modelling of the central scenario, such as assumptions on fuel and carbon prices or installation of renewables, and assumptions for the European</w:t>
      </w:r>
      <w:r w:rsidR="00145F67" w:rsidRPr="00F56F62">
        <w:rPr>
          <w:noProof/>
          <w:lang w:eastAsia="en-IE"/>
        </w:rPr>
        <w:t xml:space="preserve"> </w:t>
      </w:r>
      <w:r w:rsidR="0090576D" w:rsidRPr="00F56F62">
        <w:rPr>
          <w:noProof/>
          <w:lang w:eastAsia="en-IE"/>
        </w:rPr>
        <w:t xml:space="preserve">resource adequacy assessment developed pursuant to Article 23 </w:t>
      </w:r>
      <w:r w:rsidR="00A81AF9" w:rsidRPr="00F56F62">
        <w:rPr>
          <w:noProof/>
          <w:lang w:eastAsia="en-IE"/>
        </w:rPr>
        <w:t xml:space="preserve">of this Regulation </w:t>
      </w:r>
      <w:r w:rsidR="0090576D" w:rsidRPr="00F56F62">
        <w:rPr>
          <w:noProof/>
          <w:lang w:eastAsia="en-IE"/>
        </w:rPr>
        <w:t>should be consistent to the extent possible.</w:t>
      </w:r>
    </w:p>
    <w:p w14:paraId="5B995B9B" w14:textId="77777777" w:rsidR="0090576D" w:rsidRPr="00F56F62" w:rsidRDefault="0090576D" w:rsidP="00F7357E">
      <w:pPr>
        <w:pStyle w:val="Text1"/>
        <w:rPr>
          <w:rFonts w:eastAsia="Times New Roman"/>
          <w:noProof/>
          <w:color w:val="000000"/>
          <w:lang w:eastAsia="en-IE"/>
        </w:rPr>
      </w:pPr>
      <w:r w:rsidRPr="00F56F62">
        <w:rPr>
          <w:noProof/>
          <w:lang w:eastAsia="en-IE"/>
        </w:rPr>
        <w:t>The Union-wide network development plan shall, in particular:</w:t>
      </w:r>
    </w:p>
    <w:p w14:paraId="255C3415" w14:textId="71A1880A" w:rsidR="0090576D" w:rsidRPr="00F56F62" w:rsidRDefault="00C44DD6" w:rsidP="00C44DD6">
      <w:pPr>
        <w:pStyle w:val="Point1"/>
        <w:rPr>
          <w:rFonts w:eastAsia="Times New Roman"/>
          <w:noProof/>
          <w:color w:val="000000"/>
          <w:lang w:eastAsia="en-IE"/>
        </w:rPr>
      </w:pPr>
      <w:r w:rsidRPr="00C44DD6">
        <w:rPr>
          <w:noProof/>
        </w:rPr>
        <w:t>(a)</w:t>
      </w:r>
      <w:r w:rsidRPr="00C44DD6">
        <w:rPr>
          <w:noProof/>
        </w:rPr>
        <w:tab/>
      </w:r>
      <w:r w:rsidR="0090576D" w:rsidRPr="00F56F62">
        <w:rPr>
          <w:noProof/>
          <w:lang w:eastAsia="en-IE"/>
        </w:rPr>
        <w:t xml:space="preserve">build on projects of cross-border relevance included in national ten-year network development plans and national investment plans, taking into account regional investment plans as referred to in Article 34(1) of this Regulation, and be based on Union aspects of network planning as set out in </w:t>
      </w:r>
      <w:r w:rsidR="00AC32AD" w:rsidRPr="00F56F62">
        <w:rPr>
          <w:noProof/>
        </w:rPr>
        <w:t xml:space="preserve">Regulation (EU) …/… </w:t>
      </w:r>
      <w:r w:rsidR="00DD44C0">
        <w:rPr>
          <w:noProof/>
        </w:rPr>
        <w:t>[</w:t>
      </w:r>
      <w:r w:rsidR="00DD44C0">
        <w:rPr>
          <w:i/>
          <w:noProof/>
        </w:rPr>
        <w:t>the TEN-E Regulation as proposed by COM(202</w:t>
      </w:r>
      <w:r w:rsidR="00682F3F">
        <w:rPr>
          <w:i/>
          <w:noProof/>
        </w:rPr>
        <w:t>5</w:t>
      </w:r>
      <w:r w:rsidR="00DD44C0">
        <w:rPr>
          <w:i/>
          <w:noProof/>
        </w:rPr>
        <w:t>)xxxx</w:t>
      </w:r>
      <w:r w:rsidR="00DD44C0">
        <w:rPr>
          <w:noProof/>
        </w:rPr>
        <w:t>]</w:t>
      </w:r>
      <w:r w:rsidR="0090576D" w:rsidRPr="00F56F62">
        <w:rPr>
          <w:noProof/>
          <w:lang w:eastAsia="en-IE"/>
        </w:rPr>
        <w:t>; it shall be subject to a cost-benefit analysis using the methodology established in Article 14 of that Regulation;</w:t>
      </w:r>
    </w:p>
    <w:p w14:paraId="5D46DD3F" w14:textId="32D006CC" w:rsidR="0090576D" w:rsidRPr="00F56F62" w:rsidRDefault="00C44DD6" w:rsidP="00C44DD6">
      <w:pPr>
        <w:pStyle w:val="Point1"/>
        <w:rPr>
          <w:noProof/>
          <w:color w:val="000000"/>
          <w:lang w:eastAsia="en-IE"/>
        </w:rPr>
      </w:pPr>
      <w:r w:rsidRPr="00C44DD6">
        <w:rPr>
          <w:noProof/>
        </w:rPr>
        <w:t>(b)</w:t>
      </w:r>
      <w:r w:rsidRPr="00C44DD6">
        <w:rPr>
          <w:noProof/>
        </w:rPr>
        <w:tab/>
      </w:r>
      <w:r w:rsidR="0090576D" w:rsidRPr="00F56F62">
        <w:rPr>
          <w:noProof/>
          <w:lang w:eastAsia="en-IE"/>
        </w:rPr>
        <w:t xml:space="preserve">consider with priority alternatives to network expansion, such as non-wire solutions pursuant to </w:t>
      </w:r>
      <w:r w:rsidR="00AC32AD" w:rsidRPr="00F56F62">
        <w:rPr>
          <w:noProof/>
        </w:rPr>
        <w:t xml:space="preserve">Regulation (EU) …/… </w:t>
      </w:r>
      <w:r w:rsidR="00DD44C0">
        <w:rPr>
          <w:noProof/>
        </w:rPr>
        <w:t>[</w:t>
      </w:r>
      <w:r w:rsidR="00DD44C0">
        <w:rPr>
          <w:i/>
          <w:noProof/>
        </w:rPr>
        <w:t>the TEN-E Regulation as proposed by COM(202</w:t>
      </w:r>
      <w:r w:rsidR="00682F3F">
        <w:rPr>
          <w:i/>
          <w:noProof/>
        </w:rPr>
        <w:t>5</w:t>
      </w:r>
      <w:r w:rsidR="00DD44C0">
        <w:rPr>
          <w:i/>
          <w:noProof/>
        </w:rPr>
        <w:t>)xxxx</w:t>
      </w:r>
      <w:r w:rsidR="00DD44C0">
        <w:rPr>
          <w:noProof/>
        </w:rPr>
        <w:t>]</w:t>
      </w:r>
      <w:r w:rsidR="0090576D" w:rsidRPr="00F56F62">
        <w:rPr>
          <w:noProof/>
          <w:lang w:eastAsia="en-IE"/>
        </w:rPr>
        <w:t xml:space="preserve"> or non-fossil flexibility</w:t>
      </w:r>
      <w:r w:rsidR="006D1C0D" w:rsidRPr="00F56F62">
        <w:rPr>
          <w:noProof/>
          <w:lang w:eastAsia="en-IE"/>
        </w:rPr>
        <w:t>;</w:t>
      </w:r>
      <w:r w:rsidR="0090576D" w:rsidRPr="00F56F62">
        <w:rPr>
          <w:noProof/>
          <w:lang w:eastAsia="en-IE"/>
        </w:rPr>
        <w:t xml:space="preserve"> </w:t>
      </w:r>
    </w:p>
    <w:p w14:paraId="02A2AF01" w14:textId="52A22E1E" w:rsidR="0090576D" w:rsidRPr="00DD44C0" w:rsidRDefault="00C44DD6" w:rsidP="00C44DD6">
      <w:pPr>
        <w:pStyle w:val="Point1"/>
        <w:rPr>
          <w:rFonts w:eastAsia="Times New Roman"/>
          <w:noProof/>
          <w:color w:val="000000"/>
          <w:lang w:eastAsia="en-IE"/>
        </w:rPr>
      </w:pPr>
      <w:r w:rsidRPr="00C44DD6">
        <w:rPr>
          <w:noProof/>
        </w:rPr>
        <w:t>(c)</w:t>
      </w:r>
      <w:r w:rsidRPr="00C44DD6">
        <w:rPr>
          <w:noProof/>
        </w:rPr>
        <w:tab/>
      </w:r>
      <w:r w:rsidR="0090576D" w:rsidRPr="00DD44C0">
        <w:rPr>
          <w:noProof/>
          <w:lang w:eastAsia="en-IE"/>
        </w:rPr>
        <w:t xml:space="preserve">regarding cross-border interconnections, also build on the reasonable needs of different system users and integrate long-term commitments from investors referred to in Articles 44 and 51 of Directive (EU) 2019/944; </w:t>
      </w:r>
    </w:p>
    <w:p w14:paraId="3620692B" w14:textId="7965D4D0" w:rsidR="0090576D" w:rsidRPr="00DD44C0" w:rsidRDefault="00C44DD6" w:rsidP="00C44DD6">
      <w:pPr>
        <w:pStyle w:val="Point1"/>
        <w:rPr>
          <w:rFonts w:eastAsia="Times New Roman"/>
          <w:noProof/>
          <w:color w:val="000000"/>
          <w:lang w:eastAsia="en-IE"/>
        </w:rPr>
      </w:pPr>
      <w:r w:rsidRPr="00C44DD6">
        <w:rPr>
          <w:noProof/>
        </w:rPr>
        <w:t>(d)</w:t>
      </w:r>
      <w:r w:rsidRPr="00C44DD6">
        <w:rPr>
          <w:noProof/>
        </w:rPr>
        <w:tab/>
      </w:r>
      <w:r w:rsidR="0090576D" w:rsidRPr="00DD44C0">
        <w:rPr>
          <w:noProof/>
          <w:lang w:eastAsia="en-IE"/>
        </w:rPr>
        <w:t>identify investment gaps, in particular with respect to cross-border capacities</w:t>
      </w:r>
      <w:r w:rsidR="0090576D" w:rsidRPr="00F7357E">
        <w:rPr>
          <w:noProof/>
          <w:lang w:eastAsia="en-IE"/>
        </w:rPr>
        <w:t>.</w:t>
      </w:r>
    </w:p>
    <w:p w14:paraId="146F6C1F" w14:textId="77777777" w:rsidR="0090576D" w:rsidRPr="00DD44C0" w:rsidRDefault="0090576D" w:rsidP="006D1C0D">
      <w:pPr>
        <w:pStyle w:val="Text1"/>
        <w:rPr>
          <w:rFonts w:eastAsia="Times New Roman"/>
          <w:noProof/>
          <w:color w:val="000000"/>
          <w:lang w:eastAsia="en-IE"/>
        </w:rPr>
      </w:pPr>
      <w:r w:rsidRPr="00DD44C0">
        <w:rPr>
          <w:noProof/>
          <w:lang w:eastAsia="en-IE"/>
        </w:rPr>
        <w:t xml:space="preserve">In regard to the </w:t>
      </w:r>
      <w:r w:rsidRPr="00F7357E">
        <w:rPr>
          <w:noProof/>
          <w:lang w:eastAsia="en-IE"/>
        </w:rPr>
        <w:t xml:space="preserve">second </w:t>
      </w:r>
      <w:r w:rsidRPr="00DD44C0">
        <w:rPr>
          <w:noProof/>
          <w:lang w:eastAsia="en-IE"/>
        </w:rPr>
        <w:t xml:space="preserve">subparagraph, </w:t>
      </w:r>
      <w:r w:rsidR="0081304F" w:rsidRPr="00DD44C0">
        <w:rPr>
          <w:noProof/>
          <w:lang w:eastAsia="en-IE"/>
        </w:rPr>
        <w:t>point (</w:t>
      </w:r>
      <w:r w:rsidR="0081304F" w:rsidRPr="00F7357E">
        <w:rPr>
          <w:noProof/>
          <w:lang w:eastAsia="en-IE"/>
        </w:rPr>
        <w:t>d</w:t>
      </w:r>
      <w:r w:rsidR="0081304F" w:rsidRPr="00DD44C0">
        <w:rPr>
          <w:noProof/>
          <w:lang w:eastAsia="en-IE"/>
        </w:rPr>
        <w:t>)</w:t>
      </w:r>
      <w:r w:rsidR="0081304F">
        <w:rPr>
          <w:noProof/>
          <w:lang w:eastAsia="en-IE"/>
        </w:rPr>
        <w:t>,</w:t>
      </w:r>
      <w:r w:rsidR="0081304F" w:rsidRPr="00DD44C0">
        <w:rPr>
          <w:noProof/>
          <w:lang w:eastAsia="en-IE"/>
        </w:rPr>
        <w:t xml:space="preserve"> </w:t>
      </w:r>
      <w:r w:rsidRPr="00DD44C0">
        <w:rPr>
          <w:noProof/>
          <w:lang w:eastAsia="en-IE"/>
        </w:rPr>
        <w:t>a review of barriers to the increase of cross-border capacity of the network arising from different approval procedures or practices may be annexed to the Union–wide network development plan.</w:t>
      </w:r>
    </w:p>
    <w:p w14:paraId="11938F0C" w14:textId="7E0DFB12" w:rsidR="00B51C4B" w:rsidRPr="00F56F62" w:rsidRDefault="00C44DD6" w:rsidP="00C44DD6">
      <w:pPr>
        <w:pStyle w:val="ManualNumPar1"/>
        <w:rPr>
          <w:noProof/>
          <w:lang w:eastAsia="en-IE"/>
        </w:rPr>
      </w:pPr>
      <w:r w:rsidRPr="00C44DD6">
        <w:rPr>
          <w:noProof/>
        </w:rPr>
        <w:t>2.</w:t>
      </w:r>
      <w:r w:rsidRPr="00C44DD6">
        <w:rPr>
          <w:noProof/>
        </w:rPr>
        <w:tab/>
      </w:r>
      <w:r w:rsidR="0090576D" w:rsidRPr="00DD44C0">
        <w:rPr>
          <w:noProof/>
          <w:lang w:eastAsia="en-IE"/>
        </w:rPr>
        <w:t xml:space="preserve">ACER </w:t>
      </w:r>
      <w:r w:rsidR="750A045C" w:rsidRPr="30259D58">
        <w:rPr>
          <w:noProof/>
          <w:lang w:eastAsia="en-IE"/>
        </w:rPr>
        <w:t xml:space="preserve"> </w:t>
      </w:r>
      <w:r w:rsidR="0090576D" w:rsidRPr="30259D58">
        <w:rPr>
          <w:noProof/>
          <w:lang w:eastAsia="en-IE"/>
        </w:rPr>
        <w:t>shall</w:t>
      </w:r>
      <w:r w:rsidR="0090576D" w:rsidRPr="00DD44C0">
        <w:rPr>
          <w:noProof/>
          <w:lang w:eastAsia="en-IE"/>
        </w:rPr>
        <w:t xml:space="preserve"> provide an opinion on the national ten-year network development plans to assess </w:t>
      </w:r>
      <w:r w:rsidR="0090576D" w:rsidRPr="00F56F62">
        <w:rPr>
          <w:noProof/>
          <w:lang w:eastAsia="en-IE"/>
        </w:rPr>
        <w:t>their consistency with the Union–wide network development plan, including compliance with requirements of Article 3</w:t>
      </w:r>
      <w:r w:rsidR="001C2C9D" w:rsidRPr="00F56F62">
        <w:rPr>
          <w:noProof/>
          <w:lang w:eastAsia="en-IE"/>
        </w:rPr>
        <w:t>(6) and (7)</w:t>
      </w:r>
      <w:r w:rsidR="0090576D" w:rsidRPr="00F56F62">
        <w:rPr>
          <w:noProof/>
          <w:lang w:eastAsia="en-IE"/>
        </w:rPr>
        <w:t xml:space="preserve"> of </w:t>
      </w:r>
      <w:r w:rsidR="00AC32AD" w:rsidRPr="00F56F62">
        <w:rPr>
          <w:noProof/>
        </w:rPr>
        <w:t xml:space="preserve">Regulation (EU) …/… </w:t>
      </w:r>
      <w:r w:rsidR="00DD44C0">
        <w:rPr>
          <w:noProof/>
        </w:rPr>
        <w:t>[</w:t>
      </w:r>
      <w:r w:rsidR="00DD44C0">
        <w:rPr>
          <w:i/>
          <w:noProof/>
        </w:rPr>
        <w:t>the TEN-E Regulation as proposed by COM(202</w:t>
      </w:r>
      <w:r w:rsidR="00682F3F">
        <w:rPr>
          <w:i/>
          <w:noProof/>
        </w:rPr>
        <w:t>5</w:t>
      </w:r>
      <w:r w:rsidR="00DD44C0">
        <w:rPr>
          <w:i/>
          <w:noProof/>
        </w:rPr>
        <w:t>)xxxx</w:t>
      </w:r>
      <w:r w:rsidR="00DD44C0">
        <w:rPr>
          <w:noProof/>
        </w:rPr>
        <w:t>]</w:t>
      </w:r>
      <w:r w:rsidR="0090576D" w:rsidRPr="00F56F62">
        <w:rPr>
          <w:noProof/>
          <w:lang w:eastAsia="en-IE"/>
        </w:rPr>
        <w:t xml:space="preserve">. If </w:t>
      </w:r>
      <w:r w:rsidR="00E2072C" w:rsidRPr="00F56F62">
        <w:rPr>
          <w:noProof/>
          <w:lang w:eastAsia="en-IE"/>
        </w:rPr>
        <w:t>ACER</w:t>
      </w:r>
      <w:r w:rsidR="0090576D" w:rsidRPr="00F56F62">
        <w:rPr>
          <w:noProof/>
          <w:lang w:eastAsia="en-IE"/>
        </w:rPr>
        <w:t xml:space="preserve"> identifies inconsistencies between a national ten-year network</w:t>
      </w:r>
      <w:r w:rsidR="0090576D" w:rsidRPr="00DD44C0">
        <w:rPr>
          <w:noProof/>
          <w:lang w:eastAsia="en-IE"/>
        </w:rPr>
        <w:t xml:space="preserve"> development plan and the Union–wide network development plan, it shall recommend amending the national ten-year </w:t>
      </w:r>
      <w:r w:rsidR="0090576D" w:rsidRPr="00F56F62">
        <w:rPr>
          <w:noProof/>
          <w:lang w:eastAsia="en-IE"/>
        </w:rPr>
        <w:t xml:space="preserve">network development plan or the Union–wide network development plan as appropriate by </w:t>
      </w:r>
      <w:r w:rsidR="0090576D">
        <w:rPr>
          <w:noProof/>
        </w:rPr>
        <w:t>two months</w:t>
      </w:r>
      <w:r w:rsidR="0090576D" w:rsidRPr="00F56F62">
        <w:rPr>
          <w:noProof/>
          <w:lang w:eastAsia="en-IE"/>
        </w:rPr>
        <w:t xml:space="preserve"> upon its receipt. If such a national ten-year network development plan is developed</w:t>
      </w:r>
      <w:r w:rsidR="0090576D" w:rsidRPr="00DD44C0">
        <w:rPr>
          <w:noProof/>
          <w:lang w:eastAsia="en-IE"/>
        </w:rPr>
        <w:t xml:space="preserve"> in accordance with Article </w:t>
      </w:r>
      <w:r w:rsidR="0090576D" w:rsidRPr="00F7357E">
        <w:rPr>
          <w:noProof/>
          <w:lang w:eastAsia="en-IE"/>
        </w:rPr>
        <w:t>40a</w:t>
      </w:r>
      <w:r w:rsidR="0090576D" w:rsidRPr="00DD44C0">
        <w:rPr>
          <w:noProof/>
          <w:lang w:eastAsia="en-IE"/>
        </w:rPr>
        <w:t xml:space="preserve"> of Directive (EU) 2019/944,</w:t>
      </w:r>
      <w:r w:rsidR="0090576D" w:rsidRPr="00F7357E">
        <w:rPr>
          <w:noProof/>
          <w:lang w:eastAsia="en-IE"/>
        </w:rPr>
        <w:t xml:space="preserve"> </w:t>
      </w:r>
      <w:r w:rsidR="00501756">
        <w:rPr>
          <w:noProof/>
          <w:lang w:eastAsia="en-IE"/>
        </w:rPr>
        <w:t>ACER</w:t>
      </w:r>
      <w:r w:rsidR="0090576D" w:rsidRPr="00F7357E">
        <w:rPr>
          <w:noProof/>
          <w:lang w:eastAsia="en-IE"/>
        </w:rPr>
        <w:t xml:space="preserve"> </w:t>
      </w:r>
      <w:r w:rsidR="0090576D" w:rsidRPr="00DD44C0">
        <w:rPr>
          <w:noProof/>
          <w:lang w:eastAsia="en-IE"/>
        </w:rPr>
        <w:t>shall recommend that the regulatory authority amend the national ten-</w:t>
      </w:r>
      <w:r w:rsidR="0090576D" w:rsidRPr="00F56F62">
        <w:rPr>
          <w:noProof/>
          <w:lang w:eastAsia="en-IE"/>
        </w:rPr>
        <w:t>year network development plan in accordance with Article 40a(7) of that Directive and inform the Commission thereof.</w:t>
      </w:r>
    </w:p>
    <w:p w14:paraId="64E37229" w14:textId="77777777" w:rsidR="00B51C4B" w:rsidRPr="00F56F62" w:rsidRDefault="00B51C4B">
      <w:pPr>
        <w:pStyle w:val="Text1"/>
        <w:rPr>
          <w:noProof/>
          <w:lang w:eastAsia="en-IE"/>
        </w:rPr>
      </w:pPr>
      <w:r w:rsidRPr="00F56F62">
        <w:rPr>
          <w:noProof/>
          <w:lang w:eastAsia="en-IE"/>
        </w:rPr>
        <w:t>___________</w:t>
      </w:r>
    </w:p>
    <w:p w14:paraId="049F6E95" w14:textId="77777777" w:rsidR="0090576D" w:rsidRPr="00F56F62" w:rsidRDefault="00B51C4B">
      <w:pPr>
        <w:pStyle w:val="Text1"/>
        <w:rPr>
          <w:noProof/>
          <w:szCs w:val="24"/>
        </w:rPr>
      </w:pPr>
      <w:r w:rsidRPr="00F56F62">
        <w:rPr>
          <w:noProof/>
          <w:lang w:eastAsia="en-IE"/>
        </w:rPr>
        <w:t xml:space="preserve">* </w:t>
      </w:r>
      <w:r w:rsidRPr="00F56F62">
        <w:rPr>
          <w:noProof/>
        </w:rPr>
        <w:t xml:space="preserve">Regulation (EU) …/… of the European Parliament and of the Council </w:t>
      </w:r>
      <w:r>
        <w:rPr>
          <w:noProof/>
        </w:rPr>
        <w:t>[the TEN-E Regulation as proposed by COM(2025)xxxx]</w:t>
      </w:r>
      <w:r w:rsidRPr="00F56F62">
        <w:rPr>
          <w:noProof/>
        </w:rPr>
        <w:t xml:space="preserve"> (OJ…, ELI: …)</w:t>
      </w:r>
      <w:r w:rsidR="004145E2" w:rsidRPr="00F56F62">
        <w:rPr>
          <w:noProof/>
          <w:lang w:eastAsia="en-IE"/>
        </w:rPr>
        <w:t>’</w:t>
      </w:r>
    </w:p>
    <w:p w14:paraId="7361FBE1" w14:textId="77777777" w:rsidR="009004D4" w:rsidRPr="00F56F62" w:rsidRDefault="009004D4" w:rsidP="009004D4">
      <w:pPr>
        <w:pStyle w:val="Titrearticle"/>
        <w:rPr>
          <w:noProof/>
          <w:lang w:val="en-IE" w:eastAsia="en-IE"/>
        </w:rPr>
      </w:pPr>
      <w:r w:rsidRPr="00F56F62">
        <w:rPr>
          <w:noProof/>
          <w:lang w:val="en-IE" w:eastAsia="en-IE"/>
        </w:rPr>
        <w:t xml:space="preserve">Article </w:t>
      </w:r>
      <w:r w:rsidR="00293678" w:rsidRPr="00F56F62">
        <w:rPr>
          <w:noProof/>
          <w:lang w:val="en-IE" w:eastAsia="en-IE"/>
        </w:rPr>
        <w:t>30</w:t>
      </w:r>
    </w:p>
    <w:p w14:paraId="1108D7F5" w14:textId="77777777" w:rsidR="007328F1" w:rsidRPr="00F56F62" w:rsidRDefault="007328F1" w:rsidP="00FD01FF">
      <w:pPr>
        <w:pStyle w:val="Titrearticle"/>
        <w:rPr>
          <w:b/>
          <w:bCs/>
          <w:noProof/>
        </w:rPr>
      </w:pPr>
      <w:r w:rsidRPr="00F56F62">
        <w:rPr>
          <w:b/>
          <w:bCs/>
          <w:noProof/>
        </w:rPr>
        <w:t xml:space="preserve">Amendments to Regulation </w:t>
      </w:r>
      <w:r w:rsidR="005E0B18" w:rsidRPr="00F56F62">
        <w:rPr>
          <w:b/>
          <w:bCs/>
          <w:noProof/>
        </w:rPr>
        <w:t>(EU) 2024/1789</w:t>
      </w:r>
    </w:p>
    <w:p w14:paraId="1B51972A" w14:textId="77777777" w:rsidR="00FD01FF" w:rsidRPr="00F56F62" w:rsidRDefault="00FD01FF" w:rsidP="00FD01FF">
      <w:pPr>
        <w:rPr>
          <w:noProof/>
        </w:rPr>
      </w:pPr>
    </w:p>
    <w:p w14:paraId="2420F2D6" w14:textId="77777777" w:rsidR="005946F0" w:rsidRPr="00F56F62" w:rsidRDefault="00D304F3">
      <w:pPr>
        <w:pStyle w:val="Text1"/>
        <w:rPr>
          <w:noProof/>
        </w:rPr>
      </w:pPr>
      <w:r w:rsidRPr="00F56F62">
        <w:rPr>
          <w:noProof/>
        </w:rPr>
        <w:t>Regulation (EU) 2024/1789 is</w:t>
      </w:r>
      <w:r w:rsidR="005946F0" w:rsidRPr="00F56F62">
        <w:rPr>
          <w:noProof/>
        </w:rPr>
        <w:t xml:space="preserve"> amended as follows:</w:t>
      </w:r>
    </w:p>
    <w:p w14:paraId="1F10C7A6" w14:textId="77777777" w:rsidR="008C59F9" w:rsidRPr="00F56F62" w:rsidRDefault="005946F0">
      <w:pPr>
        <w:pStyle w:val="Text1"/>
        <w:rPr>
          <w:rFonts w:ascii="Aptos" w:eastAsia="Aptos" w:hAnsi="Aptos" w:cs="Aptos"/>
          <w:i/>
          <w:noProof/>
        </w:rPr>
      </w:pPr>
      <w:r w:rsidRPr="00F56F62">
        <w:rPr>
          <w:noProof/>
        </w:rPr>
        <w:t>(1) Article 60 is</w:t>
      </w:r>
      <w:r w:rsidR="00D304F3" w:rsidRPr="00F56F62">
        <w:rPr>
          <w:noProof/>
        </w:rPr>
        <w:t xml:space="preserve"> replaced by the following:</w:t>
      </w:r>
      <w:r w:rsidR="1B41AE1A" w:rsidRPr="00F56F62">
        <w:rPr>
          <w:rFonts w:ascii="Aptos" w:eastAsia="Aptos" w:hAnsi="Aptos" w:cs="Aptos"/>
          <w:i/>
          <w:noProof/>
        </w:rPr>
        <w:t xml:space="preserve"> </w:t>
      </w:r>
    </w:p>
    <w:p w14:paraId="61C7DEDB" w14:textId="77777777" w:rsidR="004145E2" w:rsidRPr="00F56F62" w:rsidRDefault="004145E2" w:rsidP="004145E2">
      <w:pPr>
        <w:jc w:val="center"/>
        <w:rPr>
          <w:noProof/>
        </w:rPr>
      </w:pPr>
      <w:r w:rsidRPr="00F56F62">
        <w:rPr>
          <w:noProof/>
        </w:rPr>
        <w:t xml:space="preserve">‘Article </w:t>
      </w:r>
      <w:r w:rsidR="00D7751E" w:rsidRPr="00F56F62">
        <w:rPr>
          <w:noProof/>
        </w:rPr>
        <w:t>60</w:t>
      </w:r>
    </w:p>
    <w:p w14:paraId="4BBD5033" w14:textId="77777777" w:rsidR="1B41AE1A" w:rsidRPr="00F56F62" w:rsidRDefault="1B41AE1A" w:rsidP="00FD01FF">
      <w:pPr>
        <w:pStyle w:val="NormalCentered"/>
        <w:rPr>
          <w:b/>
          <w:bCs/>
          <w:noProof/>
          <w:lang w:eastAsia="en-IE"/>
        </w:rPr>
      </w:pPr>
      <w:r w:rsidRPr="00F56F62">
        <w:rPr>
          <w:b/>
          <w:bCs/>
          <w:noProof/>
          <w:lang w:eastAsia="en-IE"/>
        </w:rPr>
        <w:t>Union-wide network development plan for hydrogen</w:t>
      </w:r>
    </w:p>
    <w:p w14:paraId="38BA89CC" w14:textId="14F45FDA" w:rsidR="1B41AE1A" w:rsidRPr="00F56F62" w:rsidRDefault="00C44DD6" w:rsidP="00C44DD6">
      <w:pPr>
        <w:pStyle w:val="ManualNumPar1"/>
        <w:rPr>
          <w:noProof/>
          <w:lang w:eastAsia="en-IE"/>
        </w:rPr>
      </w:pPr>
      <w:r w:rsidRPr="00C44DD6">
        <w:rPr>
          <w:noProof/>
        </w:rPr>
        <w:t>1.</w:t>
      </w:r>
      <w:r w:rsidRPr="00C44DD6">
        <w:rPr>
          <w:noProof/>
        </w:rPr>
        <w:tab/>
      </w:r>
      <w:r w:rsidR="1B41AE1A" w:rsidRPr="00F56F62">
        <w:rPr>
          <w:noProof/>
          <w:lang w:eastAsia="en-IE"/>
        </w:rPr>
        <w:t xml:space="preserve">The Union-wide network development plan for hydrogen shall </w:t>
      </w:r>
      <w:r w:rsidR="1B41AE1A" w:rsidRPr="00F56F62">
        <w:rPr>
          <w:noProof/>
        </w:rPr>
        <w:t xml:space="preserve">be based on the central scenario and the identification of system needs report pursuant to Articles 11 and 12 of </w:t>
      </w:r>
      <w:r w:rsidR="00AF5F1F" w:rsidRPr="00F56F62">
        <w:rPr>
          <w:noProof/>
        </w:rPr>
        <w:t>Regulation (EU) …/…</w:t>
      </w:r>
      <w:r w:rsidR="00AF5F1F" w:rsidRPr="00F56F62">
        <w:rPr>
          <w:noProof/>
          <w:lang w:eastAsia="en-IE"/>
        </w:rPr>
        <w:t xml:space="preserve"> </w:t>
      </w:r>
      <w:r w:rsidR="009D1D39" w:rsidRPr="00F56F62">
        <w:rPr>
          <w:noProof/>
        </w:rPr>
        <w:t>of the European Parliament and of the Council*</w:t>
      </w:r>
      <w:r w:rsidR="009D1D39" w:rsidRPr="00F56F62">
        <w:rPr>
          <w:noProof/>
          <w:lang w:eastAsia="en-IE"/>
        </w:rPr>
        <w:t xml:space="preserve"> </w:t>
      </w:r>
      <w:r w:rsidR="00550C02" w:rsidRPr="00F56F62">
        <w:rPr>
          <w:noProof/>
          <w:lang w:eastAsia="en-IE"/>
        </w:rPr>
        <w:t>[</w:t>
      </w:r>
      <w:r w:rsidR="00550C02">
        <w:rPr>
          <w:i/>
          <w:noProof/>
        </w:rPr>
        <w:t>the TEN-E Regulation as proposed by COM(2025)xxxx</w:t>
      </w:r>
      <w:r w:rsidR="00550C02" w:rsidRPr="00F56F62">
        <w:rPr>
          <w:noProof/>
          <w:lang w:eastAsia="en-IE"/>
        </w:rPr>
        <w:t>]</w:t>
      </w:r>
      <w:r w:rsidR="1B41AE1A" w:rsidRPr="00F56F62">
        <w:rPr>
          <w:noProof/>
        </w:rPr>
        <w:t xml:space="preserve"> and shall </w:t>
      </w:r>
      <w:r w:rsidR="1B41AE1A" w:rsidRPr="00F56F62">
        <w:rPr>
          <w:noProof/>
          <w:lang w:eastAsia="en-IE"/>
        </w:rPr>
        <w:t>include the modelling of the integrated hydrogen network, a European supply adequacy outlook and an assessment of the resilience of the system.</w:t>
      </w:r>
    </w:p>
    <w:p w14:paraId="674525B5" w14:textId="77777777" w:rsidR="1B41AE1A" w:rsidRPr="00F56F62" w:rsidRDefault="1B41AE1A" w:rsidP="007144E8">
      <w:pPr>
        <w:pStyle w:val="Point1"/>
        <w:rPr>
          <w:noProof/>
        </w:rPr>
      </w:pPr>
      <w:r w:rsidRPr="00F56F62">
        <w:rPr>
          <w:noProof/>
        </w:rPr>
        <w:t>The Union-wide network development plan for hydrogen shall, in particular:</w:t>
      </w:r>
    </w:p>
    <w:p w14:paraId="62C47F59" w14:textId="77777777" w:rsidR="00D95527" w:rsidRPr="00D95527" w:rsidRDefault="00D95527" w:rsidP="001354A1">
      <w:pPr>
        <w:pStyle w:val="Text1"/>
        <w:rPr>
          <w:noProof/>
        </w:rPr>
      </w:pPr>
      <w:r w:rsidRPr="00F56F62">
        <w:rPr>
          <w:noProof/>
        </w:rPr>
        <w:t>(a)</w:t>
      </w:r>
      <w:r w:rsidRPr="00F56F62">
        <w:rPr>
          <w:noProof/>
        </w:rPr>
        <w:tab/>
        <w:t xml:space="preserve"> build on the national hydrogen transmission network development plans as laid down in Article 55 of Directive (EU) 2024/1788 and be based on Union aspects of network planning as set out in </w:t>
      </w:r>
      <w:r w:rsidR="00AE5FDE" w:rsidRPr="00F56F62">
        <w:rPr>
          <w:noProof/>
        </w:rPr>
        <w:t>Regulation (EU) …/…</w:t>
      </w:r>
      <w:r w:rsidR="00AE5FDE">
        <w:rPr>
          <w:noProof/>
        </w:rPr>
        <w:t xml:space="preserve"> </w:t>
      </w:r>
      <w:r w:rsidR="00D9523E">
        <w:rPr>
          <w:noProof/>
        </w:rPr>
        <w:t>[the TEN-E Regulation as proposed by COM(2025)xxxx]</w:t>
      </w:r>
      <w:r w:rsidR="00E2489E" w:rsidRPr="00F56F62">
        <w:rPr>
          <w:noProof/>
          <w:szCs w:val="24"/>
        </w:rPr>
        <w:t>;</w:t>
      </w:r>
    </w:p>
    <w:p w14:paraId="27565712" w14:textId="77777777" w:rsidR="00D95527" w:rsidRPr="00D95527" w:rsidRDefault="00D95527" w:rsidP="001354A1">
      <w:pPr>
        <w:pStyle w:val="Text1"/>
        <w:rPr>
          <w:noProof/>
        </w:rPr>
      </w:pPr>
      <w:r w:rsidRPr="00D95527">
        <w:rPr>
          <w:noProof/>
        </w:rPr>
        <w:t>(b)</w:t>
      </w:r>
      <w:r w:rsidRPr="00D95527">
        <w:rPr>
          <w:noProof/>
        </w:rPr>
        <w:tab/>
        <w:t xml:space="preserve">regarding cross-border interconnections, build on the reasonable needs of different network users and integrate long-term commitments from investors as referred to in Article 55(7) of Directive (EU) 2024/1788; </w:t>
      </w:r>
    </w:p>
    <w:p w14:paraId="365709EF" w14:textId="77777777" w:rsidR="00D95527" w:rsidRPr="00D95527" w:rsidRDefault="00D95527" w:rsidP="001354A1">
      <w:pPr>
        <w:pStyle w:val="Text1"/>
        <w:rPr>
          <w:noProof/>
        </w:rPr>
      </w:pPr>
      <w:r w:rsidRPr="00D95527">
        <w:rPr>
          <w:noProof/>
        </w:rPr>
        <w:t>(c)</w:t>
      </w:r>
      <w:r w:rsidRPr="00D95527">
        <w:rPr>
          <w:noProof/>
        </w:rPr>
        <w:tab/>
        <w:t xml:space="preserve">identify investment gaps, in particular with respect to the necessary cross-border capacities, to implement the priority corridors for hydrogen and electrolysers as referred to </w:t>
      </w:r>
      <w:r w:rsidRPr="00F56F62">
        <w:rPr>
          <w:noProof/>
        </w:rPr>
        <w:t xml:space="preserve">in point 3 of Annex I to </w:t>
      </w:r>
      <w:r w:rsidR="00AE5FDE" w:rsidRPr="00F56F62">
        <w:rPr>
          <w:noProof/>
        </w:rPr>
        <w:t>Regulation (EU) …/…</w:t>
      </w:r>
      <w:r w:rsidR="00AE5FDE">
        <w:rPr>
          <w:noProof/>
        </w:rPr>
        <w:t xml:space="preserve"> </w:t>
      </w:r>
      <w:r w:rsidR="00085D9A">
        <w:rPr>
          <w:noProof/>
        </w:rPr>
        <w:t>[</w:t>
      </w:r>
      <w:r w:rsidR="00085D9A">
        <w:rPr>
          <w:i/>
          <w:noProof/>
        </w:rPr>
        <w:t>the TEN-E Regulation as proposed by COM(2025)xxxx</w:t>
      </w:r>
      <w:r w:rsidR="00085D9A">
        <w:rPr>
          <w:noProof/>
        </w:rPr>
        <w:t>]</w:t>
      </w:r>
      <w:r>
        <w:rPr>
          <w:noProof/>
        </w:rPr>
        <w:t>.</w:t>
      </w:r>
    </w:p>
    <w:p w14:paraId="4424D8BC" w14:textId="77777777" w:rsidR="00D95527" w:rsidRPr="007144E8" w:rsidRDefault="00D95527" w:rsidP="007144E8">
      <w:pPr>
        <w:ind w:left="850"/>
        <w:rPr>
          <w:noProof/>
        </w:rPr>
      </w:pPr>
      <w:r w:rsidRPr="00D95527">
        <w:rPr>
          <w:noProof/>
        </w:rPr>
        <w:t xml:space="preserve">With regard to the second subparagraph, point (c), a review of barriers to the increase of cross-border capacity of the network arising from different approval procedures or practices </w:t>
      </w:r>
      <w:r w:rsidRPr="007144E8">
        <w:rPr>
          <w:noProof/>
        </w:rPr>
        <w:t>may be annexed to the Union-wide network development plan for hydrogen. Such a review may be accompanied, where appropriate, by a comprehensive plan to remove such barriers and accelerate the implementation of the priority corridors for hydrogen and electrolysers.</w:t>
      </w:r>
    </w:p>
    <w:p w14:paraId="549B8601" w14:textId="006A9C21" w:rsidR="36249A6B" w:rsidRPr="00F56F62" w:rsidRDefault="00C44DD6" w:rsidP="00C44DD6">
      <w:pPr>
        <w:pStyle w:val="ManualNumPar1"/>
        <w:rPr>
          <w:rFonts w:eastAsia="Aptos"/>
          <w:noProof/>
          <w:szCs w:val="24"/>
        </w:rPr>
      </w:pPr>
      <w:r w:rsidRPr="00C44DD6">
        <w:rPr>
          <w:noProof/>
        </w:rPr>
        <w:t>2.</w:t>
      </w:r>
      <w:r w:rsidRPr="00C44DD6">
        <w:rPr>
          <w:noProof/>
        </w:rPr>
        <w:tab/>
      </w:r>
      <w:r w:rsidR="36249A6B" w:rsidRPr="007144E8">
        <w:rPr>
          <w:noProof/>
          <w:lang w:eastAsia="en-IE"/>
        </w:rPr>
        <w:t xml:space="preserve">ACER shall provide an opinion on the national hydrogen transmission network development plans where relevant to assess their consistency with the Union-wide network </w:t>
      </w:r>
      <w:r w:rsidR="36249A6B" w:rsidRPr="00F56F62">
        <w:rPr>
          <w:noProof/>
          <w:lang w:eastAsia="en-IE"/>
        </w:rPr>
        <w:t>development plan for hydrogen including compliance with requirements of Article 3</w:t>
      </w:r>
      <w:r w:rsidR="0057180F" w:rsidRPr="00F56F62">
        <w:rPr>
          <w:noProof/>
          <w:lang w:eastAsia="en-IE"/>
        </w:rPr>
        <w:t>(6) and (7)</w:t>
      </w:r>
      <w:r w:rsidR="36249A6B" w:rsidRPr="00F56F62">
        <w:rPr>
          <w:noProof/>
          <w:lang w:eastAsia="en-IE"/>
        </w:rPr>
        <w:t xml:space="preserve"> of </w:t>
      </w:r>
      <w:r w:rsidR="00AE5FDE" w:rsidRPr="00F56F62">
        <w:rPr>
          <w:noProof/>
        </w:rPr>
        <w:t>Regulation (EU) …/…</w:t>
      </w:r>
      <w:r w:rsidR="00AE5FDE">
        <w:rPr>
          <w:noProof/>
        </w:rPr>
        <w:t xml:space="preserve"> </w:t>
      </w:r>
      <w:r w:rsidR="005D0961" w:rsidRPr="00F56F62">
        <w:rPr>
          <w:noProof/>
          <w:lang w:eastAsia="en-IE"/>
        </w:rPr>
        <w:t>[</w:t>
      </w:r>
      <w:r w:rsidR="005D0961">
        <w:rPr>
          <w:i/>
          <w:noProof/>
        </w:rPr>
        <w:t>the TEN-E Regulation as proposed by COM(2025)xxxx</w:t>
      </w:r>
      <w:r w:rsidR="005D0961" w:rsidRPr="00F56F62">
        <w:rPr>
          <w:noProof/>
          <w:lang w:eastAsia="en-IE"/>
        </w:rPr>
        <w:t>]</w:t>
      </w:r>
      <w:r w:rsidR="36249A6B" w:rsidRPr="00F56F62">
        <w:rPr>
          <w:noProof/>
          <w:lang w:eastAsia="en-IE"/>
        </w:rPr>
        <w:t xml:space="preserve">. If ACER identifies inconsistencies between a national hydrogen transmission network development plan and the Union-wide network development plan for hydrogen, it shall recommend amending the national hydrogen transmission network development plan or the Union-wide network development plan for hydrogen as appropriate, </w:t>
      </w:r>
      <w:r w:rsidR="009B397B" w:rsidRPr="00F56F62">
        <w:rPr>
          <w:noProof/>
          <w:lang w:eastAsia="en-IE"/>
        </w:rPr>
        <w:t xml:space="preserve">no later than </w:t>
      </w:r>
      <w:r w:rsidR="36249A6B" w:rsidRPr="00F56F62">
        <w:rPr>
          <w:noProof/>
          <w:lang w:eastAsia="en-IE"/>
        </w:rPr>
        <w:t xml:space="preserve">two months </w:t>
      </w:r>
      <w:r w:rsidR="001B3C1E" w:rsidRPr="00F56F62">
        <w:rPr>
          <w:noProof/>
          <w:lang w:eastAsia="en-IE"/>
        </w:rPr>
        <w:t>after receiving the</w:t>
      </w:r>
      <w:r w:rsidR="0033587D" w:rsidRPr="00F56F62">
        <w:rPr>
          <w:noProof/>
          <w:lang w:eastAsia="en-IE"/>
        </w:rPr>
        <w:t xml:space="preserve"> national hydrogen transmission network development plan</w:t>
      </w:r>
      <w:r w:rsidR="36249A6B" w:rsidRPr="00F56F62">
        <w:rPr>
          <w:noProof/>
          <w:lang w:eastAsia="en-IE"/>
        </w:rPr>
        <w:t>.</w:t>
      </w:r>
    </w:p>
    <w:p w14:paraId="6D70A8CE" w14:textId="38ED3DDA" w:rsidR="002B622A" w:rsidRPr="00F56F62" w:rsidRDefault="00C44DD6" w:rsidP="00C44DD6">
      <w:pPr>
        <w:pStyle w:val="ManualNumPar1"/>
        <w:rPr>
          <w:noProof/>
          <w:lang w:eastAsia="en-IE"/>
        </w:rPr>
      </w:pPr>
      <w:r w:rsidRPr="00C44DD6">
        <w:rPr>
          <w:noProof/>
        </w:rPr>
        <w:t>3.</w:t>
      </w:r>
      <w:r w:rsidRPr="00C44DD6">
        <w:rPr>
          <w:noProof/>
        </w:rPr>
        <w:tab/>
      </w:r>
      <w:r w:rsidR="36249A6B" w:rsidRPr="00F56F62">
        <w:rPr>
          <w:noProof/>
          <w:lang w:eastAsia="en-IE"/>
        </w:rPr>
        <w:t xml:space="preserve">When developing the Union-wide network development plan for hydrogen, the ENNOH shall cooperate with the ENTSO for Electricity and with the ENTSO for Gas, in particular on the development of the energy system wide cost-benefit analysis referred to in Article 14 of </w:t>
      </w:r>
      <w:r w:rsidR="00AE5FDE" w:rsidRPr="00F56F62">
        <w:rPr>
          <w:noProof/>
        </w:rPr>
        <w:t>Regulation (EU) …/…</w:t>
      </w:r>
      <w:r w:rsidR="00AE5FDE" w:rsidRPr="00F56F62">
        <w:rPr>
          <w:noProof/>
          <w:lang w:eastAsia="en-IE"/>
        </w:rPr>
        <w:t xml:space="preserve"> </w:t>
      </w:r>
      <w:r w:rsidR="004855C0" w:rsidRPr="00F56F62">
        <w:rPr>
          <w:noProof/>
          <w:lang w:eastAsia="en-IE"/>
        </w:rPr>
        <w:t>[</w:t>
      </w:r>
      <w:r w:rsidR="004855C0">
        <w:rPr>
          <w:i/>
          <w:noProof/>
        </w:rPr>
        <w:t>the TEN-E Regulation as proposed by COM(2025)xxxx</w:t>
      </w:r>
      <w:r w:rsidR="004855C0" w:rsidRPr="00F56F62">
        <w:rPr>
          <w:noProof/>
          <w:lang w:eastAsia="en-IE"/>
        </w:rPr>
        <w:t>]</w:t>
      </w:r>
      <w:r w:rsidR="36249A6B" w:rsidRPr="00F56F62">
        <w:rPr>
          <w:noProof/>
          <w:lang w:eastAsia="en-IE"/>
        </w:rPr>
        <w:t>, and the infrastructure gaps identification referred to in Article 13 of that Regulation.</w:t>
      </w:r>
    </w:p>
    <w:p w14:paraId="1608DBE0" w14:textId="77777777" w:rsidR="002B622A" w:rsidRPr="00F56F62" w:rsidRDefault="00193AB6">
      <w:pPr>
        <w:pStyle w:val="Text1"/>
        <w:rPr>
          <w:noProof/>
          <w:lang w:eastAsia="en-IE"/>
        </w:rPr>
      </w:pPr>
      <w:r w:rsidRPr="00F56F62">
        <w:rPr>
          <w:noProof/>
          <w:lang w:eastAsia="en-IE"/>
        </w:rPr>
        <w:t>___________</w:t>
      </w:r>
    </w:p>
    <w:p w14:paraId="6CE7EFB9" w14:textId="77777777" w:rsidR="36249A6B" w:rsidRPr="004D60A9" w:rsidRDefault="00193AB6">
      <w:pPr>
        <w:pStyle w:val="Text1"/>
        <w:rPr>
          <w:noProof/>
          <w:lang w:eastAsia="en-IE"/>
        </w:rPr>
      </w:pPr>
      <w:r w:rsidRPr="00F56F62">
        <w:rPr>
          <w:noProof/>
          <w:lang w:eastAsia="en-IE"/>
        </w:rPr>
        <w:t xml:space="preserve">* </w:t>
      </w:r>
      <w:r w:rsidRPr="00F56F62">
        <w:rPr>
          <w:noProof/>
        </w:rPr>
        <w:t>Regulation (EU) …/…</w:t>
      </w:r>
      <w:r w:rsidR="00B51C4B" w:rsidRPr="00F56F62">
        <w:rPr>
          <w:noProof/>
        </w:rPr>
        <w:t xml:space="preserve"> of the European Parliament and of the Council</w:t>
      </w:r>
      <w:r w:rsidR="00255F20">
        <w:rPr>
          <w:noProof/>
        </w:rPr>
        <w:t xml:space="preserve"> … </w:t>
      </w:r>
      <w:r>
        <w:rPr>
          <w:noProof/>
        </w:rPr>
        <w:t>[the TEN-E Regulation as proposed by COM(2025)xxxx]</w:t>
      </w:r>
      <w:r w:rsidR="00FE2ADF" w:rsidRPr="00F56F62">
        <w:rPr>
          <w:noProof/>
          <w:szCs w:val="24"/>
        </w:rPr>
        <w:t xml:space="preserve"> (OJ…, ELI: …)</w:t>
      </w:r>
      <w:r w:rsidR="004145E2" w:rsidRPr="00F56F62">
        <w:rPr>
          <w:noProof/>
          <w:lang w:eastAsia="en-IE"/>
        </w:rPr>
        <w:t>’</w:t>
      </w:r>
    </w:p>
    <w:p w14:paraId="18E473C3" w14:textId="77777777" w:rsidR="36249A6B" w:rsidRDefault="36249A6B" w:rsidP="00555861">
      <w:pPr>
        <w:spacing w:before="0" w:after="160" w:line="276" w:lineRule="auto"/>
        <w:rPr>
          <w:rFonts w:ascii="Aptos" w:eastAsia="Aptos" w:hAnsi="Aptos" w:cs="Aptos"/>
          <w:noProof/>
          <w:szCs w:val="24"/>
        </w:rPr>
      </w:pPr>
      <w:r w:rsidRPr="2375491B">
        <w:rPr>
          <w:rFonts w:ascii="Aptos" w:eastAsia="Aptos" w:hAnsi="Aptos" w:cs="Aptos"/>
          <w:noProof/>
          <w:szCs w:val="24"/>
        </w:rPr>
        <w:t xml:space="preserve"> </w:t>
      </w:r>
    </w:p>
    <w:p w14:paraId="0F39B485" w14:textId="77777777" w:rsidR="0041789E" w:rsidRDefault="0057180F" w:rsidP="00FD01FF">
      <w:pPr>
        <w:rPr>
          <w:noProof/>
        </w:rPr>
      </w:pPr>
      <w:r>
        <w:rPr>
          <w:noProof/>
        </w:rPr>
        <w:t xml:space="preserve">(2) </w:t>
      </w:r>
      <w:r w:rsidR="36249A6B" w:rsidRPr="00FD01FF">
        <w:rPr>
          <w:noProof/>
        </w:rPr>
        <w:t>Article 61</w:t>
      </w:r>
      <w:r w:rsidR="0041789E" w:rsidRPr="00FD01FF">
        <w:rPr>
          <w:noProof/>
        </w:rPr>
        <w:t xml:space="preserve"> </w:t>
      </w:r>
      <w:r w:rsidR="0041789E">
        <w:rPr>
          <w:noProof/>
        </w:rPr>
        <w:t>is</w:t>
      </w:r>
      <w:r w:rsidR="0041789E" w:rsidRPr="00B14620">
        <w:rPr>
          <w:noProof/>
        </w:rPr>
        <w:t xml:space="preserve"> replaced by the following</w:t>
      </w:r>
      <w:r w:rsidR="0041789E">
        <w:rPr>
          <w:noProof/>
        </w:rPr>
        <w:t>:</w:t>
      </w:r>
    </w:p>
    <w:p w14:paraId="33CEFA08" w14:textId="77777777" w:rsidR="004145E2" w:rsidRPr="00B14620" w:rsidRDefault="004145E2" w:rsidP="004145E2">
      <w:pPr>
        <w:jc w:val="center"/>
        <w:rPr>
          <w:noProof/>
        </w:rPr>
      </w:pPr>
      <w:r>
        <w:rPr>
          <w:noProof/>
        </w:rPr>
        <w:t xml:space="preserve">‘Article </w:t>
      </w:r>
      <w:r w:rsidR="00D7751E">
        <w:rPr>
          <w:noProof/>
        </w:rPr>
        <w:t>61</w:t>
      </w:r>
    </w:p>
    <w:p w14:paraId="265AC2B9" w14:textId="77777777" w:rsidR="36249A6B" w:rsidRPr="00FD01FF" w:rsidRDefault="36249A6B" w:rsidP="00FD01FF">
      <w:pPr>
        <w:pStyle w:val="NormalCentered"/>
        <w:rPr>
          <w:rFonts w:ascii="Aptos" w:eastAsia="Aptos" w:hAnsi="Aptos" w:cs="Aptos"/>
          <w:b/>
          <w:bCs/>
          <w:noProof/>
          <w:szCs w:val="24"/>
          <w:u w:val="single"/>
        </w:rPr>
      </w:pPr>
      <w:r w:rsidRPr="00FD01FF">
        <w:rPr>
          <w:rFonts w:ascii="Aptos" w:eastAsia="Aptos" w:hAnsi="Aptos" w:cs="Aptos"/>
          <w:b/>
          <w:bCs/>
          <w:i/>
          <w:iCs/>
          <w:noProof/>
          <w:szCs w:val="24"/>
        </w:rPr>
        <w:t xml:space="preserve"> </w:t>
      </w:r>
      <w:r w:rsidRPr="00FD01FF">
        <w:rPr>
          <w:b/>
          <w:bCs/>
          <w:noProof/>
          <w:lang w:eastAsia="en-IE"/>
        </w:rPr>
        <w:t>Union-level integrated network planning</w:t>
      </w:r>
    </w:p>
    <w:p w14:paraId="02ED076E" w14:textId="526CF484" w:rsidR="36249A6B" w:rsidRDefault="00C44DD6" w:rsidP="00C44DD6">
      <w:pPr>
        <w:pStyle w:val="ManualNumPar1"/>
        <w:rPr>
          <w:noProof/>
        </w:rPr>
      </w:pPr>
      <w:r w:rsidRPr="00C44DD6">
        <w:rPr>
          <w:noProof/>
        </w:rPr>
        <w:t>1.</w:t>
      </w:r>
      <w:r w:rsidRPr="00C44DD6">
        <w:rPr>
          <w:noProof/>
        </w:rPr>
        <w:tab/>
      </w:r>
      <w:r w:rsidR="36249A6B" w:rsidRPr="2375491B">
        <w:rPr>
          <w:noProof/>
        </w:rPr>
        <w:t>During the transitional period until 1 January 2027, the ENTSO for Gas shall develop the 2026 Union-wide network development plan for hydrogen, with the full involvement of hydrogen transmission network operators and together with the ENNOH as soon as it is established. The 2026 Union-wide network development plan for hydrogen shall consist of two separate chapters, one for hydrogen and one for natural gas. The ENTSO for Gas shall without delay transfer to the ENNOH all the information, including data and analyses it collected during the preparation of the Union-wide network development plans for hydrogen by 1 January 2027.</w:t>
      </w:r>
    </w:p>
    <w:p w14:paraId="5A42C0BB" w14:textId="688BB35D" w:rsidR="36249A6B" w:rsidRDefault="00C44DD6" w:rsidP="00C44DD6">
      <w:pPr>
        <w:pStyle w:val="ManualNumPar1"/>
        <w:rPr>
          <w:noProof/>
        </w:rPr>
      </w:pPr>
      <w:r w:rsidRPr="00C44DD6">
        <w:rPr>
          <w:noProof/>
        </w:rPr>
        <w:t>2.</w:t>
      </w:r>
      <w:r w:rsidRPr="00C44DD6">
        <w:rPr>
          <w:noProof/>
        </w:rPr>
        <w:tab/>
      </w:r>
      <w:r w:rsidR="36249A6B" w:rsidRPr="2375491B">
        <w:rPr>
          <w:noProof/>
        </w:rPr>
        <w:t>The ENNOH shall develop the 2028 Union-wide network development plan for hydrogen pursuant to this Article and Article 60.</w:t>
      </w:r>
    </w:p>
    <w:p w14:paraId="4DE8A17F" w14:textId="114A4026" w:rsidR="36249A6B" w:rsidRPr="006D09F2" w:rsidRDefault="00C44DD6" w:rsidP="00C44DD6">
      <w:pPr>
        <w:pStyle w:val="ManualNumPar1"/>
        <w:rPr>
          <w:noProof/>
        </w:rPr>
      </w:pPr>
      <w:r w:rsidRPr="00C44DD6">
        <w:rPr>
          <w:noProof/>
        </w:rPr>
        <w:t>3.</w:t>
      </w:r>
      <w:r w:rsidRPr="00C44DD6">
        <w:rPr>
          <w:noProof/>
        </w:rPr>
        <w:tab/>
      </w:r>
      <w:r w:rsidR="36249A6B" w:rsidRPr="2375491B">
        <w:rPr>
          <w:noProof/>
        </w:rPr>
        <w:t xml:space="preserve">The ENNOH shall cooperate closely with the ENTSO for Electricity and the ENTSO for Gas to develop integrated Union-wide network development plans pursuant to Articles 32 and 60 of this Regulation and to Article 30 of Regulation (EU) 2019/943 respectively. </w:t>
      </w:r>
    </w:p>
    <w:p w14:paraId="708874A1" w14:textId="2A4AC3E7" w:rsidR="003E5361" w:rsidRPr="003E5361" w:rsidRDefault="00C44DD6" w:rsidP="00C44DD6">
      <w:pPr>
        <w:pStyle w:val="ManualNumPar1"/>
        <w:rPr>
          <w:noProof/>
        </w:rPr>
      </w:pPr>
      <w:r w:rsidRPr="00C44DD6">
        <w:rPr>
          <w:noProof/>
        </w:rPr>
        <w:t>4.</w:t>
      </w:r>
      <w:r w:rsidRPr="00C44DD6">
        <w:rPr>
          <w:noProof/>
        </w:rPr>
        <w:tab/>
      </w:r>
      <w:r w:rsidR="003E5361" w:rsidRPr="003E5361">
        <w:rPr>
          <w:noProof/>
        </w:rPr>
        <w:t xml:space="preserve">Where decisions need to be made to ensure system efficiency as defined in Article 2, point (4), of Directive (EU) 2023/1791 </w:t>
      </w:r>
      <w:r w:rsidR="00F57034" w:rsidRPr="00B508E8">
        <w:rPr>
          <w:noProof/>
        </w:rPr>
        <w:t xml:space="preserve">of the European Parliament and of the Council </w:t>
      </w:r>
      <w:r w:rsidR="003E5361" w:rsidRPr="003E5361">
        <w:rPr>
          <w:noProof/>
        </w:rPr>
        <w:t>across energy-carriers the Commission shall ensure that the ENTSO for Electricity, the ENTSO for Gas and the ENNOH cooperate closely.</w:t>
      </w:r>
    </w:p>
    <w:p w14:paraId="3DEF291E" w14:textId="2149E108" w:rsidR="003E5361" w:rsidRPr="003E5361" w:rsidRDefault="00C44DD6" w:rsidP="00C44DD6">
      <w:pPr>
        <w:pStyle w:val="ManualNumPar1"/>
        <w:rPr>
          <w:noProof/>
        </w:rPr>
      </w:pPr>
      <w:r w:rsidRPr="00C44DD6">
        <w:rPr>
          <w:noProof/>
        </w:rPr>
        <w:t>5.</w:t>
      </w:r>
      <w:r w:rsidRPr="00C44DD6">
        <w:rPr>
          <w:noProof/>
        </w:rPr>
        <w:tab/>
      </w:r>
      <w:r w:rsidR="003E5361" w:rsidRPr="003E5361">
        <w:rPr>
          <w:noProof/>
        </w:rPr>
        <w:t>The ENNOH, the ENTSO for Electricity and the ENTSO for Gas shall cooperate in an efficient, inclusive and transparent manner, they shall facilitate taking decisions by consensus and they shall develop the necessary working arrangements for the purpose of enabling such cooperation and ensuring their fair representation.</w:t>
      </w:r>
    </w:p>
    <w:p w14:paraId="1B093BA4" w14:textId="77777777" w:rsidR="12861934" w:rsidRPr="007144E8" w:rsidRDefault="003E5361" w:rsidP="007144E8">
      <w:pPr>
        <w:ind w:left="850"/>
        <w:rPr>
          <w:noProof/>
        </w:rPr>
      </w:pPr>
      <w:r w:rsidRPr="003E5361">
        <w:rPr>
          <w:noProof/>
        </w:rPr>
        <w:t>The ENNOH, together with the ENTSO for Electricity and the ENTSO for Gas, may establish working groups to fulfil its obligations pursuant to the first subparagraph, points (a), (b) and (d) and shall ensure fair and equal representation of the hydrogen, electricity and gas sectors in the working groups.</w:t>
      </w:r>
    </w:p>
    <w:p w14:paraId="4C41D0F4" w14:textId="77777777" w:rsidR="007328F1" w:rsidRPr="008679BD" w:rsidRDefault="007328F1" w:rsidP="007328F1">
      <w:pPr>
        <w:pStyle w:val="Titrearticle"/>
        <w:rPr>
          <w:noProof/>
          <w:lang w:val="en-IE" w:eastAsia="en-IE"/>
        </w:rPr>
      </w:pPr>
      <w:r w:rsidRPr="008679BD">
        <w:rPr>
          <w:noProof/>
          <w:lang w:val="en-IE" w:eastAsia="en-IE"/>
        </w:rPr>
        <w:t xml:space="preserve">Article </w:t>
      </w:r>
      <w:r w:rsidR="007144E8">
        <w:rPr>
          <w:noProof/>
          <w:lang w:val="en-IE" w:eastAsia="en-IE"/>
        </w:rPr>
        <w:t>31</w:t>
      </w:r>
    </w:p>
    <w:p w14:paraId="13F9FA55" w14:textId="77777777" w:rsidR="007328F1" w:rsidRPr="0004233E" w:rsidRDefault="007328F1" w:rsidP="007328F1">
      <w:pPr>
        <w:pStyle w:val="Titrearticle"/>
        <w:rPr>
          <w:b/>
          <w:bCs/>
          <w:noProof/>
          <w:lang w:val="en-IE"/>
        </w:rPr>
      </w:pPr>
      <w:r w:rsidRPr="0004233E">
        <w:rPr>
          <w:b/>
          <w:bCs/>
          <w:noProof/>
          <w:lang w:val="en-IE"/>
        </w:rPr>
        <w:t xml:space="preserve"> Transitional provisions</w:t>
      </w:r>
    </w:p>
    <w:p w14:paraId="7805529C" w14:textId="1EC25BD6" w:rsidR="007328F1" w:rsidRPr="00185722" w:rsidRDefault="00C44DD6" w:rsidP="00C44DD6">
      <w:pPr>
        <w:pStyle w:val="ManualNumPar1"/>
        <w:rPr>
          <w:noProof/>
        </w:rPr>
      </w:pPr>
      <w:bookmarkStart w:id="33" w:name="bookmark104"/>
      <w:r w:rsidRPr="00C44DD6">
        <w:rPr>
          <w:noProof/>
        </w:rPr>
        <w:t>1.</w:t>
      </w:r>
      <w:r w:rsidRPr="00C44DD6">
        <w:rPr>
          <w:noProof/>
        </w:rPr>
        <w:tab/>
      </w:r>
      <w:r w:rsidR="007328F1" w:rsidRPr="00185722">
        <w:rPr>
          <w:noProof/>
        </w:rPr>
        <w:t xml:space="preserve">This Regulation shall not affect the granting, continuation or </w:t>
      </w:r>
      <w:r w:rsidR="007328F1" w:rsidRPr="00B1380E">
        <w:rPr>
          <w:rFonts w:eastAsia="Times New Roman"/>
          <w:noProof/>
          <w:lang w:eastAsia="en-IE"/>
        </w:rPr>
        <w:t>modification</w:t>
      </w:r>
      <w:r w:rsidR="007328F1" w:rsidRPr="00185722">
        <w:rPr>
          <w:noProof/>
        </w:rPr>
        <w:t xml:space="preserve"> of financial assistance awarded by the Commission pursuant to Regulation (EU) No </w:t>
      </w:r>
      <w:r w:rsidR="007328F1" w:rsidRPr="004D60A9">
        <w:rPr>
          <w:noProof/>
        </w:rPr>
        <w:t>1316/2013</w:t>
      </w:r>
      <w:r w:rsidR="007328F1" w:rsidRPr="00185722">
        <w:rPr>
          <w:noProof/>
        </w:rPr>
        <w:t xml:space="preserve"> of the European Parliament and of the Council</w:t>
      </w:r>
      <w:bookmarkEnd w:id="33"/>
      <w:r w:rsidR="003F48D1">
        <w:rPr>
          <w:rStyle w:val="FootnoteReference"/>
          <w:noProof/>
        </w:rPr>
        <w:footnoteReference w:id="70"/>
      </w:r>
      <w:r w:rsidR="007328F1" w:rsidRPr="00B1380E">
        <w:rPr>
          <w:rFonts w:eastAsia="Times New Roman"/>
          <w:noProof/>
          <w:lang w:eastAsia="en-IE"/>
        </w:rPr>
        <w:t> </w:t>
      </w:r>
      <w:r w:rsidR="003C0D22" w:rsidRPr="00B1380E">
        <w:rPr>
          <w:rFonts w:eastAsia="Times New Roman"/>
          <w:noProof/>
          <w:lang w:eastAsia="en-IE"/>
        </w:rPr>
        <w:t xml:space="preserve">and Regulation </w:t>
      </w:r>
      <w:r w:rsidR="00EB0232" w:rsidRPr="00B1380E">
        <w:rPr>
          <w:rFonts w:eastAsia="Times New Roman"/>
          <w:noProof/>
          <w:lang w:eastAsia="en-IE"/>
        </w:rPr>
        <w:t>(EU) 2021/1153</w:t>
      </w:r>
      <w:r w:rsidR="007328F1" w:rsidRPr="00B1380E">
        <w:rPr>
          <w:rFonts w:eastAsia="Times New Roman"/>
          <w:noProof/>
          <w:lang w:eastAsia="en-IE"/>
        </w:rPr>
        <w:t>.</w:t>
      </w:r>
    </w:p>
    <w:p w14:paraId="7F3F32AA" w14:textId="4E0B3378" w:rsidR="004132F8" w:rsidRDefault="00C44DD6" w:rsidP="00C44DD6">
      <w:pPr>
        <w:pStyle w:val="ManualNumPar1"/>
        <w:rPr>
          <w:noProof/>
        </w:rPr>
      </w:pPr>
      <w:bookmarkStart w:id="34" w:name="bookmark108"/>
      <w:bookmarkStart w:id="35" w:name="bookmark111"/>
      <w:bookmarkEnd w:id="34"/>
      <w:bookmarkEnd w:id="35"/>
      <w:r w:rsidRPr="00C44DD6">
        <w:rPr>
          <w:noProof/>
        </w:rPr>
        <w:t>2.</w:t>
      </w:r>
      <w:r w:rsidRPr="00C44DD6">
        <w:rPr>
          <w:noProof/>
        </w:rPr>
        <w:tab/>
      </w:r>
      <w:r w:rsidR="004F7998">
        <w:rPr>
          <w:noProof/>
        </w:rPr>
        <w:t>A</w:t>
      </w:r>
      <w:r w:rsidR="00B9355E" w:rsidRPr="004D60A9">
        <w:rPr>
          <w:noProof/>
        </w:rPr>
        <w:t xml:space="preserve">ny process for developing the cost-benefit analysis methodology initiated by </w:t>
      </w:r>
      <w:r w:rsidR="00986712">
        <w:rPr>
          <w:noProof/>
        </w:rPr>
        <w:t xml:space="preserve">the </w:t>
      </w:r>
      <w:r w:rsidR="00B9355E" w:rsidRPr="004D60A9">
        <w:rPr>
          <w:noProof/>
        </w:rPr>
        <w:t>ENTSO</w:t>
      </w:r>
      <w:r w:rsidR="00986712">
        <w:rPr>
          <w:noProof/>
        </w:rPr>
        <w:t xml:space="preserve"> for </w:t>
      </w:r>
      <w:r w:rsidR="00B9355E" w:rsidRPr="004D60A9">
        <w:rPr>
          <w:noProof/>
        </w:rPr>
        <w:t>E</w:t>
      </w:r>
      <w:r w:rsidR="00986712">
        <w:rPr>
          <w:noProof/>
        </w:rPr>
        <w:t>lectricity</w:t>
      </w:r>
      <w:r w:rsidR="00B9355E" w:rsidRPr="004D60A9">
        <w:rPr>
          <w:noProof/>
        </w:rPr>
        <w:t xml:space="preserve"> </w:t>
      </w:r>
      <w:r w:rsidR="00263ED6">
        <w:rPr>
          <w:noProof/>
        </w:rPr>
        <w:t>or ENNOH</w:t>
      </w:r>
      <w:r w:rsidR="00B9355E" w:rsidRPr="004D60A9">
        <w:rPr>
          <w:noProof/>
        </w:rPr>
        <w:t xml:space="preserve"> </w:t>
      </w:r>
      <w:r w:rsidR="00C0351E">
        <w:rPr>
          <w:noProof/>
        </w:rPr>
        <w:t>in accordance with</w:t>
      </w:r>
      <w:r w:rsidR="00B9355E" w:rsidRPr="004D60A9">
        <w:rPr>
          <w:noProof/>
        </w:rPr>
        <w:t xml:space="preserve"> Article 11 of Regulation </w:t>
      </w:r>
      <w:r w:rsidR="000250E0" w:rsidRPr="004D60A9">
        <w:rPr>
          <w:noProof/>
        </w:rPr>
        <w:t>(EU) 2022/869</w:t>
      </w:r>
      <w:r w:rsidR="000250E0">
        <w:rPr>
          <w:noProof/>
        </w:rPr>
        <w:t xml:space="preserve"> </w:t>
      </w:r>
      <w:r w:rsidR="00B9355E" w:rsidRPr="004D60A9">
        <w:rPr>
          <w:noProof/>
        </w:rPr>
        <w:t>before [</w:t>
      </w:r>
      <w:r w:rsidR="00B9355E" w:rsidRPr="00C0351E">
        <w:rPr>
          <w:i/>
          <w:iCs/>
          <w:noProof/>
        </w:rPr>
        <w:t xml:space="preserve">date of </w:t>
      </w:r>
      <w:r w:rsidR="00300143">
        <w:rPr>
          <w:i/>
          <w:iCs/>
          <w:noProof/>
        </w:rPr>
        <w:t>entry into force/</w:t>
      </w:r>
      <w:r w:rsidR="00AE7D1A">
        <w:rPr>
          <w:i/>
          <w:iCs/>
          <w:noProof/>
        </w:rPr>
        <w:t>start of</w:t>
      </w:r>
      <w:r w:rsidR="00B9355E" w:rsidRPr="00C0351E">
        <w:rPr>
          <w:i/>
          <w:iCs/>
          <w:noProof/>
        </w:rPr>
        <w:t xml:space="preserve"> application of th</w:t>
      </w:r>
      <w:r w:rsidR="00004678">
        <w:rPr>
          <w:i/>
          <w:iCs/>
          <w:noProof/>
        </w:rPr>
        <w:t xml:space="preserve">is </w:t>
      </w:r>
      <w:r w:rsidR="00B9355E" w:rsidRPr="00C0351E">
        <w:rPr>
          <w:i/>
          <w:iCs/>
          <w:noProof/>
        </w:rPr>
        <w:t>Regulation</w:t>
      </w:r>
      <w:r w:rsidR="00B9355E" w:rsidRPr="004D60A9">
        <w:rPr>
          <w:noProof/>
        </w:rPr>
        <w:t xml:space="preserve">] shall continue under Article </w:t>
      </w:r>
      <w:r w:rsidR="00A7604D">
        <w:rPr>
          <w:noProof/>
        </w:rPr>
        <w:t>14</w:t>
      </w:r>
      <w:r w:rsidR="00B9355E" w:rsidRPr="004D60A9">
        <w:rPr>
          <w:noProof/>
        </w:rPr>
        <w:t xml:space="preserve"> of this Regulation. </w:t>
      </w:r>
    </w:p>
    <w:p w14:paraId="368797AC" w14:textId="77777777" w:rsidR="004132F8" w:rsidRDefault="00B9355E">
      <w:pPr>
        <w:pStyle w:val="Text1"/>
        <w:rPr>
          <w:noProof/>
        </w:rPr>
      </w:pPr>
      <w:r w:rsidRPr="004D60A9">
        <w:rPr>
          <w:noProof/>
        </w:rPr>
        <w:t xml:space="preserve">Any steps completed under Article 11 of Regulation (EU) 2022/869 shall be deemed to have been completed under the corresponding provisions of Article </w:t>
      </w:r>
      <w:r w:rsidR="00A75391" w:rsidRPr="004D60A9">
        <w:rPr>
          <w:noProof/>
        </w:rPr>
        <w:t>14</w:t>
      </w:r>
      <w:r w:rsidRPr="004D60A9">
        <w:rPr>
          <w:noProof/>
        </w:rPr>
        <w:t xml:space="preserve"> of this Regulation</w:t>
      </w:r>
      <w:r>
        <w:rPr>
          <w:noProof/>
        </w:rPr>
        <w:t xml:space="preserve">. </w:t>
      </w:r>
    </w:p>
    <w:p w14:paraId="0AD27B54" w14:textId="77777777" w:rsidR="00B9355E" w:rsidRDefault="00C315EA">
      <w:pPr>
        <w:pStyle w:val="Text1"/>
        <w:rPr>
          <w:noProof/>
        </w:rPr>
      </w:pPr>
      <w:r w:rsidRPr="00C315EA">
        <w:rPr>
          <w:noProof/>
        </w:rPr>
        <w:t>Any energy system-wide cost-benefit analysis methodology approved by the Commission pursuant to Article 11(4) of Regulation (EU) 2022/869 shall be deemed to have been approved under Article 1</w:t>
      </w:r>
      <w:r w:rsidR="00C15438">
        <w:rPr>
          <w:noProof/>
        </w:rPr>
        <w:t>4</w:t>
      </w:r>
      <w:r w:rsidR="00C15438" w:rsidRPr="00C315EA" w:rsidDel="00C15438">
        <w:rPr>
          <w:noProof/>
        </w:rPr>
        <w:t xml:space="preserve"> </w:t>
      </w:r>
      <w:r w:rsidRPr="00C315EA">
        <w:rPr>
          <w:noProof/>
        </w:rPr>
        <w:t xml:space="preserve">(7) of this Regulation and shall remain valid until it is replaced by a new </w:t>
      </w:r>
      <w:r w:rsidR="00496D5E" w:rsidRPr="00C315EA">
        <w:rPr>
          <w:noProof/>
        </w:rPr>
        <w:t xml:space="preserve">energy system-wide cost-benefit analysis methodology </w:t>
      </w:r>
      <w:r w:rsidRPr="00C315EA">
        <w:rPr>
          <w:noProof/>
        </w:rPr>
        <w:t xml:space="preserve">developed pursuant </w:t>
      </w:r>
      <w:r w:rsidRPr="00980D49">
        <w:rPr>
          <w:noProof/>
        </w:rPr>
        <w:t xml:space="preserve">to Article </w:t>
      </w:r>
      <w:r w:rsidR="00A75391" w:rsidRPr="004D60A9">
        <w:rPr>
          <w:noProof/>
        </w:rPr>
        <w:t>14</w:t>
      </w:r>
      <w:r w:rsidRPr="00980D49">
        <w:rPr>
          <w:noProof/>
        </w:rPr>
        <w:t xml:space="preserve"> of this Regulation</w:t>
      </w:r>
      <w:r w:rsidR="00496D5E">
        <w:rPr>
          <w:noProof/>
        </w:rPr>
        <w:t xml:space="preserve">. </w:t>
      </w:r>
    </w:p>
    <w:p w14:paraId="47D1F0D3" w14:textId="39D8D25E" w:rsidR="00666C0A" w:rsidRDefault="00C44DD6" w:rsidP="00C44DD6">
      <w:pPr>
        <w:pStyle w:val="ManualNumPar1"/>
        <w:rPr>
          <w:noProof/>
        </w:rPr>
      </w:pPr>
      <w:r w:rsidRPr="00C44DD6">
        <w:rPr>
          <w:noProof/>
        </w:rPr>
        <w:t>3.</w:t>
      </w:r>
      <w:r w:rsidRPr="00C44DD6">
        <w:rPr>
          <w:noProof/>
        </w:rPr>
        <w:tab/>
      </w:r>
      <w:r w:rsidR="00314479">
        <w:rPr>
          <w:noProof/>
        </w:rPr>
        <w:t>T</w:t>
      </w:r>
      <w:r w:rsidR="00666C0A" w:rsidRPr="004D60A9">
        <w:rPr>
          <w:noProof/>
        </w:rPr>
        <w:t xml:space="preserve">he joint scenarios being developed by </w:t>
      </w:r>
      <w:r w:rsidR="00ED729F">
        <w:rPr>
          <w:noProof/>
        </w:rPr>
        <w:t xml:space="preserve">the </w:t>
      </w:r>
      <w:r w:rsidR="00666C0A" w:rsidRPr="004D60A9">
        <w:rPr>
          <w:noProof/>
        </w:rPr>
        <w:t>ENTSO</w:t>
      </w:r>
      <w:r w:rsidR="00ED729F">
        <w:rPr>
          <w:noProof/>
        </w:rPr>
        <w:t xml:space="preserve"> for </w:t>
      </w:r>
      <w:r w:rsidR="00666C0A" w:rsidRPr="004D60A9">
        <w:rPr>
          <w:noProof/>
        </w:rPr>
        <w:t>E</w:t>
      </w:r>
      <w:r w:rsidR="00ED729F">
        <w:rPr>
          <w:noProof/>
        </w:rPr>
        <w:t>lectricity</w:t>
      </w:r>
      <w:r w:rsidR="00666C0A" w:rsidRPr="004D60A9">
        <w:rPr>
          <w:noProof/>
        </w:rPr>
        <w:t>,</w:t>
      </w:r>
      <w:r w:rsidR="00ED729F">
        <w:rPr>
          <w:noProof/>
        </w:rPr>
        <w:t xml:space="preserve"> the</w:t>
      </w:r>
      <w:r w:rsidR="00666C0A" w:rsidRPr="004D60A9">
        <w:rPr>
          <w:noProof/>
        </w:rPr>
        <w:t xml:space="preserve"> </w:t>
      </w:r>
      <w:r w:rsidR="00666C0A">
        <w:rPr>
          <w:noProof/>
          <w:color w:val="000000" w:themeColor="text1"/>
          <w:lang w:val="en-IE"/>
        </w:rPr>
        <w:t>ENTSO</w:t>
      </w:r>
      <w:r w:rsidR="00FD2ACD">
        <w:rPr>
          <w:noProof/>
          <w:color w:val="000000" w:themeColor="text1"/>
          <w:lang w:val="en-IE"/>
        </w:rPr>
        <w:t xml:space="preserve"> for Gas</w:t>
      </w:r>
      <w:r w:rsidR="00666C0A" w:rsidRPr="004D60A9">
        <w:rPr>
          <w:noProof/>
        </w:rPr>
        <w:t xml:space="preserve">, and </w:t>
      </w:r>
      <w:r w:rsidR="00E54A5D">
        <w:rPr>
          <w:noProof/>
        </w:rPr>
        <w:t xml:space="preserve">the </w:t>
      </w:r>
      <w:r w:rsidR="00666C0A" w:rsidRPr="004D60A9">
        <w:rPr>
          <w:noProof/>
        </w:rPr>
        <w:t>ENNOH pursuant to Article 12 of Regulation</w:t>
      </w:r>
      <w:r w:rsidR="00E54A5D">
        <w:rPr>
          <w:noProof/>
        </w:rPr>
        <w:t xml:space="preserve"> (EU) 2022/869</w:t>
      </w:r>
      <w:r w:rsidR="00666C0A" w:rsidRPr="004D60A9">
        <w:rPr>
          <w:noProof/>
        </w:rPr>
        <w:t xml:space="preserve"> shall continue to be developed and </w:t>
      </w:r>
      <w:r w:rsidR="00734CE7">
        <w:rPr>
          <w:noProof/>
        </w:rPr>
        <w:t>approved by the Commission</w:t>
      </w:r>
      <w:r w:rsidR="00666C0A" w:rsidRPr="004D60A9">
        <w:rPr>
          <w:noProof/>
        </w:rPr>
        <w:t xml:space="preserve"> in accordance with the procedure set out </w:t>
      </w:r>
      <w:r w:rsidR="00EF0F60">
        <w:rPr>
          <w:noProof/>
        </w:rPr>
        <w:t>in that Article</w:t>
      </w:r>
      <w:r w:rsidR="00666C0A" w:rsidRPr="004D60A9">
        <w:rPr>
          <w:noProof/>
        </w:rPr>
        <w:t xml:space="preserve">. </w:t>
      </w:r>
      <w:r w:rsidR="00A31113">
        <w:rPr>
          <w:noProof/>
        </w:rPr>
        <w:t>Those</w:t>
      </w:r>
      <w:r w:rsidR="00666C0A" w:rsidRPr="004D60A9">
        <w:rPr>
          <w:noProof/>
        </w:rPr>
        <w:t xml:space="preserve"> joint scenarios, once </w:t>
      </w:r>
      <w:r w:rsidR="00734CE7">
        <w:rPr>
          <w:noProof/>
        </w:rPr>
        <w:t>approved by the Commission</w:t>
      </w:r>
      <w:r w:rsidR="00666C0A" w:rsidRPr="004D60A9">
        <w:rPr>
          <w:noProof/>
        </w:rPr>
        <w:t xml:space="preserve">, shall be deemed to be central reference scenarios under Article 11 of this Regulation and shall remain valid until they are replaced by new central reference scenarios developed pursuant to Article 11 of this Regulation. </w:t>
      </w:r>
    </w:p>
    <w:p w14:paraId="5C10A80A" w14:textId="480318BC" w:rsidR="005B5A05" w:rsidRDefault="00C44DD6" w:rsidP="00C44DD6">
      <w:pPr>
        <w:pStyle w:val="ManualNumPar1"/>
        <w:rPr>
          <w:rFonts w:eastAsia="Times New Roman"/>
          <w:noProof/>
          <w:lang w:eastAsia="en-IE"/>
        </w:rPr>
      </w:pPr>
      <w:r w:rsidRPr="00C44DD6">
        <w:rPr>
          <w:noProof/>
        </w:rPr>
        <w:t>4.</w:t>
      </w:r>
      <w:r w:rsidRPr="00C44DD6">
        <w:rPr>
          <w:noProof/>
        </w:rPr>
        <w:tab/>
      </w:r>
      <w:r w:rsidR="00A27FDE" w:rsidRPr="00185722">
        <w:rPr>
          <w:noProof/>
        </w:rPr>
        <w:t xml:space="preserve">Annex VII to Regulation (EU) </w:t>
      </w:r>
      <w:r w:rsidR="005019AE" w:rsidRPr="00185722">
        <w:rPr>
          <w:rFonts w:eastAsia="Times New Roman"/>
          <w:noProof/>
          <w:lang w:eastAsia="en-IE"/>
        </w:rPr>
        <w:t>2022</w:t>
      </w:r>
      <w:r w:rsidR="005019AE">
        <w:rPr>
          <w:rFonts w:eastAsia="Times New Roman"/>
          <w:noProof/>
          <w:lang w:eastAsia="en-IE"/>
        </w:rPr>
        <w:t>/</w:t>
      </w:r>
      <w:r w:rsidR="00A27FDE" w:rsidRPr="00185722">
        <w:rPr>
          <w:rFonts w:eastAsia="Times New Roman"/>
          <w:noProof/>
          <w:lang w:eastAsia="en-IE"/>
        </w:rPr>
        <w:t>869</w:t>
      </w:r>
      <w:r w:rsidR="0011518D">
        <w:rPr>
          <w:rFonts w:eastAsia="Times New Roman"/>
          <w:noProof/>
          <w:lang w:eastAsia="en-IE"/>
        </w:rPr>
        <w:t xml:space="preserve"> </w:t>
      </w:r>
      <w:r w:rsidR="00963F56">
        <w:rPr>
          <w:rFonts w:eastAsia="Times New Roman"/>
          <w:noProof/>
          <w:lang w:eastAsia="en-IE"/>
        </w:rPr>
        <w:t xml:space="preserve">setting </w:t>
      </w:r>
      <w:r w:rsidR="00BF64A5">
        <w:rPr>
          <w:rFonts w:eastAsia="Times New Roman"/>
          <w:noProof/>
          <w:lang w:eastAsia="en-IE"/>
        </w:rPr>
        <w:t>out</w:t>
      </w:r>
      <w:r w:rsidR="00A27FDE" w:rsidRPr="00185722">
        <w:rPr>
          <w:noProof/>
        </w:rPr>
        <w:t xml:space="preserve"> the </w:t>
      </w:r>
      <w:r w:rsidR="00A27FDE" w:rsidRPr="00185722">
        <w:rPr>
          <w:rFonts w:eastAsia="Times New Roman"/>
          <w:noProof/>
          <w:lang w:eastAsia="en-IE"/>
        </w:rPr>
        <w:t>[__]</w:t>
      </w:r>
      <w:r w:rsidR="00A27FDE" w:rsidRPr="00185722">
        <w:rPr>
          <w:noProof/>
        </w:rPr>
        <w:t xml:space="preserve"> Union list of projects of common interest</w:t>
      </w:r>
      <w:r w:rsidR="00A27FDE" w:rsidRPr="00185722">
        <w:rPr>
          <w:rFonts w:eastAsia="Times New Roman"/>
          <w:noProof/>
          <w:lang w:eastAsia="en-IE"/>
        </w:rPr>
        <w:t xml:space="preserve"> and projects of mutual interest </w:t>
      </w:r>
      <w:r w:rsidR="00A27FDE" w:rsidRPr="00185722">
        <w:rPr>
          <w:noProof/>
        </w:rPr>
        <w:t xml:space="preserve"> as well as Articles </w:t>
      </w:r>
      <w:r w:rsidR="00A27FDE" w:rsidRPr="00185722">
        <w:rPr>
          <w:rFonts w:eastAsia="Times New Roman"/>
          <w:noProof/>
          <w:lang w:eastAsia="en-IE"/>
        </w:rPr>
        <w:t>[___]</w:t>
      </w:r>
      <w:r w:rsidR="00323EA3">
        <w:rPr>
          <w:rFonts w:eastAsia="Times New Roman"/>
          <w:noProof/>
          <w:lang w:eastAsia="en-IE"/>
        </w:rPr>
        <w:t xml:space="preserve"> </w:t>
      </w:r>
      <w:r w:rsidR="00680045">
        <w:rPr>
          <w:rFonts w:eastAsia="Times New Roman"/>
          <w:noProof/>
          <w:lang w:eastAsia="en-IE"/>
        </w:rPr>
        <w:t xml:space="preserve">of </w:t>
      </w:r>
      <w:r w:rsidR="00323EA3">
        <w:rPr>
          <w:rFonts w:eastAsia="Times New Roman"/>
          <w:noProof/>
          <w:lang w:eastAsia="en-IE"/>
        </w:rPr>
        <w:t xml:space="preserve">Regulation (EU) </w:t>
      </w:r>
      <w:r w:rsidR="005019AE" w:rsidRPr="00185722">
        <w:rPr>
          <w:rFonts w:eastAsia="Times New Roman"/>
          <w:noProof/>
          <w:lang w:eastAsia="en-IE"/>
        </w:rPr>
        <w:t>2022</w:t>
      </w:r>
      <w:r w:rsidR="005019AE">
        <w:rPr>
          <w:rFonts w:eastAsia="Times New Roman"/>
          <w:noProof/>
          <w:lang w:eastAsia="en-IE"/>
        </w:rPr>
        <w:t>/</w:t>
      </w:r>
      <w:r w:rsidR="00323EA3">
        <w:rPr>
          <w:rFonts w:eastAsia="Times New Roman"/>
          <w:noProof/>
          <w:lang w:eastAsia="en-IE"/>
        </w:rPr>
        <w:t>869</w:t>
      </w:r>
      <w:r w:rsidR="00A27FDE" w:rsidRPr="00185722">
        <w:rPr>
          <w:rFonts w:eastAsia="Times New Roman"/>
          <w:noProof/>
          <w:lang w:eastAsia="en-IE"/>
        </w:rPr>
        <w:t>,</w:t>
      </w:r>
      <w:r w:rsidR="00A27FDE" w:rsidRPr="00185722">
        <w:rPr>
          <w:noProof/>
        </w:rPr>
        <w:t xml:space="preserve"> and Annexes </w:t>
      </w:r>
      <w:r w:rsidR="00A27FDE" w:rsidRPr="00185722">
        <w:rPr>
          <w:rFonts w:eastAsia="Times New Roman"/>
          <w:noProof/>
          <w:lang w:eastAsia="en-IE"/>
        </w:rPr>
        <w:t>[___]</w:t>
      </w:r>
      <w:r w:rsidR="00A27FDE" w:rsidRPr="00185722">
        <w:rPr>
          <w:noProof/>
        </w:rPr>
        <w:t xml:space="preserve"> to</w:t>
      </w:r>
      <w:r w:rsidR="004D2D6E">
        <w:rPr>
          <w:noProof/>
        </w:rPr>
        <w:t xml:space="preserve"> that</w:t>
      </w:r>
      <w:r w:rsidR="00A27FDE" w:rsidRPr="00185722">
        <w:rPr>
          <w:noProof/>
        </w:rPr>
        <w:t xml:space="preserve"> Regulation, shall </w:t>
      </w:r>
      <w:r w:rsidR="00517356">
        <w:rPr>
          <w:noProof/>
        </w:rPr>
        <w:t>continue to apply</w:t>
      </w:r>
      <w:r w:rsidR="00F0476B">
        <w:rPr>
          <w:noProof/>
        </w:rPr>
        <w:t xml:space="preserve"> to</w:t>
      </w:r>
      <w:r w:rsidR="00A27FDE" w:rsidRPr="00185722">
        <w:rPr>
          <w:noProof/>
        </w:rPr>
        <w:t xml:space="preserve"> the projects of common interest </w:t>
      </w:r>
      <w:r w:rsidR="00A27FDE" w:rsidRPr="00185722">
        <w:rPr>
          <w:rFonts w:eastAsia="Times New Roman"/>
          <w:noProof/>
          <w:lang w:eastAsia="en-IE"/>
        </w:rPr>
        <w:t xml:space="preserve">and projects of mutual interest </w:t>
      </w:r>
      <w:r w:rsidR="00A27FDE" w:rsidRPr="00185722">
        <w:rPr>
          <w:noProof/>
        </w:rPr>
        <w:t xml:space="preserve">included on </w:t>
      </w:r>
      <w:r w:rsidR="00A27FDE" w:rsidRPr="0078251E">
        <w:rPr>
          <w:noProof/>
        </w:rPr>
        <w:t xml:space="preserve">the </w:t>
      </w:r>
      <w:r w:rsidR="00A27FDE" w:rsidRPr="0078251E">
        <w:rPr>
          <w:rFonts w:eastAsia="Times New Roman"/>
          <w:noProof/>
          <w:lang w:eastAsia="en-IE"/>
        </w:rPr>
        <w:t>[__]</w:t>
      </w:r>
      <w:r w:rsidR="00A27FDE" w:rsidRPr="00185722">
        <w:rPr>
          <w:noProof/>
        </w:rPr>
        <w:t xml:space="preserve"> Union list until the </w:t>
      </w:r>
      <w:r w:rsidR="00FB21BA" w:rsidRPr="00185722">
        <w:rPr>
          <w:noProof/>
        </w:rPr>
        <w:t xml:space="preserve">delegated act </w:t>
      </w:r>
      <w:r w:rsidR="000931B7">
        <w:rPr>
          <w:noProof/>
        </w:rPr>
        <w:t>referred t</w:t>
      </w:r>
      <w:r w:rsidR="00D82787">
        <w:rPr>
          <w:noProof/>
        </w:rPr>
        <w:t xml:space="preserve">o in Article </w:t>
      </w:r>
      <w:r w:rsidR="009C6A6B">
        <w:rPr>
          <w:noProof/>
        </w:rPr>
        <w:t xml:space="preserve">3(4) of this Regulation </w:t>
      </w:r>
      <w:r w:rsidR="009C6A6B" w:rsidRPr="00185722">
        <w:rPr>
          <w:noProof/>
        </w:rPr>
        <w:t xml:space="preserve">establishing the first Union list </w:t>
      </w:r>
      <w:r w:rsidR="00386A6E">
        <w:rPr>
          <w:noProof/>
        </w:rPr>
        <w:t>starts to apply</w:t>
      </w:r>
      <w:r w:rsidR="00A27FDE" w:rsidRPr="00185722">
        <w:rPr>
          <w:noProof/>
        </w:rPr>
        <w:t>.</w:t>
      </w:r>
      <w:r w:rsidR="005B5A05" w:rsidRPr="005B5A05">
        <w:rPr>
          <w:rFonts w:eastAsia="Times New Roman"/>
          <w:noProof/>
          <w:lang w:eastAsia="en-IE"/>
        </w:rPr>
        <w:t xml:space="preserve"> </w:t>
      </w:r>
    </w:p>
    <w:p w14:paraId="060B7C3A" w14:textId="77777777" w:rsidR="007328F1" w:rsidRPr="00185722" w:rsidRDefault="007328F1" w:rsidP="007328F1">
      <w:pPr>
        <w:pStyle w:val="Titrearticle"/>
        <w:rPr>
          <w:noProof/>
          <w:lang w:eastAsia="en-IE"/>
        </w:rPr>
      </w:pPr>
      <w:r w:rsidRPr="00185722">
        <w:rPr>
          <w:noProof/>
          <w:lang w:eastAsia="en-IE"/>
        </w:rPr>
        <w:t xml:space="preserve">Article </w:t>
      </w:r>
      <w:r w:rsidR="007144E8">
        <w:rPr>
          <w:noProof/>
          <w:lang w:eastAsia="en-IE"/>
        </w:rPr>
        <w:t>32</w:t>
      </w:r>
    </w:p>
    <w:p w14:paraId="01A96277" w14:textId="77777777" w:rsidR="007328F1" w:rsidRPr="0004233E" w:rsidRDefault="007328F1" w:rsidP="007328F1">
      <w:pPr>
        <w:pStyle w:val="Titrearticle"/>
        <w:rPr>
          <w:b/>
          <w:bCs/>
          <w:noProof/>
        </w:rPr>
      </w:pPr>
      <w:r w:rsidRPr="0004233E">
        <w:rPr>
          <w:b/>
          <w:bCs/>
          <w:noProof/>
        </w:rPr>
        <w:t>Repeal</w:t>
      </w:r>
    </w:p>
    <w:p w14:paraId="5A3314D8" w14:textId="77777777" w:rsidR="007328F1" w:rsidRPr="00185722" w:rsidRDefault="007328F1" w:rsidP="008D2D9F">
      <w:pPr>
        <w:pStyle w:val="Text1"/>
        <w:ind w:left="0"/>
        <w:rPr>
          <w:noProof/>
        </w:rPr>
      </w:pPr>
      <w:r w:rsidRPr="00185722">
        <w:rPr>
          <w:noProof/>
        </w:rPr>
        <w:t xml:space="preserve">Regulation (EU) </w:t>
      </w:r>
      <w:r w:rsidR="00CC4782" w:rsidRPr="004D60A9">
        <w:rPr>
          <w:noProof/>
        </w:rPr>
        <w:t>2022</w:t>
      </w:r>
      <w:r w:rsidR="00CC4782">
        <w:rPr>
          <w:noProof/>
        </w:rPr>
        <w:t>/</w:t>
      </w:r>
      <w:r w:rsidRPr="004D60A9">
        <w:rPr>
          <w:noProof/>
        </w:rPr>
        <w:t>869</w:t>
      </w:r>
      <w:r w:rsidR="00363B07">
        <w:rPr>
          <w:noProof/>
        </w:rPr>
        <w:t xml:space="preserve"> </w:t>
      </w:r>
      <w:r w:rsidRPr="00185722">
        <w:rPr>
          <w:noProof/>
        </w:rPr>
        <w:t>is repealed</w:t>
      </w:r>
      <w:r w:rsidRPr="004D60A9">
        <w:rPr>
          <w:noProof/>
        </w:rPr>
        <w:t>.</w:t>
      </w:r>
      <w:r w:rsidR="00A67B16" w:rsidRPr="00185722">
        <w:rPr>
          <w:noProof/>
        </w:rPr>
        <w:t xml:space="preserve"> </w:t>
      </w:r>
      <w:r w:rsidR="00A408F0">
        <w:rPr>
          <w:noProof/>
        </w:rPr>
        <w:t>References to Regulation (EU) 2022/869 shall be construed</w:t>
      </w:r>
      <w:r w:rsidR="000B7144">
        <w:rPr>
          <w:noProof/>
        </w:rPr>
        <w:t xml:space="preserve"> as references to this Regulation.</w:t>
      </w:r>
    </w:p>
    <w:p w14:paraId="74B38359" w14:textId="77777777" w:rsidR="007328F1" w:rsidRPr="00185722" w:rsidRDefault="007328F1" w:rsidP="007328F1">
      <w:pPr>
        <w:pStyle w:val="Titrearticle"/>
        <w:rPr>
          <w:noProof/>
        </w:rPr>
      </w:pPr>
      <w:r w:rsidRPr="00185722">
        <w:rPr>
          <w:noProof/>
          <w:lang w:eastAsia="en-IE"/>
        </w:rPr>
        <w:t xml:space="preserve">Article </w:t>
      </w:r>
      <w:bookmarkStart w:id="36" w:name="bookmark116"/>
      <w:bookmarkEnd w:id="36"/>
      <w:r w:rsidR="007144E8">
        <w:rPr>
          <w:noProof/>
          <w:lang w:eastAsia="en-IE"/>
        </w:rPr>
        <w:t>33</w:t>
      </w:r>
    </w:p>
    <w:p w14:paraId="25C2F3AE" w14:textId="77777777" w:rsidR="007328F1" w:rsidRPr="0004233E" w:rsidRDefault="007328F1" w:rsidP="007328F1">
      <w:pPr>
        <w:pStyle w:val="Titrearticle"/>
        <w:rPr>
          <w:b/>
          <w:bCs/>
          <w:noProof/>
        </w:rPr>
      </w:pPr>
      <w:r w:rsidRPr="0004233E">
        <w:rPr>
          <w:b/>
          <w:bCs/>
          <w:noProof/>
        </w:rPr>
        <w:t>Entry into force</w:t>
      </w:r>
    </w:p>
    <w:p w14:paraId="430B27E9" w14:textId="77777777" w:rsidR="007328F1" w:rsidRPr="00185722" w:rsidRDefault="007328F1" w:rsidP="008D2D9F">
      <w:pPr>
        <w:pStyle w:val="Text1"/>
        <w:ind w:left="0"/>
        <w:rPr>
          <w:noProof/>
        </w:rPr>
      </w:pPr>
      <w:r w:rsidRPr="00185722">
        <w:rPr>
          <w:noProof/>
        </w:rPr>
        <w:t xml:space="preserve">This Regulation shall enter into force on the twentieth day following that of its publication in </w:t>
      </w:r>
      <w:r w:rsidRPr="00AE58B8">
        <w:rPr>
          <w:i/>
          <w:noProof/>
        </w:rPr>
        <w:t>the</w:t>
      </w:r>
      <w:r w:rsidRPr="00AE58B8">
        <w:rPr>
          <w:rFonts w:eastAsia="Times New Roman"/>
          <w:i/>
          <w:noProof/>
          <w:lang w:eastAsia="en-IE"/>
        </w:rPr>
        <w:t> </w:t>
      </w:r>
      <w:r w:rsidRPr="00AE58B8">
        <w:rPr>
          <w:i/>
          <w:noProof/>
        </w:rPr>
        <w:t>Official Journal of the European Union</w:t>
      </w:r>
      <w:r w:rsidRPr="00185722">
        <w:rPr>
          <w:noProof/>
        </w:rPr>
        <w:t>.</w:t>
      </w:r>
    </w:p>
    <w:p w14:paraId="1E06FD59" w14:textId="77777777" w:rsidR="007328F1" w:rsidRDefault="007328F1" w:rsidP="000E75B3">
      <w:pPr>
        <w:pStyle w:val="Applicationdirecte"/>
        <w:rPr>
          <w:noProof/>
        </w:rPr>
      </w:pPr>
      <w:r w:rsidRPr="00185722">
        <w:rPr>
          <w:noProof/>
        </w:rPr>
        <w:t>This Regulation shall be binding in its entirety and directly applicable in all Member States.</w:t>
      </w:r>
    </w:p>
    <w:p w14:paraId="0D3201CC" w14:textId="77777777" w:rsidR="00AC13A5" w:rsidRDefault="00AC13A5">
      <w:pPr>
        <w:rPr>
          <w:noProof/>
        </w:rPr>
      </w:pPr>
    </w:p>
    <w:p w14:paraId="527BA701" w14:textId="66FFA4D2" w:rsidR="003E7EA6" w:rsidRDefault="00FF019F" w:rsidP="00166F4F">
      <w:pPr>
        <w:pStyle w:val="Fait"/>
        <w:rPr>
          <w:noProof/>
        </w:rPr>
      </w:pPr>
      <w:r>
        <w:rPr>
          <w:noProof/>
        </w:rPr>
        <w:t>Done at Brussels,</w:t>
      </w:r>
    </w:p>
    <w:p w14:paraId="6CC2BE88" w14:textId="77777777" w:rsidR="003E7EA6" w:rsidRDefault="003E7EA6" w:rsidP="00166F4F">
      <w:pPr>
        <w:pStyle w:val="Institutionquisigne"/>
        <w:rPr>
          <w:noProof/>
        </w:rPr>
      </w:pPr>
      <w:r w:rsidRPr="003E7EA6">
        <w:rPr>
          <w:noProof/>
        </w:rPr>
        <w:t>For the European Parliament</w:t>
      </w:r>
      <w:r w:rsidRPr="003E7EA6">
        <w:rPr>
          <w:noProof/>
        </w:rPr>
        <w:tab/>
        <w:t>For the Council</w:t>
      </w:r>
    </w:p>
    <w:p w14:paraId="06145A33" w14:textId="77777777" w:rsidR="009272B5" w:rsidRDefault="003E7EA6" w:rsidP="00B677B5">
      <w:pPr>
        <w:pStyle w:val="Personnequisigne"/>
        <w:rPr>
          <w:noProof/>
        </w:rPr>
        <w:sectPr w:rsidR="009272B5" w:rsidSect="005C1364">
          <w:footnotePr>
            <w:numRestart w:val="eachSect"/>
          </w:footnotePr>
          <w:pgSz w:w="11907" w:h="16839"/>
          <w:pgMar w:top="1134" w:right="1417" w:bottom="1134" w:left="1417" w:header="709" w:footer="709" w:gutter="0"/>
          <w:pgNumType w:start="0"/>
          <w:cols w:space="720"/>
          <w:docGrid w:linePitch="360"/>
        </w:sectPr>
      </w:pPr>
      <w:r w:rsidRPr="003E7EA6">
        <w:rPr>
          <w:noProof/>
        </w:rPr>
        <w:t>The President</w:t>
      </w:r>
      <w:r w:rsidRPr="003E7EA6">
        <w:rPr>
          <w:noProof/>
        </w:rPr>
        <w:tab/>
        <w:t>The President</w:t>
      </w:r>
    </w:p>
    <w:sdt>
      <w:sdtPr>
        <w:rPr>
          <w:b w:val="0"/>
          <w:noProof/>
          <w:u w:val="none"/>
        </w:rPr>
        <w:id w:val="-722060658"/>
        <w:docPartObj>
          <w:docPartGallery w:val="Table of Contents"/>
          <w:docPartUnique/>
        </w:docPartObj>
      </w:sdtPr>
      <w:sdtEndPr>
        <w:rPr>
          <w:b/>
          <w:bCs/>
          <w:u w:val="single"/>
        </w:rPr>
      </w:sdtEndPr>
      <w:sdtContent>
        <w:p w14:paraId="55D5147E" w14:textId="77777777" w:rsidR="00327919" w:rsidRDefault="00327919" w:rsidP="00327919">
          <w:pPr>
            <w:pStyle w:val="Fichefinanciretitre"/>
            <w:keepNext/>
            <w:rPr>
              <w:noProof/>
            </w:rPr>
          </w:pPr>
          <w:r w:rsidRPr="00732102">
            <w:rPr>
              <w:noProof/>
            </w:rPr>
            <w:t>LEGISLATIVE FINANCIAL AND DIGITAL STATEMENT</w:t>
          </w:r>
        </w:p>
      </w:sdtContent>
    </w:sdt>
    <w:p w14:paraId="6A8007ED" w14:textId="77777777" w:rsidR="00C761A9" w:rsidRDefault="00C761A9" w:rsidP="00C761A9">
      <w:pPr>
        <w:rPr>
          <w:noProof/>
        </w:rPr>
      </w:pPr>
    </w:p>
    <w:p w14:paraId="4CBD0D5A" w14:textId="6705F452" w:rsidR="00AF7A86" w:rsidRDefault="00AF7A86" w:rsidP="00AF7A86">
      <w:pPr>
        <w:pStyle w:val="TOC1"/>
        <w:rPr>
          <w:rFonts w:asciiTheme="minorHAnsi" w:eastAsiaTheme="minorEastAsia" w:hAnsiTheme="minorHAnsi" w:cstheme="minorBidi"/>
          <w:noProof/>
          <w:kern w:val="2"/>
          <w:sz w:val="22"/>
          <w:lang w:val="en-IE" w:eastAsia="en-IE"/>
          <w14:ligatures w14:val="standardContextual"/>
        </w:rPr>
      </w:pPr>
      <w:r>
        <w:rPr>
          <w:noProof/>
        </w:rPr>
        <w:fldChar w:fldCharType="begin"/>
      </w:r>
      <w:r>
        <w:rPr>
          <w:noProof/>
        </w:rPr>
        <w:instrText xml:space="preserve"> TOC \o "1-3" \h \z \u </w:instrText>
      </w:r>
      <w:r>
        <w:rPr>
          <w:noProof/>
        </w:rPr>
        <w:fldChar w:fldCharType="separate"/>
      </w:r>
      <w:hyperlink w:anchor="_Toc172893678" w:history="1">
        <w:r w:rsidRPr="00812874">
          <w:rPr>
            <w:rStyle w:val="Hyperlink"/>
            <w:noProof/>
          </w:rPr>
          <w:t>1.</w:t>
        </w:r>
        <w:r>
          <w:rPr>
            <w:rFonts w:asciiTheme="minorHAnsi" w:eastAsiaTheme="minorEastAsia" w:hAnsiTheme="minorHAnsi" w:cstheme="minorBidi"/>
            <w:noProof/>
            <w:kern w:val="2"/>
            <w:sz w:val="22"/>
            <w:lang w:val="en-IE" w:eastAsia="en-IE"/>
            <w14:ligatures w14:val="standardContextual"/>
          </w:rPr>
          <w:tab/>
        </w:r>
        <w:r w:rsidRPr="00812874">
          <w:rPr>
            <w:rStyle w:val="Hyperlink"/>
            <w:noProof/>
          </w:rPr>
          <w:t>FRAMEWORK OF THE PROPOSAL/INITIATIVE</w:t>
        </w:r>
        <w:r>
          <w:rPr>
            <w:noProof/>
            <w:webHidden/>
          </w:rPr>
          <w:tab/>
        </w:r>
        <w:r>
          <w:rPr>
            <w:noProof/>
            <w:webHidden/>
          </w:rPr>
          <w:fldChar w:fldCharType="begin"/>
        </w:r>
        <w:r>
          <w:rPr>
            <w:noProof/>
            <w:webHidden/>
          </w:rPr>
          <w:instrText xml:space="preserve"> PAGEREF _Toc172893678 \h </w:instrText>
        </w:r>
        <w:r>
          <w:rPr>
            <w:noProof/>
            <w:webHidden/>
          </w:rPr>
        </w:r>
        <w:r>
          <w:rPr>
            <w:noProof/>
            <w:webHidden/>
          </w:rPr>
          <w:fldChar w:fldCharType="separate"/>
        </w:r>
        <w:r w:rsidR="00FF019F">
          <w:rPr>
            <w:noProof/>
            <w:webHidden/>
          </w:rPr>
          <w:t>3</w:t>
        </w:r>
        <w:r>
          <w:rPr>
            <w:noProof/>
            <w:webHidden/>
          </w:rPr>
          <w:fldChar w:fldCharType="end"/>
        </w:r>
      </w:hyperlink>
    </w:p>
    <w:p w14:paraId="0BB61203" w14:textId="61D83D1A"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679" w:history="1">
        <w:r w:rsidR="00AF7A86" w:rsidRPr="00812874">
          <w:rPr>
            <w:rStyle w:val="Hyperlink"/>
            <w:noProof/>
          </w:rPr>
          <w:t>1.1.</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Title of the proposal/initiative</w:t>
        </w:r>
        <w:r w:rsidR="00AF7A86">
          <w:rPr>
            <w:noProof/>
            <w:webHidden/>
          </w:rPr>
          <w:tab/>
        </w:r>
        <w:r w:rsidR="00AF7A86">
          <w:rPr>
            <w:noProof/>
            <w:webHidden/>
          </w:rPr>
          <w:fldChar w:fldCharType="begin"/>
        </w:r>
        <w:r w:rsidR="00AF7A86">
          <w:rPr>
            <w:noProof/>
            <w:webHidden/>
          </w:rPr>
          <w:instrText xml:space="preserve"> PAGEREF _Toc172893679 \h </w:instrText>
        </w:r>
        <w:r w:rsidR="00AF7A86">
          <w:rPr>
            <w:noProof/>
            <w:webHidden/>
          </w:rPr>
        </w:r>
        <w:r w:rsidR="00AF7A86">
          <w:rPr>
            <w:noProof/>
            <w:webHidden/>
          </w:rPr>
          <w:fldChar w:fldCharType="separate"/>
        </w:r>
        <w:r w:rsidR="00FF019F">
          <w:rPr>
            <w:noProof/>
            <w:webHidden/>
          </w:rPr>
          <w:t>3</w:t>
        </w:r>
        <w:r w:rsidR="00AF7A86">
          <w:rPr>
            <w:noProof/>
            <w:webHidden/>
          </w:rPr>
          <w:fldChar w:fldCharType="end"/>
        </w:r>
      </w:hyperlink>
    </w:p>
    <w:p w14:paraId="62DDA82C" w14:textId="67BF2986"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680" w:history="1">
        <w:r w:rsidR="00AF7A86" w:rsidRPr="00812874">
          <w:rPr>
            <w:rStyle w:val="Hyperlink"/>
            <w:noProof/>
          </w:rPr>
          <w:t>1.2.</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Policy area(s) concerned</w:t>
        </w:r>
        <w:r w:rsidR="00AF7A86">
          <w:rPr>
            <w:noProof/>
            <w:webHidden/>
          </w:rPr>
          <w:tab/>
        </w:r>
        <w:r w:rsidR="00AF7A86">
          <w:rPr>
            <w:noProof/>
            <w:webHidden/>
          </w:rPr>
          <w:fldChar w:fldCharType="begin"/>
        </w:r>
        <w:r w:rsidR="00AF7A86">
          <w:rPr>
            <w:noProof/>
            <w:webHidden/>
          </w:rPr>
          <w:instrText xml:space="preserve"> PAGEREF _Toc172893680 \h </w:instrText>
        </w:r>
        <w:r w:rsidR="00AF7A86">
          <w:rPr>
            <w:noProof/>
            <w:webHidden/>
          </w:rPr>
        </w:r>
        <w:r w:rsidR="00AF7A86">
          <w:rPr>
            <w:noProof/>
            <w:webHidden/>
          </w:rPr>
          <w:fldChar w:fldCharType="separate"/>
        </w:r>
        <w:r w:rsidR="00FF019F">
          <w:rPr>
            <w:noProof/>
            <w:webHidden/>
          </w:rPr>
          <w:t>3</w:t>
        </w:r>
        <w:r w:rsidR="00AF7A86">
          <w:rPr>
            <w:noProof/>
            <w:webHidden/>
          </w:rPr>
          <w:fldChar w:fldCharType="end"/>
        </w:r>
      </w:hyperlink>
    </w:p>
    <w:p w14:paraId="6C898AD4" w14:textId="07292298"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681" w:history="1">
        <w:r w:rsidR="00AF7A86" w:rsidRPr="00812874">
          <w:rPr>
            <w:rStyle w:val="Hyperlink"/>
            <w:noProof/>
          </w:rPr>
          <w:t>1.3.</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Objective(s)</w:t>
        </w:r>
        <w:r w:rsidR="00AF7A86">
          <w:rPr>
            <w:noProof/>
            <w:webHidden/>
          </w:rPr>
          <w:tab/>
        </w:r>
        <w:r w:rsidR="00AF7A86">
          <w:rPr>
            <w:noProof/>
            <w:webHidden/>
          </w:rPr>
          <w:fldChar w:fldCharType="begin"/>
        </w:r>
        <w:r w:rsidR="00AF7A86">
          <w:rPr>
            <w:noProof/>
            <w:webHidden/>
          </w:rPr>
          <w:instrText xml:space="preserve"> PAGEREF _Toc172893681 \h </w:instrText>
        </w:r>
        <w:r w:rsidR="00AF7A86">
          <w:rPr>
            <w:noProof/>
            <w:webHidden/>
          </w:rPr>
        </w:r>
        <w:r w:rsidR="00AF7A86">
          <w:rPr>
            <w:noProof/>
            <w:webHidden/>
          </w:rPr>
          <w:fldChar w:fldCharType="separate"/>
        </w:r>
        <w:r w:rsidR="00FF019F">
          <w:rPr>
            <w:noProof/>
            <w:webHidden/>
          </w:rPr>
          <w:t>3</w:t>
        </w:r>
        <w:r w:rsidR="00AF7A86">
          <w:rPr>
            <w:noProof/>
            <w:webHidden/>
          </w:rPr>
          <w:fldChar w:fldCharType="end"/>
        </w:r>
      </w:hyperlink>
    </w:p>
    <w:p w14:paraId="739FE7F7" w14:textId="187AEC18"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82" w:history="1">
        <w:r w:rsidR="00AF7A86" w:rsidRPr="00812874">
          <w:rPr>
            <w:rStyle w:val="Hyperlink"/>
            <w:noProof/>
          </w:rPr>
          <w:t>1.3.1.</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General objective(s)</w:t>
        </w:r>
        <w:r w:rsidR="00AF7A86">
          <w:rPr>
            <w:noProof/>
            <w:webHidden/>
          </w:rPr>
          <w:tab/>
        </w:r>
        <w:r w:rsidR="00AF7A86">
          <w:rPr>
            <w:noProof/>
            <w:webHidden/>
          </w:rPr>
          <w:fldChar w:fldCharType="begin"/>
        </w:r>
        <w:r w:rsidR="00AF7A86">
          <w:rPr>
            <w:noProof/>
            <w:webHidden/>
          </w:rPr>
          <w:instrText xml:space="preserve"> PAGEREF _Toc172893682 \h </w:instrText>
        </w:r>
        <w:r w:rsidR="00AF7A86">
          <w:rPr>
            <w:noProof/>
            <w:webHidden/>
          </w:rPr>
        </w:r>
        <w:r w:rsidR="00AF7A86">
          <w:rPr>
            <w:noProof/>
            <w:webHidden/>
          </w:rPr>
          <w:fldChar w:fldCharType="separate"/>
        </w:r>
        <w:r w:rsidR="00FF019F">
          <w:rPr>
            <w:noProof/>
            <w:webHidden/>
          </w:rPr>
          <w:t>3</w:t>
        </w:r>
        <w:r w:rsidR="00AF7A86">
          <w:rPr>
            <w:noProof/>
            <w:webHidden/>
          </w:rPr>
          <w:fldChar w:fldCharType="end"/>
        </w:r>
      </w:hyperlink>
    </w:p>
    <w:p w14:paraId="5892DFCC" w14:textId="6AF855F3"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83" w:history="1">
        <w:r w:rsidR="00AF7A86" w:rsidRPr="00812874">
          <w:rPr>
            <w:rStyle w:val="Hyperlink"/>
            <w:noProof/>
          </w:rPr>
          <w:t>1.3.2.</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Specific objective(s)</w:t>
        </w:r>
        <w:r w:rsidR="00AF7A86">
          <w:rPr>
            <w:noProof/>
            <w:webHidden/>
          </w:rPr>
          <w:tab/>
        </w:r>
        <w:r w:rsidR="00AF7A86">
          <w:rPr>
            <w:noProof/>
            <w:webHidden/>
          </w:rPr>
          <w:fldChar w:fldCharType="begin"/>
        </w:r>
        <w:r w:rsidR="00AF7A86">
          <w:rPr>
            <w:noProof/>
            <w:webHidden/>
          </w:rPr>
          <w:instrText xml:space="preserve"> PAGEREF _Toc172893683 \h </w:instrText>
        </w:r>
        <w:r w:rsidR="00AF7A86">
          <w:rPr>
            <w:noProof/>
            <w:webHidden/>
          </w:rPr>
        </w:r>
        <w:r w:rsidR="00AF7A86">
          <w:rPr>
            <w:noProof/>
            <w:webHidden/>
          </w:rPr>
          <w:fldChar w:fldCharType="separate"/>
        </w:r>
        <w:r w:rsidR="00FF019F">
          <w:rPr>
            <w:noProof/>
            <w:webHidden/>
          </w:rPr>
          <w:t>3</w:t>
        </w:r>
        <w:r w:rsidR="00AF7A86">
          <w:rPr>
            <w:noProof/>
            <w:webHidden/>
          </w:rPr>
          <w:fldChar w:fldCharType="end"/>
        </w:r>
      </w:hyperlink>
    </w:p>
    <w:p w14:paraId="15A072B3" w14:textId="0FA489C8"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84" w:history="1">
        <w:r w:rsidR="00AF7A86" w:rsidRPr="00812874">
          <w:rPr>
            <w:rStyle w:val="Hyperlink"/>
            <w:noProof/>
          </w:rPr>
          <w:t>1.3.3.</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Expected result(s) and impact</w:t>
        </w:r>
        <w:r w:rsidR="00AF7A86">
          <w:rPr>
            <w:noProof/>
            <w:webHidden/>
          </w:rPr>
          <w:tab/>
        </w:r>
        <w:r w:rsidR="00AF7A86">
          <w:rPr>
            <w:noProof/>
            <w:webHidden/>
          </w:rPr>
          <w:fldChar w:fldCharType="begin"/>
        </w:r>
        <w:r w:rsidR="00AF7A86">
          <w:rPr>
            <w:noProof/>
            <w:webHidden/>
          </w:rPr>
          <w:instrText xml:space="preserve"> PAGEREF _Toc172893684 \h </w:instrText>
        </w:r>
        <w:r w:rsidR="00AF7A86">
          <w:rPr>
            <w:noProof/>
            <w:webHidden/>
          </w:rPr>
        </w:r>
        <w:r w:rsidR="00AF7A86">
          <w:rPr>
            <w:noProof/>
            <w:webHidden/>
          </w:rPr>
          <w:fldChar w:fldCharType="separate"/>
        </w:r>
        <w:r w:rsidR="00FF019F">
          <w:rPr>
            <w:noProof/>
            <w:webHidden/>
          </w:rPr>
          <w:t>4</w:t>
        </w:r>
        <w:r w:rsidR="00AF7A86">
          <w:rPr>
            <w:noProof/>
            <w:webHidden/>
          </w:rPr>
          <w:fldChar w:fldCharType="end"/>
        </w:r>
      </w:hyperlink>
    </w:p>
    <w:p w14:paraId="475CEB7C" w14:textId="461326AC"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85" w:history="1">
        <w:r w:rsidR="00AF7A86" w:rsidRPr="00812874">
          <w:rPr>
            <w:rStyle w:val="Hyperlink"/>
            <w:noProof/>
          </w:rPr>
          <w:t>1.3.4.</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Indicators of performance</w:t>
        </w:r>
        <w:r w:rsidR="00AF7A86">
          <w:rPr>
            <w:noProof/>
            <w:webHidden/>
          </w:rPr>
          <w:tab/>
        </w:r>
        <w:r w:rsidR="00AF7A86">
          <w:rPr>
            <w:noProof/>
            <w:webHidden/>
          </w:rPr>
          <w:fldChar w:fldCharType="begin"/>
        </w:r>
        <w:r w:rsidR="00AF7A86">
          <w:rPr>
            <w:noProof/>
            <w:webHidden/>
          </w:rPr>
          <w:instrText xml:space="preserve"> PAGEREF _Toc172893685 \h </w:instrText>
        </w:r>
        <w:r w:rsidR="00AF7A86">
          <w:rPr>
            <w:noProof/>
            <w:webHidden/>
          </w:rPr>
        </w:r>
        <w:r w:rsidR="00AF7A86">
          <w:rPr>
            <w:noProof/>
            <w:webHidden/>
          </w:rPr>
          <w:fldChar w:fldCharType="separate"/>
        </w:r>
        <w:r w:rsidR="00FF019F">
          <w:rPr>
            <w:noProof/>
            <w:webHidden/>
          </w:rPr>
          <w:t>4</w:t>
        </w:r>
        <w:r w:rsidR="00AF7A86">
          <w:rPr>
            <w:noProof/>
            <w:webHidden/>
          </w:rPr>
          <w:fldChar w:fldCharType="end"/>
        </w:r>
      </w:hyperlink>
    </w:p>
    <w:p w14:paraId="52C2BF33" w14:textId="35E418BB"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686" w:history="1">
        <w:r w:rsidR="00AF7A86" w:rsidRPr="00812874">
          <w:rPr>
            <w:rStyle w:val="Hyperlink"/>
            <w:noProof/>
          </w:rPr>
          <w:t>1.4.</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The proposal/initiative relates to:</w:t>
        </w:r>
        <w:r w:rsidR="00AF7A86">
          <w:rPr>
            <w:noProof/>
            <w:webHidden/>
          </w:rPr>
          <w:tab/>
        </w:r>
        <w:r w:rsidR="00AF7A86">
          <w:rPr>
            <w:noProof/>
            <w:webHidden/>
          </w:rPr>
          <w:fldChar w:fldCharType="begin"/>
        </w:r>
        <w:r w:rsidR="00AF7A86">
          <w:rPr>
            <w:noProof/>
            <w:webHidden/>
          </w:rPr>
          <w:instrText xml:space="preserve"> PAGEREF _Toc172893686 \h </w:instrText>
        </w:r>
        <w:r w:rsidR="00AF7A86">
          <w:rPr>
            <w:noProof/>
            <w:webHidden/>
          </w:rPr>
        </w:r>
        <w:r w:rsidR="00AF7A86">
          <w:rPr>
            <w:noProof/>
            <w:webHidden/>
          </w:rPr>
          <w:fldChar w:fldCharType="separate"/>
        </w:r>
        <w:r w:rsidR="00FF019F">
          <w:rPr>
            <w:noProof/>
            <w:webHidden/>
          </w:rPr>
          <w:t>4</w:t>
        </w:r>
        <w:r w:rsidR="00AF7A86">
          <w:rPr>
            <w:noProof/>
            <w:webHidden/>
          </w:rPr>
          <w:fldChar w:fldCharType="end"/>
        </w:r>
      </w:hyperlink>
    </w:p>
    <w:p w14:paraId="142DE87D" w14:textId="266E09CE"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687" w:history="1">
        <w:r w:rsidR="00AF7A86" w:rsidRPr="00812874">
          <w:rPr>
            <w:rStyle w:val="Hyperlink"/>
            <w:noProof/>
          </w:rPr>
          <w:t>1.5.</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Grounds for the proposal/initiative</w:t>
        </w:r>
        <w:r w:rsidR="00AF7A86">
          <w:rPr>
            <w:noProof/>
            <w:webHidden/>
          </w:rPr>
          <w:tab/>
        </w:r>
        <w:r w:rsidR="00AF7A86">
          <w:rPr>
            <w:noProof/>
            <w:webHidden/>
          </w:rPr>
          <w:fldChar w:fldCharType="begin"/>
        </w:r>
        <w:r w:rsidR="00AF7A86">
          <w:rPr>
            <w:noProof/>
            <w:webHidden/>
          </w:rPr>
          <w:instrText xml:space="preserve"> PAGEREF _Toc172893687 \h </w:instrText>
        </w:r>
        <w:r w:rsidR="00AF7A86">
          <w:rPr>
            <w:noProof/>
            <w:webHidden/>
          </w:rPr>
        </w:r>
        <w:r w:rsidR="00AF7A86">
          <w:rPr>
            <w:noProof/>
            <w:webHidden/>
          </w:rPr>
          <w:fldChar w:fldCharType="separate"/>
        </w:r>
        <w:r w:rsidR="00FF019F">
          <w:rPr>
            <w:noProof/>
            <w:webHidden/>
          </w:rPr>
          <w:t>5</w:t>
        </w:r>
        <w:r w:rsidR="00AF7A86">
          <w:rPr>
            <w:noProof/>
            <w:webHidden/>
          </w:rPr>
          <w:fldChar w:fldCharType="end"/>
        </w:r>
      </w:hyperlink>
    </w:p>
    <w:p w14:paraId="403CB889" w14:textId="13383781"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88" w:history="1">
        <w:r w:rsidR="00AF7A86" w:rsidRPr="00812874">
          <w:rPr>
            <w:rStyle w:val="Hyperlink"/>
            <w:noProof/>
          </w:rPr>
          <w:t>1.5.1.</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Requirement(s) to be met in the short or long term including a detailed timeline for roll-out of the implementation of the initiative</w:t>
        </w:r>
        <w:r w:rsidR="00AF7A86">
          <w:rPr>
            <w:noProof/>
            <w:webHidden/>
          </w:rPr>
          <w:tab/>
        </w:r>
        <w:r w:rsidR="00AF7A86">
          <w:rPr>
            <w:noProof/>
            <w:webHidden/>
          </w:rPr>
          <w:fldChar w:fldCharType="begin"/>
        </w:r>
        <w:r w:rsidR="00AF7A86">
          <w:rPr>
            <w:noProof/>
            <w:webHidden/>
          </w:rPr>
          <w:instrText xml:space="preserve"> PAGEREF _Toc172893688 \h </w:instrText>
        </w:r>
        <w:r w:rsidR="00AF7A86">
          <w:rPr>
            <w:noProof/>
            <w:webHidden/>
          </w:rPr>
        </w:r>
        <w:r w:rsidR="00AF7A86">
          <w:rPr>
            <w:noProof/>
            <w:webHidden/>
          </w:rPr>
          <w:fldChar w:fldCharType="separate"/>
        </w:r>
        <w:r w:rsidR="00FF019F">
          <w:rPr>
            <w:noProof/>
            <w:webHidden/>
          </w:rPr>
          <w:t>5</w:t>
        </w:r>
        <w:r w:rsidR="00AF7A86">
          <w:rPr>
            <w:noProof/>
            <w:webHidden/>
          </w:rPr>
          <w:fldChar w:fldCharType="end"/>
        </w:r>
      </w:hyperlink>
    </w:p>
    <w:p w14:paraId="7480314A" w14:textId="56C21CC0"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89" w:history="1">
        <w:r w:rsidR="00AF7A86" w:rsidRPr="00812874">
          <w:rPr>
            <w:rStyle w:val="Hyperlink"/>
            <w:noProof/>
          </w:rPr>
          <w:t>1.5.2.</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sidR="00AF7A86">
          <w:rPr>
            <w:noProof/>
            <w:webHidden/>
          </w:rPr>
          <w:tab/>
        </w:r>
        <w:r w:rsidR="00AF7A86">
          <w:rPr>
            <w:noProof/>
            <w:webHidden/>
          </w:rPr>
          <w:fldChar w:fldCharType="begin"/>
        </w:r>
        <w:r w:rsidR="00AF7A86">
          <w:rPr>
            <w:noProof/>
            <w:webHidden/>
          </w:rPr>
          <w:instrText xml:space="preserve"> PAGEREF _Toc172893689 \h </w:instrText>
        </w:r>
        <w:r w:rsidR="00AF7A86">
          <w:rPr>
            <w:noProof/>
            <w:webHidden/>
          </w:rPr>
        </w:r>
        <w:r w:rsidR="00AF7A86">
          <w:rPr>
            <w:noProof/>
            <w:webHidden/>
          </w:rPr>
          <w:fldChar w:fldCharType="separate"/>
        </w:r>
        <w:r w:rsidR="00FF019F">
          <w:rPr>
            <w:noProof/>
            <w:webHidden/>
          </w:rPr>
          <w:t>5</w:t>
        </w:r>
        <w:r w:rsidR="00AF7A86">
          <w:rPr>
            <w:noProof/>
            <w:webHidden/>
          </w:rPr>
          <w:fldChar w:fldCharType="end"/>
        </w:r>
      </w:hyperlink>
    </w:p>
    <w:p w14:paraId="74EFD5B2" w14:textId="7BE9C3BE"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90" w:history="1">
        <w:r w:rsidR="00AF7A86" w:rsidRPr="00812874">
          <w:rPr>
            <w:rStyle w:val="Hyperlink"/>
            <w:noProof/>
          </w:rPr>
          <w:t>1.5.3.</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Lessons learned from similar experiences in the past</w:t>
        </w:r>
        <w:r w:rsidR="00AF7A86">
          <w:rPr>
            <w:noProof/>
            <w:webHidden/>
          </w:rPr>
          <w:tab/>
        </w:r>
        <w:r w:rsidR="00AF7A86">
          <w:rPr>
            <w:noProof/>
            <w:webHidden/>
          </w:rPr>
          <w:fldChar w:fldCharType="begin"/>
        </w:r>
        <w:r w:rsidR="00AF7A86">
          <w:rPr>
            <w:noProof/>
            <w:webHidden/>
          </w:rPr>
          <w:instrText xml:space="preserve"> PAGEREF _Toc172893690 \h </w:instrText>
        </w:r>
        <w:r w:rsidR="00AF7A86">
          <w:rPr>
            <w:noProof/>
            <w:webHidden/>
          </w:rPr>
        </w:r>
        <w:r w:rsidR="00AF7A86">
          <w:rPr>
            <w:noProof/>
            <w:webHidden/>
          </w:rPr>
          <w:fldChar w:fldCharType="separate"/>
        </w:r>
        <w:r w:rsidR="00FF019F">
          <w:rPr>
            <w:noProof/>
            <w:webHidden/>
          </w:rPr>
          <w:t>8</w:t>
        </w:r>
        <w:r w:rsidR="00AF7A86">
          <w:rPr>
            <w:noProof/>
            <w:webHidden/>
          </w:rPr>
          <w:fldChar w:fldCharType="end"/>
        </w:r>
      </w:hyperlink>
    </w:p>
    <w:p w14:paraId="2FE60A92" w14:textId="7D641566"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91" w:history="1">
        <w:r w:rsidR="00AF7A86" w:rsidRPr="00812874">
          <w:rPr>
            <w:rStyle w:val="Hyperlink"/>
            <w:noProof/>
          </w:rPr>
          <w:t>1.5.4.</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Compatibility with the Multiannual Financial Framework and possible synergies with other appropriate instruments</w:t>
        </w:r>
        <w:r w:rsidR="00AF7A86">
          <w:rPr>
            <w:noProof/>
            <w:webHidden/>
          </w:rPr>
          <w:tab/>
        </w:r>
        <w:r w:rsidR="00AF7A86">
          <w:rPr>
            <w:noProof/>
            <w:webHidden/>
          </w:rPr>
          <w:fldChar w:fldCharType="begin"/>
        </w:r>
        <w:r w:rsidR="00AF7A86">
          <w:rPr>
            <w:noProof/>
            <w:webHidden/>
          </w:rPr>
          <w:instrText xml:space="preserve"> PAGEREF _Toc172893691 \h </w:instrText>
        </w:r>
        <w:r w:rsidR="00AF7A86">
          <w:rPr>
            <w:noProof/>
            <w:webHidden/>
          </w:rPr>
        </w:r>
        <w:r w:rsidR="00AF7A86">
          <w:rPr>
            <w:noProof/>
            <w:webHidden/>
          </w:rPr>
          <w:fldChar w:fldCharType="separate"/>
        </w:r>
        <w:r w:rsidR="00FF019F">
          <w:rPr>
            <w:noProof/>
            <w:webHidden/>
          </w:rPr>
          <w:t>8</w:t>
        </w:r>
        <w:r w:rsidR="00AF7A86">
          <w:rPr>
            <w:noProof/>
            <w:webHidden/>
          </w:rPr>
          <w:fldChar w:fldCharType="end"/>
        </w:r>
      </w:hyperlink>
    </w:p>
    <w:p w14:paraId="27305516" w14:textId="2B1D42B8"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92" w:history="1">
        <w:r w:rsidR="00AF7A86" w:rsidRPr="00812874">
          <w:rPr>
            <w:rStyle w:val="Hyperlink"/>
            <w:noProof/>
          </w:rPr>
          <w:t>1.5.5.</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Assessment of the different available financing options, including scope for redeployment</w:t>
        </w:r>
        <w:r w:rsidR="00AF7A86">
          <w:rPr>
            <w:noProof/>
            <w:webHidden/>
          </w:rPr>
          <w:tab/>
        </w:r>
        <w:r w:rsidR="00AF7A86">
          <w:rPr>
            <w:noProof/>
            <w:webHidden/>
          </w:rPr>
          <w:fldChar w:fldCharType="begin"/>
        </w:r>
        <w:r w:rsidR="00AF7A86">
          <w:rPr>
            <w:noProof/>
            <w:webHidden/>
          </w:rPr>
          <w:instrText xml:space="preserve"> PAGEREF _Toc172893692 \h </w:instrText>
        </w:r>
        <w:r w:rsidR="00AF7A86">
          <w:rPr>
            <w:noProof/>
            <w:webHidden/>
          </w:rPr>
        </w:r>
        <w:r w:rsidR="00AF7A86">
          <w:rPr>
            <w:noProof/>
            <w:webHidden/>
          </w:rPr>
          <w:fldChar w:fldCharType="separate"/>
        </w:r>
        <w:r w:rsidR="00FF019F">
          <w:rPr>
            <w:noProof/>
            <w:webHidden/>
          </w:rPr>
          <w:t>8</w:t>
        </w:r>
        <w:r w:rsidR="00AF7A86">
          <w:rPr>
            <w:noProof/>
            <w:webHidden/>
          </w:rPr>
          <w:fldChar w:fldCharType="end"/>
        </w:r>
      </w:hyperlink>
    </w:p>
    <w:p w14:paraId="043D02DD" w14:textId="29A843B9"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693" w:history="1">
        <w:r w:rsidR="00AF7A86" w:rsidRPr="00812874">
          <w:rPr>
            <w:rStyle w:val="Hyperlink"/>
            <w:noProof/>
          </w:rPr>
          <w:t>1.6.</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Duration of the proposal/initiative and of its financial impact</w:t>
        </w:r>
        <w:r w:rsidR="00AF7A86">
          <w:rPr>
            <w:noProof/>
            <w:webHidden/>
          </w:rPr>
          <w:tab/>
        </w:r>
        <w:r w:rsidR="00AF7A86">
          <w:rPr>
            <w:noProof/>
            <w:webHidden/>
          </w:rPr>
          <w:fldChar w:fldCharType="begin"/>
        </w:r>
        <w:r w:rsidR="00AF7A86">
          <w:rPr>
            <w:noProof/>
            <w:webHidden/>
          </w:rPr>
          <w:instrText xml:space="preserve"> PAGEREF _Toc172893693 \h </w:instrText>
        </w:r>
        <w:r w:rsidR="00AF7A86">
          <w:rPr>
            <w:noProof/>
            <w:webHidden/>
          </w:rPr>
        </w:r>
        <w:r w:rsidR="00AF7A86">
          <w:rPr>
            <w:noProof/>
            <w:webHidden/>
          </w:rPr>
          <w:fldChar w:fldCharType="separate"/>
        </w:r>
        <w:r w:rsidR="00FF019F">
          <w:rPr>
            <w:noProof/>
            <w:webHidden/>
          </w:rPr>
          <w:t>10</w:t>
        </w:r>
        <w:r w:rsidR="00AF7A86">
          <w:rPr>
            <w:noProof/>
            <w:webHidden/>
          </w:rPr>
          <w:fldChar w:fldCharType="end"/>
        </w:r>
      </w:hyperlink>
    </w:p>
    <w:p w14:paraId="33A391E8" w14:textId="68689498"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694" w:history="1">
        <w:r w:rsidR="00AF7A86" w:rsidRPr="00812874">
          <w:rPr>
            <w:rStyle w:val="Hyperlink"/>
            <w:noProof/>
          </w:rPr>
          <w:t>1.7.</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Method(s) of budget implementation planned</w:t>
        </w:r>
        <w:r w:rsidR="00AF7A86">
          <w:rPr>
            <w:noProof/>
            <w:webHidden/>
          </w:rPr>
          <w:tab/>
        </w:r>
        <w:r w:rsidR="00AF7A86">
          <w:rPr>
            <w:noProof/>
            <w:webHidden/>
          </w:rPr>
          <w:fldChar w:fldCharType="begin"/>
        </w:r>
        <w:r w:rsidR="00AF7A86">
          <w:rPr>
            <w:noProof/>
            <w:webHidden/>
          </w:rPr>
          <w:instrText xml:space="preserve"> PAGEREF _Toc172893694 \h </w:instrText>
        </w:r>
        <w:r w:rsidR="00AF7A86">
          <w:rPr>
            <w:noProof/>
            <w:webHidden/>
          </w:rPr>
        </w:r>
        <w:r w:rsidR="00AF7A86">
          <w:rPr>
            <w:noProof/>
            <w:webHidden/>
          </w:rPr>
          <w:fldChar w:fldCharType="separate"/>
        </w:r>
        <w:r w:rsidR="00FF019F">
          <w:rPr>
            <w:noProof/>
            <w:webHidden/>
          </w:rPr>
          <w:t>10</w:t>
        </w:r>
        <w:r w:rsidR="00AF7A86">
          <w:rPr>
            <w:noProof/>
            <w:webHidden/>
          </w:rPr>
          <w:fldChar w:fldCharType="end"/>
        </w:r>
      </w:hyperlink>
    </w:p>
    <w:p w14:paraId="25213EE9" w14:textId="5CAB5D98" w:rsidR="00AF7A86" w:rsidRDefault="00166F4F" w:rsidP="00AF7A86">
      <w:pPr>
        <w:pStyle w:val="TOC1"/>
        <w:rPr>
          <w:rFonts w:asciiTheme="minorHAnsi" w:eastAsiaTheme="minorEastAsia" w:hAnsiTheme="minorHAnsi" w:cstheme="minorBidi"/>
          <w:noProof/>
          <w:kern w:val="2"/>
          <w:sz w:val="22"/>
          <w:lang w:val="en-IE" w:eastAsia="en-IE"/>
          <w14:ligatures w14:val="standardContextual"/>
        </w:rPr>
      </w:pPr>
      <w:hyperlink w:anchor="_Toc172893695" w:history="1">
        <w:r w:rsidR="00AF7A86" w:rsidRPr="00812874">
          <w:rPr>
            <w:rStyle w:val="Hyperlink"/>
            <w:noProof/>
          </w:rPr>
          <w:t>2.</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MANAGEMENT MEASURES</w:t>
        </w:r>
        <w:r w:rsidR="00AF7A86">
          <w:rPr>
            <w:noProof/>
            <w:webHidden/>
          </w:rPr>
          <w:tab/>
        </w:r>
        <w:r w:rsidR="00AF7A86">
          <w:rPr>
            <w:noProof/>
            <w:webHidden/>
          </w:rPr>
          <w:fldChar w:fldCharType="begin"/>
        </w:r>
        <w:r w:rsidR="00AF7A86">
          <w:rPr>
            <w:noProof/>
            <w:webHidden/>
          </w:rPr>
          <w:instrText xml:space="preserve"> PAGEREF _Toc172893695 \h </w:instrText>
        </w:r>
        <w:r w:rsidR="00AF7A86">
          <w:rPr>
            <w:noProof/>
            <w:webHidden/>
          </w:rPr>
        </w:r>
        <w:r w:rsidR="00AF7A86">
          <w:rPr>
            <w:noProof/>
            <w:webHidden/>
          </w:rPr>
          <w:fldChar w:fldCharType="separate"/>
        </w:r>
        <w:r w:rsidR="00FF019F">
          <w:rPr>
            <w:noProof/>
            <w:webHidden/>
          </w:rPr>
          <w:t>11</w:t>
        </w:r>
        <w:r w:rsidR="00AF7A86">
          <w:rPr>
            <w:noProof/>
            <w:webHidden/>
          </w:rPr>
          <w:fldChar w:fldCharType="end"/>
        </w:r>
      </w:hyperlink>
    </w:p>
    <w:p w14:paraId="07772B04" w14:textId="6B6BE3FD"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696" w:history="1">
        <w:r w:rsidR="00AF7A86" w:rsidRPr="00812874">
          <w:rPr>
            <w:rStyle w:val="Hyperlink"/>
            <w:noProof/>
          </w:rPr>
          <w:t>2.1.</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Monitoring and reporting rules</w:t>
        </w:r>
        <w:r w:rsidR="00AF7A86">
          <w:rPr>
            <w:noProof/>
            <w:webHidden/>
          </w:rPr>
          <w:tab/>
        </w:r>
        <w:r w:rsidR="00AF7A86">
          <w:rPr>
            <w:noProof/>
            <w:webHidden/>
          </w:rPr>
          <w:fldChar w:fldCharType="begin"/>
        </w:r>
        <w:r w:rsidR="00AF7A86">
          <w:rPr>
            <w:noProof/>
            <w:webHidden/>
          </w:rPr>
          <w:instrText xml:space="preserve"> PAGEREF _Toc172893696 \h </w:instrText>
        </w:r>
        <w:r w:rsidR="00AF7A86">
          <w:rPr>
            <w:noProof/>
            <w:webHidden/>
          </w:rPr>
        </w:r>
        <w:r w:rsidR="00AF7A86">
          <w:rPr>
            <w:noProof/>
            <w:webHidden/>
          </w:rPr>
          <w:fldChar w:fldCharType="separate"/>
        </w:r>
        <w:r w:rsidR="00FF019F">
          <w:rPr>
            <w:noProof/>
            <w:webHidden/>
          </w:rPr>
          <w:t>11</w:t>
        </w:r>
        <w:r w:rsidR="00AF7A86">
          <w:rPr>
            <w:noProof/>
            <w:webHidden/>
          </w:rPr>
          <w:fldChar w:fldCharType="end"/>
        </w:r>
      </w:hyperlink>
    </w:p>
    <w:p w14:paraId="01B9FF0A" w14:textId="6342ADC4"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697" w:history="1">
        <w:r w:rsidR="00AF7A86" w:rsidRPr="00812874">
          <w:rPr>
            <w:rStyle w:val="Hyperlink"/>
            <w:noProof/>
          </w:rPr>
          <w:t>2.2.</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Management and control system(s)</w:t>
        </w:r>
        <w:r w:rsidR="00AF7A86">
          <w:rPr>
            <w:noProof/>
            <w:webHidden/>
          </w:rPr>
          <w:tab/>
        </w:r>
        <w:r w:rsidR="00AF7A86">
          <w:rPr>
            <w:noProof/>
            <w:webHidden/>
          </w:rPr>
          <w:fldChar w:fldCharType="begin"/>
        </w:r>
        <w:r w:rsidR="00AF7A86">
          <w:rPr>
            <w:noProof/>
            <w:webHidden/>
          </w:rPr>
          <w:instrText xml:space="preserve"> PAGEREF _Toc172893697 \h </w:instrText>
        </w:r>
        <w:r w:rsidR="00AF7A86">
          <w:rPr>
            <w:noProof/>
            <w:webHidden/>
          </w:rPr>
        </w:r>
        <w:r w:rsidR="00AF7A86">
          <w:rPr>
            <w:noProof/>
            <w:webHidden/>
          </w:rPr>
          <w:fldChar w:fldCharType="separate"/>
        </w:r>
        <w:r w:rsidR="00FF019F">
          <w:rPr>
            <w:noProof/>
            <w:webHidden/>
          </w:rPr>
          <w:t>11</w:t>
        </w:r>
        <w:r w:rsidR="00AF7A86">
          <w:rPr>
            <w:noProof/>
            <w:webHidden/>
          </w:rPr>
          <w:fldChar w:fldCharType="end"/>
        </w:r>
      </w:hyperlink>
    </w:p>
    <w:p w14:paraId="5779DA27" w14:textId="7B6690B9"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98" w:history="1">
        <w:r w:rsidR="00AF7A86" w:rsidRPr="00812874">
          <w:rPr>
            <w:rStyle w:val="Hyperlink"/>
            <w:noProof/>
          </w:rPr>
          <w:t>2.2.1.</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Justification of the budget implementation method(s), the funding implementation mechanism(s), the payment modalities and the control strategy proposed</w:t>
        </w:r>
        <w:r w:rsidR="00AF7A86">
          <w:rPr>
            <w:noProof/>
            <w:webHidden/>
          </w:rPr>
          <w:tab/>
        </w:r>
        <w:r w:rsidR="00AF7A86">
          <w:rPr>
            <w:noProof/>
            <w:webHidden/>
          </w:rPr>
          <w:fldChar w:fldCharType="begin"/>
        </w:r>
        <w:r w:rsidR="00AF7A86">
          <w:rPr>
            <w:noProof/>
            <w:webHidden/>
          </w:rPr>
          <w:instrText xml:space="preserve"> PAGEREF _Toc172893698 \h </w:instrText>
        </w:r>
        <w:r w:rsidR="00AF7A86">
          <w:rPr>
            <w:noProof/>
            <w:webHidden/>
          </w:rPr>
        </w:r>
        <w:r w:rsidR="00AF7A86">
          <w:rPr>
            <w:noProof/>
            <w:webHidden/>
          </w:rPr>
          <w:fldChar w:fldCharType="separate"/>
        </w:r>
        <w:r w:rsidR="00FF019F">
          <w:rPr>
            <w:noProof/>
            <w:webHidden/>
          </w:rPr>
          <w:t>11</w:t>
        </w:r>
        <w:r w:rsidR="00AF7A86">
          <w:rPr>
            <w:noProof/>
            <w:webHidden/>
          </w:rPr>
          <w:fldChar w:fldCharType="end"/>
        </w:r>
      </w:hyperlink>
    </w:p>
    <w:p w14:paraId="78B2FADC" w14:textId="0FB93861"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699" w:history="1">
        <w:r w:rsidR="00AF7A86" w:rsidRPr="00812874">
          <w:rPr>
            <w:rStyle w:val="Hyperlink"/>
            <w:noProof/>
          </w:rPr>
          <w:t>2.2.2.</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Information concerning the risks identified and the internal control system(s) set up to mitigate them</w:t>
        </w:r>
        <w:r w:rsidR="00AF7A86">
          <w:rPr>
            <w:noProof/>
            <w:webHidden/>
          </w:rPr>
          <w:tab/>
        </w:r>
        <w:r w:rsidR="00AF7A86">
          <w:rPr>
            <w:noProof/>
            <w:webHidden/>
          </w:rPr>
          <w:fldChar w:fldCharType="begin"/>
        </w:r>
        <w:r w:rsidR="00AF7A86">
          <w:rPr>
            <w:noProof/>
            <w:webHidden/>
          </w:rPr>
          <w:instrText xml:space="preserve"> PAGEREF _Toc172893699 \h </w:instrText>
        </w:r>
        <w:r w:rsidR="00AF7A86">
          <w:rPr>
            <w:noProof/>
            <w:webHidden/>
          </w:rPr>
        </w:r>
        <w:r w:rsidR="00AF7A86">
          <w:rPr>
            <w:noProof/>
            <w:webHidden/>
          </w:rPr>
          <w:fldChar w:fldCharType="separate"/>
        </w:r>
        <w:r w:rsidR="00FF019F">
          <w:rPr>
            <w:noProof/>
            <w:webHidden/>
          </w:rPr>
          <w:t>11</w:t>
        </w:r>
        <w:r w:rsidR="00AF7A86">
          <w:rPr>
            <w:noProof/>
            <w:webHidden/>
          </w:rPr>
          <w:fldChar w:fldCharType="end"/>
        </w:r>
      </w:hyperlink>
    </w:p>
    <w:p w14:paraId="054EC1F6" w14:textId="77777777"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00" w:history="1">
        <w:r w:rsidR="00AF7A86" w:rsidRPr="00812874">
          <w:rPr>
            <w:rStyle w:val="Hyperlink"/>
            <w:noProof/>
          </w:rPr>
          <w:t>2.2.3.</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Estimation and justification of the cost-effectiveness of the controls (ratio of "control costs ÷ value of the related funds managed"), and assessment of the expected levels of risk of error (at payment &amp; at closure)</w:t>
        </w:r>
        <w:r w:rsidR="00AF7A86">
          <w:rPr>
            <w:noProof/>
            <w:webHidden/>
          </w:rPr>
          <w:tab/>
        </w:r>
      </w:hyperlink>
      <w:r w:rsidR="005A46CE">
        <w:rPr>
          <w:noProof/>
        </w:rPr>
        <w:t>12</w:t>
      </w:r>
    </w:p>
    <w:p w14:paraId="3973AD8B" w14:textId="77777777"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701" w:history="1">
        <w:r w:rsidR="00AF7A86" w:rsidRPr="00812874">
          <w:rPr>
            <w:rStyle w:val="Hyperlink"/>
            <w:noProof/>
          </w:rPr>
          <w:t>2.3.</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Measures to prevent fraud and irregularities</w:t>
        </w:r>
        <w:r w:rsidR="00AF7A86">
          <w:rPr>
            <w:noProof/>
            <w:webHidden/>
          </w:rPr>
          <w:tab/>
        </w:r>
      </w:hyperlink>
      <w:r w:rsidR="005A46CE">
        <w:rPr>
          <w:noProof/>
        </w:rPr>
        <w:t>12</w:t>
      </w:r>
    </w:p>
    <w:p w14:paraId="25D589A9" w14:textId="6137F9EE" w:rsidR="00AF7A86" w:rsidRDefault="00166F4F" w:rsidP="00AF7A86">
      <w:pPr>
        <w:pStyle w:val="TOC1"/>
        <w:rPr>
          <w:rFonts w:asciiTheme="minorHAnsi" w:eastAsiaTheme="minorEastAsia" w:hAnsiTheme="minorHAnsi" w:cstheme="minorBidi"/>
          <w:noProof/>
          <w:kern w:val="2"/>
          <w:sz w:val="22"/>
          <w:lang w:val="en-IE" w:eastAsia="en-IE"/>
          <w14:ligatures w14:val="standardContextual"/>
        </w:rPr>
      </w:pPr>
      <w:hyperlink w:anchor="_Toc172893702" w:history="1">
        <w:r w:rsidR="00AF7A86" w:rsidRPr="00812874">
          <w:rPr>
            <w:rStyle w:val="Hyperlink"/>
            <w:noProof/>
          </w:rPr>
          <w:t>3.</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ESTIMATED FINANCIAL IMPACT OF THE PROPOSAL/INITIATIVE</w:t>
        </w:r>
        <w:r w:rsidR="00AF7A86">
          <w:rPr>
            <w:noProof/>
            <w:webHidden/>
          </w:rPr>
          <w:tab/>
        </w:r>
        <w:r w:rsidR="00AF7A86">
          <w:rPr>
            <w:noProof/>
            <w:webHidden/>
          </w:rPr>
          <w:fldChar w:fldCharType="begin"/>
        </w:r>
        <w:r w:rsidR="00AF7A86">
          <w:rPr>
            <w:noProof/>
            <w:webHidden/>
          </w:rPr>
          <w:instrText xml:space="preserve"> PAGEREF _Toc172893702 \h </w:instrText>
        </w:r>
        <w:r w:rsidR="00AF7A86">
          <w:rPr>
            <w:noProof/>
            <w:webHidden/>
          </w:rPr>
        </w:r>
        <w:r w:rsidR="00AF7A86">
          <w:rPr>
            <w:noProof/>
            <w:webHidden/>
          </w:rPr>
          <w:fldChar w:fldCharType="separate"/>
        </w:r>
        <w:r w:rsidR="00FF019F">
          <w:rPr>
            <w:noProof/>
            <w:webHidden/>
          </w:rPr>
          <w:t>14</w:t>
        </w:r>
        <w:r w:rsidR="00AF7A86">
          <w:rPr>
            <w:noProof/>
            <w:webHidden/>
          </w:rPr>
          <w:fldChar w:fldCharType="end"/>
        </w:r>
      </w:hyperlink>
    </w:p>
    <w:p w14:paraId="0C0EDBE9" w14:textId="216D8A3D"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703" w:history="1">
        <w:r w:rsidR="00AF7A86" w:rsidRPr="00812874">
          <w:rPr>
            <w:rStyle w:val="Hyperlink"/>
            <w:noProof/>
          </w:rPr>
          <w:t>3.1.</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Heading(s) of the multiannual financial framework and expenditure budget line(s) affected</w:t>
        </w:r>
        <w:r w:rsidR="00AF7A86">
          <w:rPr>
            <w:noProof/>
            <w:webHidden/>
          </w:rPr>
          <w:tab/>
        </w:r>
        <w:r w:rsidR="00AF7A86">
          <w:rPr>
            <w:noProof/>
            <w:webHidden/>
          </w:rPr>
          <w:fldChar w:fldCharType="begin"/>
        </w:r>
        <w:r w:rsidR="00AF7A86">
          <w:rPr>
            <w:noProof/>
            <w:webHidden/>
          </w:rPr>
          <w:instrText xml:space="preserve"> PAGEREF _Toc172893703 \h </w:instrText>
        </w:r>
        <w:r w:rsidR="00AF7A86">
          <w:rPr>
            <w:noProof/>
            <w:webHidden/>
          </w:rPr>
        </w:r>
        <w:r w:rsidR="00AF7A86">
          <w:rPr>
            <w:noProof/>
            <w:webHidden/>
          </w:rPr>
          <w:fldChar w:fldCharType="separate"/>
        </w:r>
        <w:r w:rsidR="00FF019F">
          <w:rPr>
            <w:noProof/>
            <w:webHidden/>
          </w:rPr>
          <w:t>14</w:t>
        </w:r>
        <w:r w:rsidR="00AF7A86">
          <w:rPr>
            <w:noProof/>
            <w:webHidden/>
          </w:rPr>
          <w:fldChar w:fldCharType="end"/>
        </w:r>
      </w:hyperlink>
    </w:p>
    <w:p w14:paraId="31172002" w14:textId="445D4E53"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704" w:history="1">
        <w:r w:rsidR="00AF7A86" w:rsidRPr="00812874">
          <w:rPr>
            <w:rStyle w:val="Hyperlink"/>
            <w:noProof/>
          </w:rPr>
          <w:t>3.2.</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Estimated financial impact of the proposal on appropriations</w:t>
        </w:r>
        <w:r w:rsidR="00AF7A86">
          <w:rPr>
            <w:noProof/>
            <w:webHidden/>
          </w:rPr>
          <w:tab/>
        </w:r>
        <w:r w:rsidR="00AF7A86">
          <w:rPr>
            <w:noProof/>
            <w:webHidden/>
          </w:rPr>
          <w:fldChar w:fldCharType="begin"/>
        </w:r>
        <w:r w:rsidR="00AF7A86">
          <w:rPr>
            <w:noProof/>
            <w:webHidden/>
          </w:rPr>
          <w:instrText xml:space="preserve"> PAGEREF _Toc172893704 \h </w:instrText>
        </w:r>
        <w:r w:rsidR="00AF7A86">
          <w:rPr>
            <w:noProof/>
            <w:webHidden/>
          </w:rPr>
        </w:r>
        <w:r w:rsidR="00AF7A86">
          <w:rPr>
            <w:noProof/>
            <w:webHidden/>
          </w:rPr>
          <w:fldChar w:fldCharType="separate"/>
        </w:r>
        <w:r w:rsidR="00FF019F">
          <w:rPr>
            <w:noProof/>
            <w:webHidden/>
          </w:rPr>
          <w:t>15</w:t>
        </w:r>
        <w:r w:rsidR="00AF7A86">
          <w:rPr>
            <w:noProof/>
            <w:webHidden/>
          </w:rPr>
          <w:fldChar w:fldCharType="end"/>
        </w:r>
      </w:hyperlink>
    </w:p>
    <w:p w14:paraId="5F33C690" w14:textId="78300381"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05" w:history="1">
        <w:r w:rsidR="00AF7A86" w:rsidRPr="00812874">
          <w:rPr>
            <w:rStyle w:val="Hyperlink"/>
            <w:noProof/>
          </w:rPr>
          <w:t>3.2.1.</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Summary of estimated impact on operational appropriations</w:t>
        </w:r>
        <w:r w:rsidR="00AF7A86">
          <w:rPr>
            <w:noProof/>
            <w:webHidden/>
          </w:rPr>
          <w:tab/>
        </w:r>
        <w:r w:rsidR="00AF7A86">
          <w:rPr>
            <w:noProof/>
            <w:webHidden/>
          </w:rPr>
          <w:fldChar w:fldCharType="begin"/>
        </w:r>
        <w:r w:rsidR="00AF7A86">
          <w:rPr>
            <w:noProof/>
            <w:webHidden/>
          </w:rPr>
          <w:instrText xml:space="preserve"> PAGEREF _Toc172893705 \h </w:instrText>
        </w:r>
        <w:r w:rsidR="00AF7A86">
          <w:rPr>
            <w:noProof/>
            <w:webHidden/>
          </w:rPr>
        </w:r>
        <w:r w:rsidR="00AF7A86">
          <w:rPr>
            <w:noProof/>
            <w:webHidden/>
          </w:rPr>
          <w:fldChar w:fldCharType="separate"/>
        </w:r>
        <w:r w:rsidR="00FF019F">
          <w:rPr>
            <w:noProof/>
            <w:webHidden/>
          </w:rPr>
          <w:t>15</w:t>
        </w:r>
        <w:r w:rsidR="00AF7A86">
          <w:rPr>
            <w:noProof/>
            <w:webHidden/>
          </w:rPr>
          <w:fldChar w:fldCharType="end"/>
        </w:r>
      </w:hyperlink>
    </w:p>
    <w:p w14:paraId="60557A59" w14:textId="4C2AFE64"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06" w:history="1">
        <w:r w:rsidR="00AF7A86" w:rsidRPr="00812874">
          <w:rPr>
            <w:rStyle w:val="Hyperlink"/>
            <w:noProof/>
          </w:rPr>
          <w:t>3.2.1.1.</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Appropriations from voted budget</w:t>
        </w:r>
        <w:r w:rsidR="00AF7A86">
          <w:rPr>
            <w:noProof/>
            <w:webHidden/>
          </w:rPr>
          <w:tab/>
        </w:r>
        <w:r w:rsidR="00AF7A86">
          <w:rPr>
            <w:noProof/>
            <w:webHidden/>
          </w:rPr>
          <w:fldChar w:fldCharType="begin"/>
        </w:r>
        <w:r w:rsidR="00AF7A86">
          <w:rPr>
            <w:noProof/>
            <w:webHidden/>
          </w:rPr>
          <w:instrText xml:space="preserve"> PAGEREF _Toc172893706 \h </w:instrText>
        </w:r>
        <w:r w:rsidR="00AF7A86">
          <w:rPr>
            <w:noProof/>
            <w:webHidden/>
          </w:rPr>
        </w:r>
        <w:r w:rsidR="00AF7A86">
          <w:rPr>
            <w:noProof/>
            <w:webHidden/>
          </w:rPr>
          <w:fldChar w:fldCharType="separate"/>
        </w:r>
        <w:r w:rsidR="00FF019F">
          <w:rPr>
            <w:noProof/>
            <w:webHidden/>
          </w:rPr>
          <w:t>15</w:t>
        </w:r>
        <w:r w:rsidR="00AF7A86">
          <w:rPr>
            <w:noProof/>
            <w:webHidden/>
          </w:rPr>
          <w:fldChar w:fldCharType="end"/>
        </w:r>
      </w:hyperlink>
    </w:p>
    <w:p w14:paraId="4A4381B9" w14:textId="25E4B0A5"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08" w:history="1">
        <w:r w:rsidR="00AF7A86" w:rsidRPr="00812874">
          <w:rPr>
            <w:rStyle w:val="Hyperlink"/>
            <w:noProof/>
          </w:rPr>
          <w:t>3.2.2.</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Estimated output funded with operational appropriations (not to be completed for decentralised agencies)</w:t>
        </w:r>
        <w:r w:rsidR="00AF7A86">
          <w:rPr>
            <w:noProof/>
            <w:webHidden/>
          </w:rPr>
          <w:tab/>
        </w:r>
        <w:r w:rsidR="00AF7A86">
          <w:rPr>
            <w:noProof/>
            <w:webHidden/>
          </w:rPr>
          <w:fldChar w:fldCharType="begin"/>
        </w:r>
        <w:r w:rsidR="00AF7A86">
          <w:rPr>
            <w:noProof/>
            <w:webHidden/>
          </w:rPr>
          <w:instrText xml:space="preserve"> PAGEREF _Toc172893708 \h </w:instrText>
        </w:r>
        <w:r w:rsidR="00AF7A86">
          <w:rPr>
            <w:noProof/>
            <w:webHidden/>
          </w:rPr>
        </w:r>
        <w:r w:rsidR="00AF7A86">
          <w:rPr>
            <w:noProof/>
            <w:webHidden/>
          </w:rPr>
          <w:fldChar w:fldCharType="separate"/>
        </w:r>
        <w:r w:rsidR="00FF019F">
          <w:rPr>
            <w:noProof/>
            <w:webHidden/>
          </w:rPr>
          <w:t>18</w:t>
        </w:r>
        <w:r w:rsidR="00AF7A86">
          <w:rPr>
            <w:noProof/>
            <w:webHidden/>
          </w:rPr>
          <w:fldChar w:fldCharType="end"/>
        </w:r>
      </w:hyperlink>
    </w:p>
    <w:p w14:paraId="1AD4646F" w14:textId="6F6CA07E"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09" w:history="1">
        <w:r w:rsidR="00AF7A86" w:rsidRPr="00812874">
          <w:rPr>
            <w:rStyle w:val="Hyperlink"/>
            <w:noProof/>
          </w:rPr>
          <w:t>3.2.3.</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Summary of estimated impact on administrative appropriations</w:t>
        </w:r>
        <w:r w:rsidR="00AF7A86">
          <w:rPr>
            <w:noProof/>
            <w:webHidden/>
          </w:rPr>
          <w:tab/>
        </w:r>
        <w:r w:rsidR="00AF7A86">
          <w:rPr>
            <w:noProof/>
            <w:webHidden/>
          </w:rPr>
          <w:fldChar w:fldCharType="begin"/>
        </w:r>
        <w:r w:rsidR="00AF7A86">
          <w:rPr>
            <w:noProof/>
            <w:webHidden/>
          </w:rPr>
          <w:instrText xml:space="preserve"> PAGEREF _Toc172893709 \h </w:instrText>
        </w:r>
        <w:r w:rsidR="00AF7A86">
          <w:rPr>
            <w:noProof/>
            <w:webHidden/>
          </w:rPr>
        </w:r>
        <w:r w:rsidR="00AF7A86">
          <w:rPr>
            <w:noProof/>
            <w:webHidden/>
          </w:rPr>
          <w:fldChar w:fldCharType="separate"/>
        </w:r>
        <w:r w:rsidR="00FF019F">
          <w:rPr>
            <w:noProof/>
            <w:webHidden/>
          </w:rPr>
          <w:t>20</w:t>
        </w:r>
        <w:r w:rsidR="00AF7A86">
          <w:rPr>
            <w:noProof/>
            <w:webHidden/>
          </w:rPr>
          <w:fldChar w:fldCharType="end"/>
        </w:r>
      </w:hyperlink>
    </w:p>
    <w:p w14:paraId="611DC213" w14:textId="3EE18DA4"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10" w:history="1">
        <w:r w:rsidR="00AF7A86" w:rsidRPr="00812874">
          <w:rPr>
            <w:rStyle w:val="Hyperlink"/>
            <w:noProof/>
          </w:rPr>
          <w:t xml:space="preserve">3.2.3.1. Appropriations </w:t>
        </w:r>
        <w:r w:rsidR="00AF7A86" w:rsidRPr="00812874">
          <w:rPr>
            <w:rStyle w:val="Hyperlink"/>
            <w:rFonts w:eastAsia="Calibri"/>
            <w:noProof/>
          </w:rPr>
          <w:t>from</w:t>
        </w:r>
        <w:r w:rsidR="00AF7A86" w:rsidRPr="00812874">
          <w:rPr>
            <w:rStyle w:val="Hyperlink"/>
            <w:noProof/>
          </w:rPr>
          <w:t xml:space="preserve"> voted budget</w:t>
        </w:r>
        <w:r w:rsidR="00AF7A86">
          <w:rPr>
            <w:noProof/>
            <w:webHidden/>
          </w:rPr>
          <w:tab/>
        </w:r>
        <w:r w:rsidR="00AF7A86">
          <w:rPr>
            <w:noProof/>
            <w:webHidden/>
          </w:rPr>
          <w:fldChar w:fldCharType="begin"/>
        </w:r>
        <w:r w:rsidR="00AF7A86">
          <w:rPr>
            <w:noProof/>
            <w:webHidden/>
          </w:rPr>
          <w:instrText xml:space="preserve"> PAGEREF _Toc172893710 \h </w:instrText>
        </w:r>
        <w:r w:rsidR="00AF7A86">
          <w:rPr>
            <w:noProof/>
            <w:webHidden/>
          </w:rPr>
        </w:r>
        <w:r w:rsidR="00AF7A86">
          <w:rPr>
            <w:noProof/>
            <w:webHidden/>
          </w:rPr>
          <w:fldChar w:fldCharType="separate"/>
        </w:r>
        <w:r w:rsidR="00FF019F">
          <w:rPr>
            <w:noProof/>
            <w:webHidden/>
          </w:rPr>
          <w:t>20</w:t>
        </w:r>
        <w:r w:rsidR="00AF7A86">
          <w:rPr>
            <w:noProof/>
            <w:webHidden/>
          </w:rPr>
          <w:fldChar w:fldCharType="end"/>
        </w:r>
      </w:hyperlink>
    </w:p>
    <w:p w14:paraId="4DAB453E" w14:textId="1BACD8B6"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12" w:history="1">
        <w:r w:rsidR="00AF7A86" w:rsidRPr="00812874">
          <w:rPr>
            <w:rStyle w:val="Hyperlink"/>
            <w:noProof/>
          </w:rPr>
          <w:t>3.2.3.</w:t>
        </w:r>
        <w:r w:rsidR="004E09E3">
          <w:rPr>
            <w:rStyle w:val="Hyperlink"/>
            <w:noProof/>
          </w:rPr>
          <w:t>2</w:t>
        </w:r>
        <w:r w:rsidR="00AF7A86" w:rsidRPr="00812874">
          <w:rPr>
            <w:rStyle w:val="Hyperlink"/>
            <w:noProof/>
          </w:rPr>
          <w:t>.</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Total appropriations</w:t>
        </w:r>
        <w:r w:rsidR="00AF7A86">
          <w:rPr>
            <w:noProof/>
            <w:webHidden/>
          </w:rPr>
          <w:tab/>
        </w:r>
        <w:r w:rsidR="00AF7A86">
          <w:rPr>
            <w:noProof/>
            <w:webHidden/>
          </w:rPr>
          <w:fldChar w:fldCharType="begin"/>
        </w:r>
        <w:r w:rsidR="00AF7A86">
          <w:rPr>
            <w:noProof/>
            <w:webHidden/>
          </w:rPr>
          <w:instrText xml:space="preserve"> PAGEREF _Toc172893712 \h </w:instrText>
        </w:r>
        <w:r w:rsidR="00AF7A86">
          <w:rPr>
            <w:noProof/>
            <w:webHidden/>
          </w:rPr>
        </w:r>
        <w:r w:rsidR="00AF7A86">
          <w:rPr>
            <w:noProof/>
            <w:webHidden/>
          </w:rPr>
          <w:fldChar w:fldCharType="separate"/>
        </w:r>
        <w:r w:rsidR="00FF019F">
          <w:rPr>
            <w:noProof/>
            <w:webHidden/>
          </w:rPr>
          <w:t>20</w:t>
        </w:r>
        <w:r w:rsidR="00AF7A86">
          <w:rPr>
            <w:noProof/>
            <w:webHidden/>
          </w:rPr>
          <w:fldChar w:fldCharType="end"/>
        </w:r>
      </w:hyperlink>
    </w:p>
    <w:p w14:paraId="3E8C3C68" w14:textId="6833CA36"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13" w:history="1">
        <w:r w:rsidR="00AF7A86" w:rsidRPr="00812874">
          <w:rPr>
            <w:rStyle w:val="Hyperlink"/>
            <w:noProof/>
          </w:rPr>
          <w:t>3.2.4.</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Estimated requirements of human resources</w:t>
        </w:r>
        <w:r w:rsidR="00AF7A86">
          <w:rPr>
            <w:noProof/>
            <w:webHidden/>
          </w:rPr>
          <w:tab/>
        </w:r>
        <w:r w:rsidR="00AF7A86">
          <w:rPr>
            <w:noProof/>
            <w:webHidden/>
          </w:rPr>
          <w:fldChar w:fldCharType="begin"/>
        </w:r>
        <w:r w:rsidR="00AF7A86">
          <w:rPr>
            <w:noProof/>
            <w:webHidden/>
          </w:rPr>
          <w:instrText xml:space="preserve"> PAGEREF _Toc172893713 \h </w:instrText>
        </w:r>
        <w:r w:rsidR="00AF7A86">
          <w:rPr>
            <w:noProof/>
            <w:webHidden/>
          </w:rPr>
        </w:r>
        <w:r w:rsidR="00AF7A86">
          <w:rPr>
            <w:noProof/>
            <w:webHidden/>
          </w:rPr>
          <w:fldChar w:fldCharType="separate"/>
        </w:r>
        <w:r w:rsidR="00FF019F">
          <w:rPr>
            <w:noProof/>
            <w:webHidden/>
          </w:rPr>
          <w:t>20</w:t>
        </w:r>
        <w:r w:rsidR="00AF7A86">
          <w:rPr>
            <w:noProof/>
            <w:webHidden/>
          </w:rPr>
          <w:fldChar w:fldCharType="end"/>
        </w:r>
      </w:hyperlink>
    </w:p>
    <w:p w14:paraId="24F6364D" w14:textId="560B3EF6"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14" w:history="1">
        <w:r w:rsidR="00AF7A86" w:rsidRPr="00812874">
          <w:rPr>
            <w:rStyle w:val="Hyperlink"/>
            <w:noProof/>
          </w:rPr>
          <w:t>3.2.4.1.</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Financed from voted budget</w:t>
        </w:r>
        <w:r w:rsidR="00AF7A86">
          <w:rPr>
            <w:noProof/>
            <w:webHidden/>
          </w:rPr>
          <w:tab/>
        </w:r>
        <w:r w:rsidR="00AF7A86">
          <w:rPr>
            <w:noProof/>
            <w:webHidden/>
          </w:rPr>
          <w:fldChar w:fldCharType="begin"/>
        </w:r>
        <w:r w:rsidR="00AF7A86">
          <w:rPr>
            <w:noProof/>
            <w:webHidden/>
          </w:rPr>
          <w:instrText xml:space="preserve"> PAGEREF _Toc172893714 \h </w:instrText>
        </w:r>
        <w:r w:rsidR="00AF7A86">
          <w:rPr>
            <w:noProof/>
            <w:webHidden/>
          </w:rPr>
        </w:r>
        <w:r w:rsidR="00AF7A86">
          <w:rPr>
            <w:noProof/>
            <w:webHidden/>
          </w:rPr>
          <w:fldChar w:fldCharType="separate"/>
        </w:r>
        <w:r w:rsidR="00FF019F">
          <w:rPr>
            <w:noProof/>
            <w:webHidden/>
          </w:rPr>
          <w:t>21</w:t>
        </w:r>
        <w:r w:rsidR="00AF7A86">
          <w:rPr>
            <w:noProof/>
            <w:webHidden/>
          </w:rPr>
          <w:fldChar w:fldCharType="end"/>
        </w:r>
      </w:hyperlink>
    </w:p>
    <w:p w14:paraId="148DFD9E" w14:textId="7AD6ACB3"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16" w:history="1">
        <w:r w:rsidR="00AF7A86" w:rsidRPr="00812874">
          <w:rPr>
            <w:rStyle w:val="Hyperlink"/>
            <w:noProof/>
          </w:rPr>
          <w:t>3.2.4.</w:t>
        </w:r>
        <w:r w:rsidR="005A46CE">
          <w:rPr>
            <w:rStyle w:val="Hyperlink"/>
            <w:noProof/>
          </w:rPr>
          <w:t>2</w:t>
        </w:r>
        <w:r w:rsidR="00AF7A86" w:rsidRPr="00812874">
          <w:rPr>
            <w:rStyle w:val="Hyperlink"/>
            <w:noProof/>
          </w:rPr>
          <w:t>.</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Total requirements of human resources</w:t>
        </w:r>
        <w:r w:rsidR="00AF7A86">
          <w:rPr>
            <w:noProof/>
            <w:webHidden/>
          </w:rPr>
          <w:tab/>
        </w:r>
        <w:r w:rsidR="00AF7A86">
          <w:rPr>
            <w:noProof/>
            <w:webHidden/>
          </w:rPr>
          <w:fldChar w:fldCharType="begin"/>
        </w:r>
        <w:r w:rsidR="00AF7A86">
          <w:rPr>
            <w:noProof/>
            <w:webHidden/>
          </w:rPr>
          <w:instrText xml:space="preserve"> PAGEREF _Toc172893716 \h </w:instrText>
        </w:r>
        <w:r w:rsidR="00AF7A86">
          <w:rPr>
            <w:noProof/>
            <w:webHidden/>
          </w:rPr>
        </w:r>
        <w:r w:rsidR="00AF7A86">
          <w:rPr>
            <w:noProof/>
            <w:webHidden/>
          </w:rPr>
          <w:fldChar w:fldCharType="separate"/>
        </w:r>
        <w:r w:rsidR="00FF019F">
          <w:rPr>
            <w:noProof/>
            <w:webHidden/>
          </w:rPr>
          <w:t>21</w:t>
        </w:r>
        <w:r w:rsidR="00AF7A86">
          <w:rPr>
            <w:noProof/>
            <w:webHidden/>
          </w:rPr>
          <w:fldChar w:fldCharType="end"/>
        </w:r>
      </w:hyperlink>
    </w:p>
    <w:p w14:paraId="2647617A" w14:textId="234BF47F"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17" w:history="1">
        <w:r w:rsidR="00AF7A86" w:rsidRPr="00812874">
          <w:rPr>
            <w:rStyle w:val="Hyperlink"/>
            <w:noProof/>
          </w:rPr>
          <w:t>3.2.5.</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Overview of estimated impact on Digital related investments</w:t>
        </w:r>
        <w:r w:rsidR="00AF7A86">
          <w:rPr>
            <w:noProof/>
            <w:webHidden/>
          </w:rPr>
          <w:tab/>
        </w:r>
        <w:r w:rsidR="00AF7A86">
          <w:rPr>
            <w:noProof/>
            <w:webHidden/>
          </w:rPr>
          <w:fldChar w:fldCharType="begin"/>
        </w:r>
        <w:r w:rsidR="00AF7A86">
          <w:rPr>
            <w:noProof/>
            <w:webHidden/>
          </w:rPr>
          <w:instrText xml:space="preserve"> PAGEREF _Toc172893717 \h </w:instrText>
        </w:r>
        <w:r w:rsidR="00AF7A86">
          <w:rPr>
            <w:noProof/>
            <w:webHidden/>
          </w:rPr>
        </w:r>
        <w:r w:rsidR="00AF7A86">
          <w:rPr>
            <w:noProof/>
            <w:webHidden/>
          </w:rPr>
          <w:fldChar w:fldCharType="separate"/>
        </w:r>
        <w:r w:rsidR="00FF019F">
          <w:rPr>
            <w:noProof/>
            <w:webHidden/>
          </w:rPr>
          <w:t>22</w:t>
        </w:r>
        <w:r w:rsidR="00AF7A86">
          <w:rPr>
            <w:noProof/>
            <w:webHidden/>
          </w:rPr>
          <w:fldChar w:fldCharType="end"/>
        </w:r>
      </w:hyperlink>
    </w:p>
    <w:p w14:paraId="1B735F50" w14:textId="034D6387"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18" w:history="1">
        <w:r w:rsidR="00AF7A86" w:rsidRPr="00812874">
          <w:rPr>
            <w:rStyle w:val="Hyperlink"/>
            <w:noProof/>
          </w:rPr>
          <w:t>3.2.6.</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Compatibility with the current multiannual financial framework</w:t>
        </w:r>
        <w:r w:rsidR="00AF7A86">
          <w:rPr>
            <w:noProof/>
            <w:webHidden/>
          </w:rPr>
          <w:tab/>
        </w:r>
        <w:r w:rsidR="00AF7A86">
          <w:rPr>
            <w:noProof/>
            <w:webHidden/>
          </w:rPr>
          <w:fldChar w:fldCharType="begin"/>
        </w:r>
        <w:r w:rsidR="00AF7A86">
          <w:rPr>
            <w:noProof/>
            <w:webHidden/>
          </w:rPr>
          <w:instrText xml:space="preserve"> PAGEREF _Toc172893718 \h </w:instrText>
        </w:r>
        <w:r w:rsidR="00AF7A86">
          <w:rPr>
            <w:noProof/>
            <w:webHidden/>
          </w:rPr>
        </w:r>
        <w:r w:rsidR="00AF7A86">
          <w:rPr>
            <w:noProof/>
            <w:webHidden/>
          </w:rPr>
          <w:fldChar w:fldCharType="separate"/>
        </w:r>
        <w:r w:rsidR="00FF019F">
          <w:rPr>
            <w:noProof/>
            <w:webHidden/>
          </w:rPr>
          <w:t>23</w:t>
        </w:r>
        <w:r w:rsidR="00AF7A86">
          <w:rPr>
            <w:noProof/>
            <w:webHidden/>
          </w:rPr>
          <w:fldChar w:fldCharType="end"/>
        </w:r>
      </w:hyperlink>
    </w:p>
    <w:p w14:paraId="341C394F" w14:textId="6FB25795" w:rsidR="00AF7A86" w:rsidRDefault="00166F4F" w:rsidP="00AF7A86">
      <w:pPr>
        <w:pStyle w:val="TOC3"/>
        <w:rPr>
          <w:rFonts w:asciiTheme="minorHAnsi" w:eastAsiaTheme="minorEastAsia" w:hAnsiTheme="minorHAnsi" w:cstheme="minorBidi"/>
          <w:noProof/>
          <w:kern w:val="2"/>
          <w:sz w:val="22"/>
          <w:lang w:val="en-IE" w:eastAsia="en-IE"/>
          <w14:ligatures w14:val="standardContextual"/>
        </w:rPr>
      </w:pPr>
      <w:hyperlink w:anchor="_Toc172893719" w:history="1">
        <w:r w:rsidR="00AF7A86" w:rsidRPr="00812874">
          <w:rPr>
            <w:rStyle w:val="Hyperlink"/>
            <w:noProof/>
          </w:rPr>
          <w:t>3.2.7.</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Third-party contributions</w:t>
        </w:r>
        <w:r w:rsidR="00AF7A86">
          <w:rPr>
            <w:noProof/>
            <w:webHidden/>
          </w:rPr>
          <w:tab/>
        </w:r>
        <w:r w:rsidR="00AF7A86">
          <w:rPr>
            <w:noProof/>
            <w:webHidden/>
          </w:rPr>
          <w:fldChar w:fldCharType="begin"/>
        </w:r>
        <w:r w:rsidR="00AF7A86">
          <w:rPr>
            <w:noProof/>
            <w:webHidden/>
          </w:rPr>
          <w:instrText xml:space="preserve"> PAGEREF _Toc172893719 \h </w:instrText>
        </w:r>
        <w:r w:rsidR="00AF7A86">
          <w:rPr>
            <w:noProof/>
            <w:webHidden/>
          </w:rPr>
        </w:r>
        <w:r w:rsidR="00AF7A86">
          <w:rPr>
            <w:noProof/>
            <w:webHidden/>
          </w:rPr>
          <w:fldChar w:fldCharType="separate"/>
        </w:r>
        <w:r w:rsidR="00FF019F">
          <w:rPr>
            <w:noProof/>
            <w:webHidden/>
          </w:rPr>
          <w:t>23</w:t>
        </w:r>
        <w:r w:rsidR="00AF7A86">
          <w:rPr>
            <w:noProof/>
            <w:webHidden/>
          </w:rPr>
          <w:fldChar w:fldCharType="end"/>
        </w:r>
      </w:hyperlink>
    </w:p>
    <w:p w14:paraId="39CF5CD9" w14:textId="7C0A1D3A"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720" w:history="1">
        <w:r w:rsidR="00AF7A86" w:rsidRPr="00812874">
          <w:rPr>
            <w:rStyle w:val="Hyperlink"/>
            <w:noProof/>
          </w:rPr>
          <w:t>3.3.</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Estimated impact on revenue</w:t>
        </w:r>
        <w:r w:rsidR="00AF7A86">
          <w:rPr>
            <w:noProof/>
            <w:webHidden/>
          </w:rPr>
          <w:tab/>
        </w:r>
        <w:r w:rsidR="00AF7A86">
          <w:rPr>
            <w:noProof/>
            <w:webHidden/>
          </w:rPr>
          <w:fldChar w:fldCharType="begin"/>
        </w:r>
        <w:r w:rsidR="00AF7A86">
          <w:rPr>
            <w:noProof/>
            <w:webHidden/>
          </w:rPr>
          <w:instrText xml:space="preserve"> PAGEREF _Toc172893720 \h </w:instrText>
        </w:r>
        <w:r w:rsidR="00AF7A86">
          <w:rPr>
            <w:noProof/>
            <w:webHidden/>
          </w:rPr>
        </w:r>
        <w:r w:rsidR="00AF7A86">
          <w:rPr>
            <w:noProof/>
            <w:webHidden/>
          </w:rPr>
          <w:fldChar w:fldCharType="separate"/>
        </w:r>
        <w:r w:rsidR="00FF019F">
          <w:rPr>
            <w:noProof/>
            <w:webHidden/>
          </w:rPr>
          <w:t>26</w:t>
        </w:r>
        <w:r w:rsidR="00AF7A86">
          <w:rPr>
            <w:noProof/>
            <w:webHidden/>
          </w:rPr>
          <w:fldChar w:fldCharType="end"/>
        </w:r>
      </w:hyperlink>
    </w:p>
    <w:p w14:paraId="6329BFCE" w14:textId="25D2610C" w:rsidR="00AF7A86" w:rsidRDefault="00166F4F" w:rsidP="00AF7A86">
      <w:pPr>
        <w:pStyle w:val="TOC1"/>
        <w:rPr>
          <w:rFonts w:asciiTheme="minorHAnsi" w:eastAsiaTheme="minorEastAsia" w:hAnsiTheme="minorHAnsi" w:cstheme="minorBidi"/>
          <w:noProof/>
          <w:kern w:val="2"/>
          <w:sz w:val="22"/>
          <w:lang w:val="en-IE" w:eastAsia="en-IE"/>
          <w14:ligatures w14:val="standardContextual"/>
        </w:rPr>
      </w:pPr>
      <w:hyperlink w:anchor="_Toc172893721" w:history="1">
        <w:r w:rsidR="00AF7A86" w:rsidRPr="00812874">
          <w:rPr>
            <w:rStyle w:val="Hyperlink"/>
            <w:noProof/>
          </w:rPr>
          <w:t>4</w:t>
        </w:r>
        <w:r w:rsidR="00AF7A86">
          <w:rPr>
            <w:rStyle w:val="Hyperlink"/>
            <w:noProof/>
          </w:rPr>
          <w:t>.</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D</w:t>
        </w:r>
        <w:r w:rsidR="00AF7A86">
          <w:rPr>
            <w:rStyle w:val="Hyperlink"/>
            <w:noProof/>
          </w:rPr>
          <w:t>IGITAL DIMENSION</w:t>
        </w:r>
        <w:r w:rsidR="00AF7A86" w:rsidRPr="00812874">
          <w:rPr>
            <w:rStyle w:val="Hyperlink"/>
            <w:bCs/>
            <w:noProof/>
          </w:rPr>
          <w:t>S</w:t>
        </w:r>
        <w:r w:rsidR="00AF7A86">
          <w:rPr>
            <w:noProof/>
            <w:webHidden/>
          </w:rPr>
          <w:tab/>
        </w:r>
        <w:r w:rsidR="00AF7A86">
          <w:rPr>
            <w:noProof/>
            <w:webHidden/>
          </w:rPr>
          <w:fldChar w:fldCharType="begin"/>
        </w:r>
        <w:r w:rsidR="00AF7A86">
          <w:rPr>
            <w:noProof/>
            <w:webHidden/>
          </w:rPr>
          <w:instrText xml:space="preserve"> PAGEREF _Toc172893721 \h </w:instrText>
        </w:r>
        <w:r w:rsidR="00AF7A86">
          <w:rPr>
            <w:noProof/>
            <w:webHidden/>
          </w:rPr>
        </w:r>
        <w:r w:rsidR="00AF7A86">
          <w:rPr>
            <w:noProof/>
            <w:webHidden/>
          </w:rPr>
          <w:fldChar w:fldCharType="separate"/>
        </w:r>
        <w:r w:rsidR="00FF019F">
          <w:rPr>
            <w:noProof/>
            <w:webHidden/>
          </w:rPr>
          <w:t>26</w:t>
        </w:r>
        <w:r w:rsidR="00AF7A86">
          <w:rPr>
            <w:noProof/>
            <w:webHidden/>
          </w:rPr>
          <w:fldChar w:fldCharType="end"/>
        </w:r>
      </w:hyperlink>
    </w:p>
    <w:p w14:paraId="53B02CE8" w14:textId="7C15ACE1"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722" w:history="1">
        <w:r w:rsidR="00AF7A86" w:rsidRPr="00812874">
          <w:rPr>
            <w:rStyle w:val="Hyperlink"/>
            <w:noProof/>
          </w:rPr>
          <w:t>4.1.</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Requirements of digital relevance</w:t>
        </w:r>
        <w:r w:rsidR="00AF7A86">
          <w:rPr>
            <w:noProof/>
            <w:webHidden/>
          </w:rPr>
          <w:tab/>
        </w:r>
        <w:r w:rsidR="00AF7A86">
          <w:rPr>
            <w:noProof/>
            <w:webHidden/>
          </w:rPr>
          <w:fldChar w:fldCharType="begin"/>
        </w:r>
        <w:r w:rsidR="00AF7A86">
          <w:rPr>
            <w:noProof/>
            <w:webHidden/>
          </w:rPr>
          <w:instrText xml:space="preserve"> PAGEREF _Toc172893722 \h </w:instrText>
        </w:r>
        <w:r w:rsidR="00AF7A86">
          <w:rPr>
            <w:noProof/>
            <w:webHidden/>
          </w:rPr>
        </w:r>
        <w:r w:rsidR="00AF7A86">
          <w:rPr>
            <w:noProof/>
            <w:webHidden/>
          </w:rPr>
          <w:fldChar w:fldCharType="separate"/>
        </w:r>
        <w:r w:rsidR="00FF019F">
          <w:rPr>
            <w:noProof/>
            <w:webHidden/>
          </w:rPr>
          <w:t>26</w:t>
        </w:r>
        <w:r w:rsidR="00AF7A86">
          <w:rPr>
            <w:noProof/>
            <w:webHidden/>
          </w:rPr>
          <w:fldChar w:fldCharType="end"/>
        </w:r>
      </w:hyperlink>
    </w:p>
    <w:p w14:paraId="28B7AFC7" w14:textId="2D16C1EC"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723" w:history="1">
        <w:r w:rsidR="00AF7A86" w:rsidRPr="00812874">
          <w:rPr>
            <w:rStyle w:val="Hyperlink"/>
            <w:noProof/>
          </w:rPr>
          <w:t>4.2.</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Data</w:t>
        </w:r>
        <w:r w:rsidR="00AF7A86">
          <w:rPr>
            <w:noProof/>
            <w:webHidden/>
          </w:rPr>
          <w:tab/>
        </w:r>
        <w:r w:rsidR="00AF7A86">
          <w:rPr>
            <w:noProof/>
            <w:webHidden/>
          </w:rPr>
          <w:fldChar w:fldCharType="begin"/>
        </w:r>
        <w:r w:rsidR="00AF7A86">
          <w:rPr>
            <w:noProof/>
            <w:webHidden/>
          </w:rPr>
          <w:instrText xml:space="preserve"> PAGEREF _Toc172893723 \h </w:instrText>
        </w:r>
        <w:r w:rsidR="00AF7A86">
          <w:rPr>
            <w:noProof/>
            <w:webHidden/>
          </w:rPr>
        </w:r>
        <w:r w:rsidR="00AF7A86">
          <w:rPr>
            <w:noProof/>
            <w:webHidden/>
          </w:rPr>
          <w:fldChar w:fldCharType="separate"/>
        </w:r>
        <w:r w:rsidR="00FF019F">
          <w:rPr>
            <w:noProof/>
            <w:webHidden/>
          </w:rPr>
          <w:t>27</w:t>
        </w:r>
        <w:r w:rsidR="00AF7A86">
          <w:rPr>
            <w:noProof/>
            <w:webHidden/>
          </w:rPr>
          <w:fldChar w:fldCharType="end"/>
        </w:r>
      </w:hyperlink>
    </w:p>
    <w:p w14:paraId="29DF238F" w14:textId="5120B724"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724" w:history="1">
        <w:r w:rsidR="00AF7A86" w:rsidRPr="00812874">
          <w:rPr>
            <w:rStyle w:val="Hyperlink"/>
            <w:noProof/>
          </w:rPr>
          <w:t>4.3.</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Digital solutions</w:t>
        </w:r>
        <w:r w:rsidR="00AF7A86">
          <w:rPr>
            <w:noProof/>
            <w:webHidden/>
          </w:rPr>
          <w:tab/>
        </w:r>
        <w:r w:rsidR="00AF7A86">
          <w:rPr>
            <w:noProof/>
            <w:webHidden/>
          </w:rPr>
          <w:fldChar w:fldCharType="begin"/>
        </w:r>
        <w:r w:rsidR="00AF7A86">
          <w:rPr>
            <w:noProof/>
            <w:webHidden/>
          </w:rPr>
          <w:instrText xml:space="preserve"> PAGEREF _Toc172893724 \h </w:instrText>
        </w:r>
        <w:r w:rsidR="00AF7A86">
          <w:rPr>
            <w:noProof/>
            <w:webHidden/>
          </w:rPr>
        </w:r>
        <w:r w:rsidR="00AF7A86">
          <w:rPr>
            <w:noProof/>
            <w:webHidden/>
          </w:rPr>
          <w:fldChar w:fldCharType="separate"/>
        </w:r>
        <w:r w:rsidR="00FF019F">
          <w:rPr>
            <w:noProof/>
            <w:webHidden/>
          </w:rPr>
          <w:t>28</w:t>
        </w:r>
        <w:r w:rsidR="00AF7A86">
          <w:rPr>
            <w:noProof/>
            <w:webHidden/>
          </w:rPr>
          <w:fldChar w:fldCharType="end"/>
        </w:r>
      </w:hyperlink>
    </w:p>
    <w:p w14:paraId="7063FC9D" w14:textId="0A140F6F"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725" w:history="1">
        <w:r w:rsidR="00AF7A86" w:rsidRPr="00812874">
          <w:rPr>
            <w:rStyle w:val="Hyperlink"/>
            <w:bCs/>
            <w:noProof/>
          </w:rPr>
          <w:t>4.4.</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bCs/>
            <w:noProof/>
          </w:rPr>
          <w:t>Interoperability assessment</w:t>
        </w:r>
        <w:r w:rsidR="00AF7A86">
          <w:rPr>
            <w:noProof/>
            <w:webHidden/>
          </w:rPr>
          <w:tab/>
        </w:r>
        <w:r w:rsidR="00AF7A86">
          <w:rPr>
            <w:noProof/>
            <w:webHidden/>
          </w:rPr>
          <w:fldChar w:fldCharType="begin"/>
        </w:r>
        <w:r w:rsidR="00AF7A86">
          <w:rPr>
            <w:noProof/>
            <w:webHidden/>
          </w:rPr>
          <w:instrText xml:space="preserve"> PAGEREF _Toc172893725 \h </w:instrText>
        </w:r>
        <w:r w:rsidR="00AF7A86">
          <w:rPr>
            <w:noProof/>
            <w:webHidden/>
          </w:rPr>
        </w:r>
        <w:r w:rsidR="00AF7A86">
          <w:rPr>
            <w:noProof/>
            <w:webHidden/>
          </w:rPr>
          <w:fldChar w:fldCharType="separate"/>
        </w:r>
        <w:r w:rsidR="00FF019F">
          <w:rPr>
            <w:noProof/>
            <w:webHidden/>
          </w:rPr>
          <w:t>28</w:t>
        </w:r>
        <w:r w:rsidR="00AF7A86">
          <w:rPr>
            <w:noProof/>
            <w:webHidden/>
          </w:rPr>
          <w:fldChar w:fldCharType="end"/>
        </w:r>
      </w:hyperlink>
    </w:p>
    <w:p w14:paraId="46DF00CE" w14:textId="3869BBF9" w:rsidR="00AF7A86" w:rsidRDefault="00166F4F" w:rsidP="00AF7A86">
      <w:pPr>
        <w:pStyle w:val="TOC2"/>
        <w:rPr>
          <w:rFonts w:asciiTheme="minorHAnsi" w:eastAsiaTheme="minorEastAsia" w:hAnsiTheme="minorHAnsi" w:cstheme="minorBidi"/>
          <w:noProof/>
          <w:kern w:val="2"/>
          <w:sz w:val="22"/>
          <w:lang w:val="en-IE" w:eastAsia="en-IE"/>
          <w14:ligatures w14:val="standardContextual"/>
        </w:rPr>
      </w:pPr>
      <w:hyperlink w:anchor="_Toc172893726" w:history="1">
        <w:r w:rsidR="00AF7A86" w:rsidRPr="00812874">
          <w:rPr>
            <w:rStyle w:val="Hyperlink"/>
            <w:noProof/>
          </w:rPr>
          <w:t>4.5.</w:t>
        </w:r>
        <w:r w:rsidR="00AF7A86">
          <w:rPr>
            <w:rFonts w:asciiTheme="minorHAnsi" w:eastAsiaTheme="minorEastAsia" w:hAnsiTheme="minorHAnsi" w:cstheme="minorBidi"/>
            <w:noProof/>
            <w:kern w:val="2"/>
            <w:sz w:val="22"/>
            <w:lang w:val="en-IE" w:eastAsia="en-IE"/>
            <w14:ligatures w14:val="standardContextual"/>
          </w:rPr>
          <w:tab/>
        </w:r>
        <w:r w:rsidR="00AF7A86" w:rsidRPr="00812874">
          <w:rPr>
            <w:rStyle w:val="Hyperlink"/>
            <w:noProof/>
          </w:rPr>
          <w:t>Measures to support digital implementation</w:t>
        </w:r>
        <w:r w:rsidR="00AF7A86">
          <w:rPr>
            <w:noProof/>
            <w:webHidden/>
          </w:rPr>
          <w:tab/>
        </w:r>
        <w:r w:rsidR="00AF7A86">
          <w:rPr>
            <w:noProof/>
            <w:webHidden/>
          </w:rPr>
          <w:fldChar w:fldCharType="begin"/>
        </w:r>
        <w:r w:rsidR="00AF7A86">
          <w:rPr>
            <w:noProof/>
            <w:webHidden/>
          </w:rPr>
          <w:instrText xml:space="preserve"> PAGEREF _Toc172893726 \h </w:instrText>
        </w:r>
        <w:r w:rsidR="00AF7A86">
          <w:rPr>
            <w:noProof/>
            <w:webHidden/>
          </w:rPr>
        </w:r>
        <w:r w:rsidR="00AF7A86">
          <w:rPr>
            <w:noProof/>
            <w:webHidden/>
          </w:rPr>
          <w:fldChar w:fldCharType="separate"/>
        </w:r>
        <w:r w:rsidR="00FF019F">
          <w:rPr>
            <w:noProof/>
            <w:webHidden/>
          </w:rPr>
          <w:t>29</w:t>
        </w:r>
        <w:r w:rsidR="00AF7A86">
          <w:rPr>
            <w:noProof/>
            <w:webHidden/>
          </w:rPr>
          <w:fldChar w:fldCharType="end"/>
        </w:r>
      </w:hyperlink>
    </w:p>
    <w:p w14:paraId="742EBCB8" w14:textId="77777777" w:rsidR="00AF7A86" w:rsidRDefault="00AF7A86" w:rsidP="00AF7A86">
      <w:pPr>
        <w:rPr>
          <w:noProof/>
        </w:rPr>
      </w:pPr>
      <w:r>
        <w:rPr>
          <w:b/>
          <w:bCs/>
          <w:noProof/>
        </w:rPr>
        <w:fldChar w:fldCharType="end"/>
      </w:r>
    </w:p>
    <w:p w14:paraId="400ACF89" w14:textId="77777777" w:rsidR="00AF7A86" w:rsidRPr="00A7624D" w:rsidRDefault="00AF7A86" w:rsidP="00AF7A86">
      <w:pPr>
        <w:rPr>
          <w:noProof/>
        </w:rPr>
      </w:pPr>
    </w:p>
    <w:p w14:paraId="79C89BCC" w14:textId="77777777" w:rsidR="00AF7A86" w:rsidRDefault="00AF7A86" w:rsidP="00AF7A86">
      <w:pPr>
        <w:rPr>
          <w:noProof/>
        </w:rPr>
        <w:sectPr w:rsidR="00AF7A86" w:rsidSect="005C1364">
          <w:pgSz w:w="11907" w:h="16840" w:code="9"/>
          <w:pgMar w:top="1134" w:right="1418" w:bottom="1134" w:left="1418" w:header="709" w:footer="709" w:gutter="0"/>
          <w:pgNumType w:start="1"/>
          <w:cols w:space="720"/>
          <w:docGrid w:linePitch="360"/>
        </w:sectPr>
      </w:pPr>
    </w:p>
    <w:p w14:paraId="200DE9EE" w14:textId="77777777" w:rsidR="00AF7A86" w:rsidRDefault="00AF7A86" w:rsidP="00AF7A86">
      <w:pPr>
        <w:pStyle w:val="ManualHeading1"/>
        <w:rPr>
          <w:noProof/>
        </w:rPr>
      </w:pPr>
      <w:bookmarkStart w:id="37" w:name="_Toc514938007"/>
      <w:bookmarkStart w:id="38" w:name="_Toc520485025"/>
      <w:bookmarkStart w:id="39" w:name="_Toc160804567"/>
      <w:bookmarkStart w:id="40" w:name="_Toc172893678"/>
      <w:r w:rsidRPr="0021790A">
        <w:rPr>
          <w:noProof/>
        </w:rPr>
        <w:t>1.</w:t>
      </w:r>
      <w:r w:rsidRPr="0021790A">
        <w:rPr>
          <w:noProof/>
        </w:rPr>
        <w:tab/>
      </w:r>
      <w:r>
        <w:rPr>
          <w:noProof/>
        </w:rPr>
        <w:t>FRAMEWORK OF THE PROPOSAL/INITIATIVE</w:t>
      </w:r>
      <w:bookmarkEnd w:id="37"/>
      <w:bookmarkEnd w:id="38"/>
      <w:bookmarkEnd w:id="39"/>
      <w:bookmarkEnd w:id="40"/>
      <w:r>
        <w:rPr>
          <w:noProof/>
        </w:rPr>
        <w:t xml:space="preserve"> </w:t>
      </w:r>
    </w:p>
    <w:p w14:paraId="50D41D03" w14:textId="77777777" w:rsidR="00AF7A86" w:rsidRDefault="00AF7A86" w:rsidP="00AF7A86">
      <w:pPr>
        <w:pStyle w:val="ManualHeading2"/>
        <w:rPr>
          <w:noProof/>
        </w:rPr>
      </w:pPr>
      <w:bookmarkStart w:id="41" w:name="_Toc514938008"/>
      <w:bookmarkStart w:id="42" w:name="_Toc520485026"/>
      <w:bookmarkStart w:id="43" w:name="_Toc160804568"/>
      <w:bookmarkStart w:id="44" w:name="_Toc172893679"/>
      <w:r w:rsidRPr="0021790A">
        <w:rPr>
          <w:noProof/>
        </w:rPr>
        <w:t>1.1.</w:t>
      </w:r>
      <w:r w:rsidRPr="0021790A">
        <w:rPr>
          <w:noProof/>
        </w:rPr>
        <w:tab/>
      </w:r>
      <w:r>
        <w:rPr>
          <w:noProof/>
        </w:rPr>
        <w:t>Title of the proposal/initiative</w:t>
      </w:r>
      <w:bookmarkEnd w:id="41"/>
      <w:bookmarkEnd w:id="42"/>
      <w:bookmarkEnd w:id="43"/>
      <w:bookmarkEnd w:id="44"/>
    </w:p>
    <w:p w14:paraId="7469D5DA" w14:textId="77777777" w:rsidR="00AF7A86" w:rsidRPr="00093B69" w:rsidRDefault="00AF7A86" w:rsidP="00AF7A86">
      <w:pPr>
        <w:pStyle w:val="Text1"/>
        <w:pBdr>
          <w:top w:val="single" w:sz="4" w:space="1" w:color="auto"/>
          <w:left w:val="single" w:sz="4" w:space="4" w:color="auto"/>
          <w:bottom w:val="single" w:sz="4" w:space="1" w:color="auto"/>
          <w:right w:val="single" w:sz="4" w:space="4" w:color="auto"/>
        </w:pBdr>
        <w:rPr>
          <w:noProof/>
          <w:color w:val="000000" w:themeColor="text1"/>
        </w:rPr>
      </w:pPr>
      <w:bookmarkStart w:id="45" w:name="_Toc514938011"/>
      <w:bookmarkStart w:id="46" w:name="_Toc520485027"/>
      <w:bookmarkStart w:id="47" w:name="_Toc160804569"/>
      <w:bookmarkStart w:id="48" w:name="_Toc172893680"/>
      <w:r w:rsidRPr="00093B69">
        <w:rPr>
          <w:noProof/>
          <w:color w:val="000000" w:themeColor="text1"/>
        </w:rPr>
        <w:t>Regulation of the European Parliament and of the Council on guidelines for trans-European energy infrastructure amending Regulations (EU) 2019/942, and (EU) 2019/943 and (EU) 2024/1789 and repealing Regulation (EU) 2022/869.</w:t>
      </w:r>
    </w:p>
    <w:p w14:paraId="1B3DFD44" w14:textId="77777777" w:rsidR="00AF7A86" w:rsidRDefault="00AF7A86" w:rsidP="00AF7A86">
      <w:pPr>
        <w:pStyle w:val="ManualHeading2"/>
        <w:rPr>
          <w:i/>
          <w:noProof/>
        </w:rPr>
      </w:pPr>
      <w:r w:rsidRPr="0021790A">
        <w:rPr>
          <w:noProof/>
        </w:rPr>
        <w:t>1.2.</w:t>
      </w:r>
      <w:r w:rsidRPr="0021790A">
        <w:rPr>
          <w:noProof/>
        </w:rPr>
        <w:tab/>
      </w:r>
      <w:r>
        <w:rPr>
          <w:noProof/>
        </w:rPr>
        <w:t>Policy area(s) concerned</w:t>
      </w:r>
      <w:bookmarkEnd w:id="45"/>
      <w:bookmarkEnd w:id="46"/>
      <w:bookmarkEnd w:id="47"/>
      <w:bookmarkEnd w:id="48"/>
      <w:r>
        <w:rPr>
          <w:i/>
          <w:noProof/>
        </w:rPr>
        <w:t xml:space="preserve"> </w:t>
      </w:r>
    </w:p>
    <w:p w14:paraId="3429D0ED" w14:textId="77777777" w:rsidR="00AF7A86" w:rsidRDefault="00AF7A86" w:rsidP="00AF7A86">
      <w:pPr>
        <w:pStyle w:val="Text1"/>
        <w:pBdr>
          <w:top w:val="single" w:sz="4" w:space="1" w:color="auto"/>
          <w:left w:val="single" w:sz="4" w:space="4" w:color="auto"/>
          <w:bottom w:val="single" w:sz="4" w:space="0" w:color="auto"/>
          <w:right w:val="single" w:sz="4" w:space="4" w:color="auto"/>
        </w:pBdr>
        <w:rPr>
          <w:noProof/>
        </w:rPr>
      </w:pPr>
      <w:r>
        <w:rPr>
          <w:noProof/>
        </w:rPr>
        <w:t xml:space="preserve">Area: Energy </w:t>
      </w:r>
    </w:p>
    <w:p w14:paraId="4340E8EB" w14:textId="77777777" w:rsidR="00AF7A86" w:rsidRDefault="00AF7A86" w:rsidP="00AF7A86">
      <w:pPr>
        <w:pStyle w:val="Text1"/>
        <w:pBdr>
          <w:top w:val="single" w:sz="4" w:space="1" w:color="auto"/>
          <w:left w:val="single" w:sz="4" w:space="4" w:color="auto"/>
          <w:bottom w:val="single" w:sz="4" w:space="0" w:color="auto"/>
          <w:right w:val="single" w:sz="4" w:space="4" w:color="auto"/>
        </w:pBdr>
        <w:rPr>
          <w:noProof/>
        </w:rPr>
      </w:pPr>
      <w:r>
        <w:rPr>
          <w:noProof/>
        </w:rPr>
        <w:t xml:space="preserve">Activity: Clean Industrial Deal </w:t>
      </w:r>
    </w:p>
    <w:p w14:paraId="2C344A87" w14:textId="77777777" w:rsidR="00AF7A86" w:rsidRDefault="00AF7A86" w:rsidP="00AF7A86">
      <w:pPr>
        <w:pStyle w:val="ManualHeading2"/>
        <w:rPr>
          <w:noProof/>
        </w:rPr>
      </w:pPr>
      <w:bookmarkStart w:id="49" w:name="_Toc514938015"/>
      <w:bookmarkStart w:id="50" w:name="_Toc520485029"/>
      <w:bookmarkStart w:id="51" w:name="_Toc160804571"/>
      <w:bookmarkStart w:id="52" w:name="_Toc172893681"/>
      <w:r>
        <w:rPr>
          <w:noProof/>
        </w:rPr>
        <w:t>1.3.</w:t>
      </w:r>
      <w:r>
        <w:rPr>
          <w:noProof/>
        </w:rPr>
        <w:tab/>
      </w:r>
      <w:r w:rsidRPr="68E41AC8">
        <w:rPr>
          <w:noProof/>
        </w:rPr>
        <w:t>Objective(s)</w:t>
      </w:r>
      <w:bookmarkEnd w:id="49"/>
      <w:bookmarkEnd w:id="50"/>
      <w:bookmarkEnd w:id="51"/>
      <w:bookmarkEnd w:id="52"/>
    </w:p>
    <w:p w14:paraId="6D1BD7A2" w14:textId="77777777" w:rsidR="00AF7A86" w:rsidRPr="009B753E" w:rsidRDefault="00AF7A86" w:rsidP="00AF7A86">
      <w:pPr>
        <w:pStyle w:val="ManualHeading3"/>
        <w:rPr>
          <w:noProof/>
        </w:rPr>
      </w:pPr>
      <w:bookmarkStart w:id="53" w:name="_Toc514938016"/>
      <w:bookmarkStart w:id="54" w:name="_Toc520485030"/>
      <w:bookmarkStart w:id="55" w:name="_Toc160804572"/>
      <w:bookmarkStart w:id="56" w:name="_Toc172893682"/>
      <w:r>
        <w:rPr>
          <w:noProof/>
        </w:rPr>
        <w:t>1.3.1.</w:t>
      </w:r>
      <w:r>
        <w:rPr>
          <w:noProof/>
        </w:rPr>
        <w:tab/>
      </w:r>
      <w:r w:rsidRPr="68E41AC8">
        <w:rPr>
          <w:noProof/>
        </w:rPr>
        <w:t>General objective(s)</w:t>
      </w:r>
      <w:bookmarkEnd w:id="53"/>
      <w:bookmarkEnd w:id="54"/>
      <w:bookmarkEnd w:id="55"/>
      <w:bookmarkEnd w:id="56"/>
    </w:p>
    <w:p w14:paraId="602C63B3" w14:textId="77777777" w:rsidR="00AF7A86" w:rsidRPr="000E5EE8" w:rsidRDefault="00AF7A86" w:rsidP="00AF7A86">
      <w:pPr>
        <w:pStyle w:val="Text1"/>
        <w:pBdr>
          <w:top w:val="single" w:sz="4" w:space="1" w:color="auto"/>
          <w:left w:val="single" w:sz="4" w:space="4" w:color="auto"/>
          <w:bottom w:val="single" w:sz="4" w:space="1" w:color="auto"/>
          <w:right w:val="single" w:sz="4" w:space="4" w:color="auto"/>
        </w:pBdr>
        <w:rPr>
          <w:rStyle w:val="Marker110000"/>
          <w:noProof/>
          <w:color w:val="000000" w:themeColor="text1"/>
        </w:rPr>
      </w:pPr>
      <w:bookmarkStart w:id="57" w:name="_Toc514938018"/>
      <w:bookmarkStart w:id="58" w:name="_Toc520485031"/>
      <w:bookmarkStart w:id="59" w:name="_Toc160804573"/>
      <w:bookmarkStart w:id="60" w:name="_Toc172893683"/>
      <w:r>
        <w:rPr>
          <w:noProof/>
          <w:color w:val="000000" w:themeColor="text1"/>
        </w:rPr>
        <w:t xml:space="preserve">The general objective is the timely an efficient development and interoperability of resilient energy infrastructure, renewable energy and flexibility, including storage and recharging stations, across the EU. This will enable the EU to deliver on its energy and climate objectives, including ensuring energy affordability through better interconnectivity, leading to price convergence, reduced wholesale electricity prices and lower volatility of electricity prices as well as to accelerated connection of generation and demand. </w:t>
      </w:r>
    </w:p>
    <w:p w14:paraId="21F9C1FD" w14:textId="77777777" w:rsidR="00AF7A86" w:rsidRDefault="00AF7A86" w:rsidP="00AF7A86">
      <w:pPr>
        <w:pStyle w:val="ManualHeading3"/>
        <w:rPr>
          <w:noProof/>
        </w:rPr>
      </w:pPr>
      <w:r>
        <w:rPr>
          <w:noProof/>
        </w:rPr>
        <w:t>1.3.2.</w:t>
      </w:r>
      <w:r>
        <w:rPr>
          <w:noProof/>
        </w:rPr>
        <w:tab/>
      </w:r>
      <w:r w:rsidRPr="68E41AC8">
        <w:rPr>
          <w:noProof/>
        </w:rPr>
        <w:t>Specific objective(s)</w:t>
      </w:r>
      <w:bookmarkEnd w:id="57"/>
      <w:bookmarkEnd w:id="58"/>
      <w:bookmarkEnd w:id="59"/>
      <w:bookmarkEnd w:id="60"/>
    </w:p>
    <w:p w14:paraId="0593D956" w14:textId="77777777" w:rsidR="00AF7A86" w:rsidRDefault="00AF7A86">
      <w:pPr>
        <w:pStyle w:val="Text1"/>
        <w:pBdr>
          <w:top w:val="single" w:sz="4" w:space="1" w:color="auto"/>
          <w:left w:val="single" w:sz="4" w:space="1" w:color="auto"/>
          <w:bottom w:val="single" w:sz="4" w:space="1" w:color="auto"/>
          <w:right w:val="single" w:sz="4" w:space="1" w:color="auto"/>
        </w:pBdr>
        <w:rPr>
          <w:noProof/>
        </w:rPr>
      </w:pPr>
      <w:bookmarkStart w:id="61" w:name="_Hlk210316047"/>
      <w:r>
        <w:rPr>
          <w:noProof/>
        </w:rPr>
        <w:t xml:space="preserve">To achieve the general objective, four specific objectives (SOs) are addressed by this initiative: </w:t>
      </w:r>
    </w:p>
    <w:p w14:paraId="1405643A" w14:textId="77777777" w:rsidR="00817A26" w:rsidRDefault="00817A26">
      <w:pPr>
        <w:pStyle w:val="Text1"/>
        <w:pBdr>
          <w:top w:val="single" w:sz="4" w:space="1" w:color="auto"/>
          <w:left w:val="single" w:sz="4" w:space="1" w:color="auto"/>
          <w:bottom w:val="single" w:sz="4" w:space="1" w:color="auto"/>
          <w:right w:val="single" w:sz="4" w:space="1" w:color="auto"/>
        </w:pBdr>
        <w:rPr>
          <w:noProof/>
        </w:rPr>
      </w:pPr>
      <w:r>
        <w:rPr>
          <w:noProof/>
        </w:rPr>
        <w:t>i)  SO1: Ensure that projects included in network development plans and selected as PCI/PMIs address appropriately and effectively identified infrastructure needs</w:t>
      </w:r>
      <w:r>
        <w:rPr>
          <w:noProof/>
          <w:lang w:eastAsia="en-GB"/>
        </w:rPr>
        <w:t xml:space="preserve"> ensuring timely and efficient development of energy infrastructure; </w:t>
      </w:r>
    </w:p>
    <w:p w14:paraId="2DE2D073" w14:textId="77777777" w:rsidR="00817A26" w:rsidRDefault="00817A26">
      <w:pPr>
        <w:pStyle w:val="Text1"/>
        <w:pBdr>
          <w:top w:val="single" w:sz="4" w:space="1" w:color="auto"/>
          <w:left w:val="single" w:sz="4" w:space="1" w:color="auto"/>
          <w:bottom w:val="single" w:sz="4" w:space="1" w:color="auto"/>
          <w:right w:val="single" w:sz="4" w:space="1" w:color="auto"/>
        </w:pBdr>
        <w:rPr>
          <w:noProof/>
        </w:rPr>
      </w:pPr>
      <w:r>
        <w:rPr>
          <w:noProof/>
        </w:rPr>
        <w:t xml:space="preserve">ii) SO2: Facilitate the use of cost-sharing tools for faster deployment of cross-border infrastructure projects, leading to an increased use of cost-sharing tools and a reduction in project deployment time; </w:t>
      </w:r>
    </w:p>
    <w:p w14:paraId="71639B46" w14:textId="77777777" w:rsidR="00817A26" w:rsidRDefault="00817A26">
      <w:pPr>
        <w:pStyle w:val="Text1"/>
        <w:pBdr>
          <w:top w:val="single" w:sz="4" w:space="1" w:color="auto"/>
          <w:left w:val="single" w:sz="4" w:space="1" w:color="auto"/>
          <w:bottom w:val="single" w:sz="4" w:space="1" w:color="auto"/>
          <w:right w:val="single" w:sz="4" w:space="1" w:color="auto"/>
        </w:pBdr>
        <w:rPr>
          <w:noProof/>
        </w:rPr>
      </w:pPr>
      <w:r>
        <w:rPr>
          <w:noProof/>
        </w:rPr>
        <w:t>iii) SO3: Shorten and simplify permitting procedures for energy infrastructure, renewable energy and storage projects, as well as recharging stations, leading to shorter time to obtain necessary permits, making it feasible to meet the existing deadlines, and simplified permit requirements;</w:t>
      </w:r>
    </w:p>
    <w:p w14:paraId="1548C1EC" w14:textId="77777777" w:rsidR="00817A26" w:rsidRDefault="00817A26">
      <w:pPr>
        <w:pStyle w:val="Text1"/>
        <w:pBdr>
          <w:top w:val="single" w:sz="4" w:space="1" w:color="auto"/>
          <w:left w:val="single" w:sz="4" w:space="1" w:color="auto"/>
          <w:bottom w:val="single" w:sz="4" w:space="1" w:color="auto"/>
          <w:right w:val="single" w:sz="4" w:space="1" w:color="auto"/>
        </w:pBdr>
        <w:rPr>
          <w:noProof/>
        </w:rPr>
      </w:pPr>
      <w:r>
        <w:rPr>
          <w:noProof/>
        </w:rPr>
        <w:t>iv)  SO4: Enhance physical and cyber security and resilience of cross-border energy infrastructure (PCIs/PMIs) by increasing the number of protection and resilience equipment and installations on critical network elements.</w:t>
      </w:r>
    </w:p>
    <w:p w14:paraId="23442705" w14:textId="77777777" w:rsidR="00AF7A86" w:rsidRDefault="00AF7A86">
      <w:pPr>
        <w:pStyle w:val="Text1"/>
        <w:pBdr>
          <w:top w:val="single" w:sz="4" w:space="1" w:color="auto"/>
          <w:left w:val="single" w:sz="4" w:space="1" w:color="auto"/>
          <w:bottom w:val="single" w:sz="4" w:space="1" w:color="auto"/>
          <w:right w:val="single" w:sz="4" w:space="1" w:color="auto"/>
        </w:pBdr>
        <w:rPr>
          <w:noProof/>
        </w:rPr>
      </w:pPr>
    </w:p>
    <w:p w14:paraId="0899ABB5" w14:textId="77777777" w:rsidR="00AF7A86" w:rsidRDefault="00AF7A86">
      <w:pPr>
        <w:pStyle w:val="Text1"/>
        <w:pBdr>
          <w:top w:val="single" w:sz="4" w:space="1" w:color="auto"/>
          <w:left w:val="single" w:sz="4" w:space="1" w:color="auto"/>
          <w:bottom w:val="single" w:sz="4" w:space="1" w:color="auto"/>
          <w:right w:val="single" w:sz="4" w:space="1" w:color="auto"/>
        </w:pBdr>
        <w:rPr>
          <w:b/>
          <w:bCs/>
          <w:noProof/>
        </w:rPr>
      </w:pPr>
      <w:r>
        <w:rPr>
          <w:noProof/>
        </w:rPr>
        <w:t xml:space="preserve">The proposal entails a </w:t>
      </w:r>
      <w:r w:rsidRPr="00FD30C6">
        <w:rPr>
          <w:b/>
          <w:bCs/>
          <w:noProof/>
        </w:rPr>
        <w:t>new requirement</w:t>
      </w:r>
      <w:r>
        <w:rPr>
          <w:b/>
          <w:bCs/>
          <w:noProof/>
        </w:rPr>
        <w:t xml:space="preserve"> </w:t>
      </w:r>
      <w:r w:rsidRPr="00FD30C6">
        <w:rPr>
          <w:b/>
          <w:bCs/>
          <w:noProof/>
        </w:rPr>
        <w:t xml:space="preserve">for </w:t>
      </w:r>
      <w:r>
        <w:rPr>
          <w:b/>
          <w:bCs/>
          <w:noProof/>
        </w:rPr>
        <w:t xml:space="preserve">the Commission, </w:t>
      </w:r>
      <w:r>
        <w:rPr>
          <w:noProof/>
        </w:rPr>
        <w:t xml:space="preserve">which is linked to the achievement of </w:t>
      </w:r>
      <w:r w:rsidRPr="00B0209E">
        <w:rPr>
          <w:b/>
          <w:bCs/>
          <w:noProof/>
        </w:rPr>
        <w:t>SO1:</w:t>
      </w:r>
    </w:p>
    <w:p w14:paraId="0A5CFDC6" w14:textId="77777777" w:rsidR="00817A26" w:rsidRDefault="00817A26">
      <w:pPr>
        <w:pStyle w:val="Tiret1"/>
        <w:numPr>
          <w:ilvl w:val="0"/>
          <w:numId w:val="93"/>
        </w:numPr>
        <w:pBdr>
          <w:top w:val="single" w:sz="4" w:space="1" w:color="auto"/>
          <w:left w:val="single" w:sz="4" w:space="1" w:color="auto"/>
          <w:bottom w:val="single" w:sz="4" w:space="1" w:color="auto"/>
          <w:right w:val="single" w:sz="4" w:space="1" w:color="auto"/>
        </w:pBdr>
        <w:rPr>
          <w:b/>
          <w:bCs/>
          <w:noProof/>
        </w:rPr>
      </w:pPr>
      <w:r w:rsidRPr="00817A26">
        <w:rPr>
          <w:noProof/>
        </w:rPr>
        <w:t>Requirement 1 (linked to SO1): The Commission is tasked with the development of a comprehensive central scenario and sensitivity analyses, as necessary, at least every four years for the electricity, hydrogen and gas sectors to be used for the Union-wide ten year network development plans (TYNDP) (Article 11).</w:t>
      </w:r>
    </w:p>
    <w:p w14:paraId="2C803F31" w14:textId="77777777" w:rsidR="00817A26" w:rsidRPr="00817A26" w:rsidRDefault="00817A26">
      <w:pPr>
        <w:pStyle w:val="Text1"/>
        <w:pBdr>
          <w:top w:val="single" w:sz="4" w:space="1" w:color="auto"/>
          <w:left w:val="single" w:sz="4" w:space="1" w:color="auto"/>
          <w:bottom w:val="single" w:sz="4" w:space="1" w:color="auto"/>
          <w:right w:val="single" w:sz="4" w:space="1" w:color="auto"/>
        </w:pBdr>
        <w:rPr>
          <w:b/>
          <w:bCs/>
          <w:noProof/>
        </w:rPr>
      </w:pPr>
      <w:r w:rsidRPr="00817A26">
        <w:rPr>
          <w:b/>
          <w:bCs/>
          <w:noProof/>
        </w:rPr>
        <w:t>The proposal entails new requirements for ACER, which are linked to the achievement of SO1 and SO2:</w:t>
      </w:r>
    </w:p>
    <w:p w14:paraId="4F04FF5C" w14:textId="77777777" w:rsidR="00817A26" w:rsidRDefault="00817A26">
      <w:pPr>
        <w:pStyle w:val="Tiret1"/>
        <w:pBdr>
          <w:top w:val="single" w:sz="4" w:space="1" w:color="auto"/>
          <w:left w:val="single" w:sz="4" w:space="1" w:color="auto"/>
          <w:bottom w:val="single" w:sz="4" w:space="1" w:color="auto"/>
          <w:right w:val="single" w:sz="4" w:space="1" w:color="auto"/>
        </w:pBdr>
        <w:rPr>
          <w:noProof/>
        </w:rPr>
      </w:pPr>
      <w:r w:rsidRPr="00817A26">
        <w:rPr>
          <w:noProof/>
        </w:rPr>
        <w:t xml:space="preserve">Requirement 2 (linked to SO1): For the purpose of the central scenario development, ACER is tasked with supporting as well as verifying the data collection by the Commission (Article 11). In addition, ACER is required to develop and publish a binding framework methodology for the identification of infrastructure needs (to be conducted by ENTSO-E and ENNOH). </w:t>
      </w:r>
    </w:p>
    <w:p w14:paraId="0DC54DFB" w14:textId="77777777" w:rsidR="00817A26" w:rsidRPr="00817A26" w:rsidRDefault="00817A26">
      <w:pPr>
        <w:pStyle w:val="Tiret1"/>
        <w:pBdr>
          <w:top w:val="single" w:sz="4" w:space="1" w:color="auto"/>
          <w:left w:val="single" w:sz="4" w:space="1" w:color="auto"/>
          <w:bottom w:val="single" w:sz="4" w:space="1" w:color="auto"/>
          <w:right w:val="single" w:sz="4" w:space="1" w:color="auto"/>
        </w:pBdr>
        <w:rPr>
          <w:noProof/>
        </w:rPr>
      </w:pPr>
      <w:r w:rsidRPr="00817A26">
        <w:rPr>
          <w:noProof/>
        </w:rPr>
        <w:t>Requirement 3 (linked to SO2): ACER is mandated to update its Cross-Border Cost Allocation (CBCA) recommendation and establish a central repository of all CBCA decisions (Article 17).</w:t>
      </w:r>
    </w:p>
    <w:p w14:paraId="654D5CB0" w14:textId="77777777" w:rsidR="00AF7A86" w:rsidRPr="00BD0A20" w:rsidRDefault="00AF7A86" w:rsidP="00AF7A86">
      <w:pPr>
        <w:pStyle w:val="ManualHeading3"/>
        <w:rPr>
          <w:noProof/>
        </w:rPr>
      </w:pPr>
      <w:bookmarkStart w:id="62" w:name="_Toc514938019"/>
      <w:bookmarkStart w:id="63" w:name="_Toc520485032"/>
      <w:bookmarkStart w:id="64" w:name="_Toc160804574"/>
      <w:bookmarkStart w:id="65" w:name="_Toc172893684"/>
      <w:bookmarkEnd w:id="61"/>
      <w:r>
        <w:rPr>
          <w:noProof/>
        </w:rPr>
        <w:t>1.3.3.</w:t>
      </w:r>
      <w:r>
        <w:rPr>
          <w:noProof/>
        </w:rPr>
        <w:tab/>
      </w:r>
      <w:r w:rsidRPr="68E41AC8">
        <w:rPr>
          <w:noProof/>
        </w:rPr>
        <w:t>Expected result(s) and impact</w:t>
      </w:r>
      <w:bookmarkEnd w:id="62"/>
      <w:bookmarkEnd w:id="63"/>
      <w:bookmarkEnd w:id="64"/>
      <w:bookmarkEnd w:id="65"/>
    </w:p>
    <w:p w14:paraId="63E9C937" w14:textId="77777777" w:rsidR="00AF7A86" w:rsidRDefault="00AF7A86" w:rsidP="00AF7A86">
      <w:pPr>
        <w:pStyle w:val="Text1"/>
        <w:rPr>
          <w:i/>
          <w:noProof/>
          <w:sz w:val="20"/>
        </w:rPr>
      </w:pPr>
      <w:r>
        <w:rPr>
          <w:i/>
          <w:noProof/>
          <w:sz w:val="20"/>
        </w:rPr>
        <w:t>Specify the effects which the proposal/initiative should have on the beneficiaries / groups targeted.</w:t>
      </w:r>
    </w:p>
    <w:p w14:paraId="1AD937CC" w14:textId="77777777" w:rsidR="00AF7A86" w:rsidRDefault="00AF7A86">
      <w:pPr>
        <w:pStyle w:val="Text1"/>
        <w:pBdr>
          <w:top w:val="single" w:sz="4" w:space="1" w:color="auto"/>
          <w:left w:val="single" w:sz="4" w:space="1" w:color="auto"/>
          <w:bottom w:val="single" w:sz="4" w:space="1" w:color="auto"/>
          <w:right w:val="single" w:sz="4" w:space="1" w:color="auto"/>
        </w:pBdr>
        <w:rPr>
          <w:noProof/>
        </w:rPr>
      </w:pPr>
      <w:bookmarkStart w:id="66" w:name="_Toc514938023"/>
      <w:bookmarkStart w:id="67" w:name="_Toc520485033"/>
      <w:bookmarkStart w:id="68" w:name="_Toc160804575"/>
      <w:bookmarkStart w:id="69" w:name="_Toc172893685"/>
      <w:r w:rsidRPr="0095738B">
        <w:rPr>
          <w:noProof/>
        </w:rPr>
        <w:t xml:space="preserve">The additional resources will allow the Commission and ACER to carry out the tasks necessary to fulfil their mandate under EU legislation as per the requirements under this proposal. </w:t>
      </w:r>
      <w:bookmarkStart w:id="70" w:name="_Hlk210319544"/>
      <w:r w:rsidRPr="0095738B">
        <w:rPr>
          <w:noProof/>
        </w:rPr>
        <w:t xml:space="preserve">The proposal is expected to have the following effects on the beneficiaries and groups targeted: </w:t>
      </w:r>
    </w:p>
    <w:p w14:paraId="1A3E4768" w14:textId="77777777" w:rsidR="00817A26" w:rsidRDefault="00817A26">
      <w:pPr>
        <w:pStyle w:val="Tiret1"/>
        <w:pBdr>
          <w:top w:val="single" w:sz="4" w:space="1" w:color="auto"/>
          <w:left w:val="single" w:sz="4" w:space="1" w:color="auto"/>
          <w:bottom w:val="single" w:sz="4" w:space="1" w:color="auto"/>
          <w:right w:val="single" w:sz="4" w:space="1" w:color="auto"/>
        </w:pBdr>
        <w:rPr>
          <w:noProof/>
        </w:rPr>
      </w:pPr>
      <w:r w:rsidRPr="00817A26">
        <w:rPr>
          <w:b/>
          <w:bCs/>
          <w:noProof/>
        </w:rPr>
        <w:t>Requirement 1:</w:t>
      </w:r>
      <w:r>
        <w:rPr>
          <w:noProof/>
        </w:rPr>
        <w:t xml:space="preserve"> Tasking the Commission with central scenario development is expected to ensure greater transparency, scrutiny and coherence of inputs used in network planning both at European and national level, with the ultimate aim to ensure infrastructure needs are identified and addressed more effectively, leading to a reduction in the gap between planned infrastructure projects in the TYNDP and the identified cross-border infrastructure needs over time, to the benefit of all system and network operators and users by progressing faster towards an optimal grid.   </w:t>
      </w:r>
    </w:p>
    <w:p w14:paraId="62462065" w14:textId="77777777" w:rsidR="00817A26" w:rsidRDefault="00817A26">
      <w:pPr>
        <w:pStyle w:val="Tiret1"/>
        <w:pBdr>
          <w:top w:val="single" w:sz="4" w:space="1" w:color="auto"/>
          <w:left w:val="single" w:sz="4" w:space="1" w:color="auto"/>
          <w:bottom w:val="single" w:sz="4" w:space="1" w:color="auto"/>
          <w:right w:val="single" w:sz="4" w:space="1" w:color="auto"/>
        </w:pBdr>
        <w:rPr>
          <w:noProof/>
        </w:rPr>
      </w:pPr>
      <w:r w:rsidRPr="00817A26">
        <w:rPr>
          <w:b/>
          <w:bCs/>
          <w:noProof/>
        </w:rPr>
        <w:t>Requirement 2:</w:t>
      </w:r>
      <w:r>
        <w:rPr>
          <w:noProof/>
        </w:rPr>
        <w:t xml:space="preserve"> Entrusting ACER with tasks related to the central scenario development and infrastructure needs identification will ensure the process and its outcomes are robust and credible, with similar benefits as Requirement 1. </w:t>
      </w:r>
    </w:p>
    <w:p w14:paraId="3755A4B3" w14:textId="77777777" w:rsidR="00817A26" w:rsidRPr="0095738B" w:rsidRDefault="00817A26">
      <w:pPr>
        <w:pStyle w:val="Tiret1"/>
        <w:pBdr>
          <w:top w:val="single" w:sz="4" w:space="1" w:color="auto"/>
          <w:left w:val="single" w:sz="4" w:space="1" w:color="auto"/>
          <w:bottom w:val="single" w:sz="4" w:space="1" w:color="auto"/>
          <w:right w:val="single" w:sz="4" w:space="1" w:color="auto"/>
        </w:pBdr>
        <w:rPr>
          <w:noProof/>
        </w:rPr>
      </w:pPr>
      <w:r w:rsidRPr="00817A26">
        <w:rPr>
          <w:b/>
          <w:bCs/>
          <w:noProof/>
        </w:rPr>
        <w:t>Requirement 3:</w:t>
      </w:r>
      <w:r>
        <w:rPr>
          <w:noProof/>
        </w:rPr>
        <w:t xml:space="preserve"> Tasking ACER with updating its Cross-Border Cost Allocation Recommendation will create a more harmonised cost-sharing framework improving consistency across Member States and CBCA decisions and encourage greater involvement of non-hosting Member States, with the aim to facilitate the use of cost-sharing tools for faster deployment of cross-border infrastructure projects.  </w:t>
      </w:r>
    </w:p>
    <w:bookmarkEnd w:id="70"/>
    <w:p w14:paraId="6B9C30FB" w14:textId="77777777" w:rsidR="00AF7A86" w:rsidRDefault="00AF7A86" w:rsidP="00AF7A86">
      <w:pPr>
        <w:pStyle w:val="ManualHeading3"/>
        <w:rPr>
          <w:noProof/>
        </w:rPr>
      </w:pPr>
      <w:r>
        <w:rPr>
          <w:noProof/>
        </w:rPr>
        <w:t>1.3.4.</w:t>
      </w:r>
      <w:r>
        <w:rPr>
          <w:noProof/>
        </w:rPr>
        <w:tab/>
      </w:r>
      <w:r w:rsidRPr="68E41AC8">
        <w:rPr>
          <w:noProof/>
        </w:rPr>
        <w:t>Indicators of performance</w:t>
      </w:r>
      <w:bookmarkEnd w:id="66"/>
      <w:bookmarkEnd w:id="67"/>
      <w:bookmarkEnd w:id="68"/>
      <w:bookmarkEnd w:id="69"/>
    </w:p>
    <w:p w14:paraId="620FF1BC" w14:textId="77777777" w:rsidR="00AF7A86" w:rsidRDefault="00AF7A86" w:rsidP="00AF7A86">
      <w:pPr>
        <w:pStyle w:val="Text1"/>
        <w:rPr>
          <w:i/>
          <w:noProof/>
          <w:sz w:val="20"/>
        </w:rPr>
      </w:pPr>
      <w:r>
        <w:rPr>
          <w:i/>
          <w:noProof/>
          <w:sz w:val="20"/>
        </w:rPr>
        <w:t>Specify the indicators for monitoring progress and achievements.</w:t>
      </w:r>
    </w:p>
    <w:p w14:paraId="18B9B083" w14:textId="77777777" w:rsidR="00AF7A86" w:rsidRDefault="00AF7A86">
      <w:pPr>
        <w:pStyle w:val="Text1"/>
        <w:pBdr>
          <w:top w:val="single" w:sz="4" w:space="1" w:color="auto"/>
          <w:left w:val="single" w:sz="4" w:space="1" w:color="auto"/>
          <w:bottom w:val="single" w:sz="4" w:space="1" w:color="auto"/>
          <w:right w:val="single" w:sz="4" w:space="1" w:color="auto"/>
        </w:pBdr>
        <w:rPr>
          <w:noProof/>
        </w:rPr>
      </w:pPr>
      <w:bookmarkStart w:id="71" w:name="_Toc172893686"/>
      <w:r>
        <w:rPr>
          <w:noProof/>
        </w:rPr>
        <w:t xml:space="preserve">The indicators for monitoring progress and achievement of the initiative’s objectives are listed in Annex 8 of the Impact Assessment accompanying the Grids Package. They include in particular: </w:t>
      </w:r>
    </w:p>
    <w:p w14:paraId="26B544B1" w14:textId="77777777" w:rsidR="00817A26" w:rsidRDefault="00817A26">
      <w:pPr>
        <w:pStyle w:val="Tiret1"/>
        <w:pBdr>
          <w:top w:val="single" w:sz="4" w:space="1" w:color="auto"/>
          <w:left w:val="single" w:sz="4" w:space="1" w:color="auto"/>
          <w:bottom w:val="single" w:sz="4" w:space="1" w:color="auto"/>
          <w:right w:val="single" w:sz="4" w:space="1" w:color="auto"/>
        </w:pBdr>
        <w:rPr>
          <w:noProof/>
        </w:rPr>
      </w:pPr>
      <w:r>
        <w:rPr>
          <w:noProof/>
        </w:rPr>
        <w:t xml:space="preserve">the extent to which projects included in network developments and selected as PCIs/PMIs address appropriately and effectively identified infrastructure needs; </w:t>
      </w:r>
    </w:p>
    <w:p w14:paraId="13190F7F" w14:textId="77777777" w:rsidR="00817A26" w:rsidRDefault="00817A26">
      <w:pPr>
        <w:pStyle w:val="Tiret1"/>
        <w:pBdr>
          <w:top w:val="single" w:sz="4" w:space="1" w:color="auto"/>
          <w:left w:val="single" w:sz="4" w:space="1" w:color="auto"/>
          <w:bottom w:val="single" w:sz="4" w:space="1" w:color="auto"/>
          <w:right w:val="single" w:sz="4" w:space="1" w:color="auto"/>
        </w:pBdr>
        <w:rPr>
          <w:noProof/>
        </w:rPr>
      </w:pPr>
      <w:r>
        <w:rPr>
          <w:noProof/>
        </w:rPr>
        <w:t xml:space="preserve">the effective and increased use of cost-sharing tools; </w:t>
      </w:r>
    </w:p>
    <w:p w14:paraId="437442C5" w14:textId="77777777" w:rsidR="00817A26" w:rsidRDefault="00817A26">
      <w:pPr>
        <w:pStyle w:val="Tiret1"/>
        <w:pBdr>
          <w:top w:val="single" w:sz="4" w:space="1" w:color="auto"/>
          <w:left w:val="single" w:sz="4" w:space="1" w:color="auto"/>
          <w:bottom w:val="single" w:sz="4" w:space="1" w:color="auto"/>
          <w:right w:val="single" w:sz="4" w:space="1" w:color="auto"/>
        </w:pBdr>
        <w:rPr>
          <w:noProof/>
        </w:rPr>
      </w:pPr>
      <w:r>
        <w:rPr>
          <w:noProof/>
        </w:rPr>
        <w:t>the simplification of permitting procedures, shortening of permitting lead times and meeting current deadlines;</w:t>
      </w:r>
    </w:p>
    <w:p w14:paraId="5E324BEB" w14:textId="77777777" w:rsidR="00817A26" w:rsidRDefault="00817A26">
      <w:pPr>
        <w:pStyle w:val="Tiret1"/>
        <w:pBdr>
          <w:top w:val="single" w:sz="4" w:space="1" w:color="auto"/>
          <w:left w:val="single" w:sz="4" w:space="1" w:color="auto"/>
          <w:bottom w:val="single" w:sz="4" w:space="1" w:color="auto"/>
          <w:right w:val="single" w:sz="4" w:space="1" w:color="auto"/>
        </w:pBdr>
        <w:rPr>
          <w:noProof/>
        </w:rPr>
      </w:pPr>
      <w:r>
        <w:rPr>
          <w:noProof/>
        </w:rPr>
        <w:t>the enhanced physical and cyber security and resilience of energy infrastructure.</w:t>
      </w:r>
    </w:p>
    <w:p w14:paraId="4A9753BB" w14:textId="77777777" w:rsidR="00AF7A86" w:rsidRDefault="00AF7A86">
      <w:pPr>
        <w:pStyle w:val="Text1"/>
        <w:pBdr>
          <w:top w:val="single" w:sz="4" w:space="1" w:color="auto"/>
          <w:left w:val="single" w:sz="4" w:space="1" w:color="auto"/>
          <w:bottom w:val="single" w:sz="4" w:space="1" w:color="auto"/>
          <w:right w:val="single" w:sz="4" w:space="1" w:color="auto"/>
        </w:pBdr>
        <w:rPr>
          <w:rStyle w:val="Marker110000"/>
          <w:noProof/>
          <w:color w:val="auto"/>
        </w:rPr>
      </w:pPr>
      <w:r w:rsidRPr="002D11D3">
        <w:rPr>
          <w:rStyle w:val="Marker110000"/>
          <w:noProof/>
          <w:color w:val="auto"/>
        </w:rPr>
        <w:t xml:space="preserve">As regards the specific objectives which Requirements 1-3 are linked with, the following indicators apply: </w:t>
      </w:r>
    </w:p>
    <w:p w14:paraId="2A741336" w14:textId="77777777" w:rsidR="00817A26" w:rsidRDefault="00817A26">
      <w:pPr>
        <w:pStyle w:val="Tiret1"/>
        <w:pBdr>
          <w:top w:val="single" w:sz="4" w:space="1" w:color="auto"/>
          <w:left w:val="single" w:sz="4" w:space="1" w:color="auto"/>
          <w:bottom w:val="single" w:sz="4" w:space="1" w:color="auto"/>
          <w:right w:val="single" w:sz="4" w:space="1" w:color="auto"/>
        </w:pBdr>
        <w:rPr>
          <w:rStyle w:val="Marker110000"/>
          <w:noProof/>
          <w:color w:val="auto"/>
        </w:rPr>
      </w:pPr>
      <w:r w:rsidRPr="00817A26">
        <w:rPr>
          <w:rStyle w:val="Marker110000"/>
          <w:b/>
          <w:bCs/>
          <w:noProof/>
          <w:color w:val="auto"/>
        </w:rPr>
        <w:t>Indicators for Requirement 1 &amp; 2 (linked to SO1):</w:t>
      </w:r>
      <w:r w:rsidRPr="00817A26">
        <w:rPr>
          <w:rStyle w:val="Marker110000"/>
          <w:noProof/>
          <w:color w:val="auto"/>
        </w:rPr>
        <w:t xml:space="preserve"> The number and total capacity of new cross-border interconnectors approved/implemented; the extent to which identified infrastructure needs are addressed by infrastructure projects (capacity) included in the TYNDP (planned, under construction or commissioned) or other non-wire solutions (presence of the gap between needs and projects, and decrease of the gap); the uptake of non-wire solutions in terms of number of projects and respective increase in grid capacity.</w:t>
      </w:r>
    </w:p>
    <w:p w14:paraId="4211D622" w14:textId="77777777" w:rsidR="00817A26" w:rsidRPr="00817A26" w:rsidRDefault="00817A26">
      <w:pPr>
        <w:pStyle w:val="Tiret1"/>
        <w:pBdr>
          <w:top w:val="single" w:sz="4" w:space="1" w:color="auto"/>
          <w:left w:val="single" w:sz="4" w:space="1" w:color="auto"/>
          <w:bottom w:val="single" w:sz="4" w:space="1" w:color="auto"/>
          <w:right w:val="single" w:sz="4" w:space="1" w:color="auto"/>
        </w:pBdr>
        <w:rPr>
          <w:rStyle w:val="Marker110000"/>
          <w:noProof/>
          <w:color w:val="auto"/>
        </w:rPr>
      </w:pPr>
      <w:r w:rsidRPr="00817A26">
        <w:rPr>
          <w:rStyle w:val="Marker110000"/>
          <w:b/>
          <w:bCs/>
          <w:noProof/>
          <w:color w:val="auto"/>
        </w:rPr>
        <w:t>Indicators for Requirement 3 (linked to SO2):</w:t>
      </w:r>
      <w:r w:rsidRPr="00817A26">
        <w:rPr>
          <w:rStyle w:val="Marker110000"/>
          <w:noProof/>
          <w:color w:val="auto"/>
        </w:rPr>
        <w:t xml:space="preserve"> The number of binding cost-sharing agreements enabling the implementation cross-border projects; the average duration for reaching a cost-allocation agreement; the number of non-hosting countries contributing to cost-sharing agreements; the number of projects being as part of bundles being submitted for PCI/PMI status</w:t>
      </w:r>
    </w:p>
    <w:p w14:paraId="4150B62F" w14:textId="77777777" w:rsidR="00AF7A86" w:rsidRDefault="00AF7A86" w:rsidP="00AF7A86">
      <w:pPr>
        <w:pStyle w:val="ManualHeading2"/>
        <w:rPr>
          <w:noProof/>
        </w:rPr>
      </w:pPr>
      <w:r>
        <w:rPr>
          <w:noProof/>
        </w:rPr>
        <w:t>1.4.</w:t>
      </w:r>
      <w:r>
        <w:rPr>
          <w:noProof/>
        </w:rPr>
        <w:tab/>
      </w:r>
      <w:r w:rsidRPr="68E41AC8">
        <w:rPr>
          <w:noProof/>
        </w:rPr>
        <w:t>The proposal/initiative relates to:</w:t>
      </w:r>
      <w:bookmarkEnd w:id="71"/>
      <w:r w:rsidRPr="68E41AC8">
        <w:rPr>
          <w:noProof/>
        </w:rPr>
        <w:t xml:space="preserve"> </w:t>
      </w:r>
    </w:p>
    <w:p w14:paraId="506A0F20" w14:textId="77777777" w:rsidR="00AF7A86" w:rsidRPr="001617BA" w:rsidRDefault="00AF7A86" w:rsidP="00AF7A86">
      <w:pPr>
        <w:pStyle w:val="Text1"/>
        <w:rPr>
          <w:noProof/>
          <w:sz w:val="22"/>
        </w:rPr>
      </w:pPr>
      <w:r w:rsidRPr="68E41AC8">
        <w:rPr>
          <w:rFonts w:ascii="Wingdings" w:eastAsia="Wingdings" w:hAnsi="Wingdings" w:cs="Wingdings"/>
          <w:noProof/>
          <w:sz w:val="22"/>
        </w:rPr>
        <w:t></w:t>
      </w:r>
      <w:r w:rsidRPr="68E41AC8">
        <w:rPr>
          <w:b/>
          <w:bCs/>
          <w:i/>
          <w:iCs/>
          <w:noProof/>
          <w:sz w:val="22"/>
        </w:rPr>
        <w:t xml:space="preserve"> </w:t>
      </w:r>
      <w:r w:rsidRPr="001617BA">
        <w:rPr>
          <w:noProof/>
        </w:rPr>
        <w:t>a new action</w:t>
      </w:r>
      <w:r w:rsidRPr="001617BA">
        <w:rPr>
          <w:noProof/>
          <w:sz w:val="22"/>
        </w:rPr>
        <w:t xml:space="preserve"> </w:t>
      </w:r>
    </w:p>
    <w:p w14:paraId="0FD3279A" w14:textId="77777777" w:rsidR="00AF7A86" w:rsidRPr="001617BA" w:rsidRDefault="00AF7A86" w:rsidP="00AF7A86">
      <w:pPr>
        <w:pStyle w:val="Text1"/>
        <w:rPr>
          <w:noProof/>
          <w:sz w:val="22"/>
        </w:rPr>
      </w:pPr>
      <w:r w:rsidRPr="001617BA">
        <w:rPr>
          <w:rFonts w:ascii="Wingdings" w:eastAsia="Wingdings" w:hAnsi="Wingdings" w:cs="Wingdings"/>
          <w:noProof/>
          <w:sz w:val="22"/>
        </w:rPr>
        <w:t></w:t>
      </w:r>
      <w:r w:rsidRPr="001617BA">
        <w:rPr>
          <w:i/>
          <w:iCs/>
          <w:noProof/>
          <w:sz w:val="22"/>
        </w:rPr>
        <w:t xml:space="preserve"> </w:t>
      </w:r>
      <w:r w:rsidRPr="001617BA">
        <w:rPr>
          <w:noProof/>
        </w:rPr>
        <w:t>a new action following a pilot project / preparatory action</w:t>
      </w:r>
      <w:r w:rsidRPr="001617BA">
        <w:rPr>
          <w:rStyle w:val="FootnoteReference"/>
          <w:noProof/>
        </w:rPr>
        <w:footnoteReference w:id="71"/>
      </w:r>
      <w:r w:rsidRPr="001617BA">
        <w:rPr>
          <w:noProof/>
          <w:sz w:val="22"/>
        </w:rPr>
        <w:t xml:space="preserve"> </w:t>
      </w:r>
    </w:p>
    <w:p w14:paraId="32A304C8" w14:textId="77777777" w:rsidR="00AF7A86" w:rsidRPr="001617BA" w:rsidRDefault="00AF7A86" w:rsidP="00AF7A86">
      <w:pPr>
        <w:pStyle w:val="Text1"/>
        <w:rPr>
          <w:noProof/>
          <w:sz w:val="22"/>
        </w:rPr>
      </w:pPr>
      <w:r>
        <w:rPr>
          <w:noProof/>
        </w:rPr>
        <w:t>X t</w:t>
      </w:r>
      <w:r w:rsidRPr="001617BA">
        <w:rPr>
          <w:noProof/>
        </w:rPr>
        <w:t>he extension of an existing action</w:t>
      </w:r>
      <w:r w:rsidRPr="001617BA">
        <w:rPr>
          <w:noProof/>
          <w:sz w:val="22"/>
        </w:rPr>
        <w:t xml:space="preserve"> </w:t>
      </w:r>
    </w:p>
    <w:p w14:paraId="32FB2B39" w14:textId="77777777" w:rsidR="00AF7A86" w:rsidRPr="001617BA" w:rsidRDefault="00AF7A86" w:rsidP="00AF7A86">
      <w:pPr>
        <w:pStyle w:val="Text1"/>
        <w:rPr>
          <w:noProof/>
        </w:rPr>
      </w:pPr>
      <w:r w:rsidRPr="001617BA">
        <w:rPr>
          <w:rFonts w:ascii="Wingdings" w:eastAsia="Wingdings" w:hAnsi="Wingdings" w:cs="Wingdings"/>
          <w:noProof/>
          <w:sz w:val="22"/>
        </w:rPr>
        <w:t></w:t>
      </w:r>
      <w:r w:rsidRPr="001617BA">
        <w:rPr>
          <w:i/>
          <w:iCs/>
          <w:noProof/>
          <w:sz w:val="22"/>
        </w:rPr>
        <w:t xml:space="preserve"> </w:t>
      </w:r>
      <w:r w:rsidRPr="001617BA">
        <w:rPr>
          <w:noProof/>
        </w:rPr>
        <w:t>a merger or redirection of one or more actions towards another/a new action</w:t>
      </w:r>
    </w:p>
    <w:p w14:paraId="68B5F6E2" w14:textId="77777777" w:rsidR="00AF7A86" w:rsidRDefault="00AF7A86" w:rsidP="00AF7A86">
      <w:pPr>
        <w:pStyle w:val="ManualHeading2"/>
        <w:rPr>
          <w:bCs/>
          <w:noProof/>
          <w:szCs w:val="24"/>
        </w:rPr>
      </w:pPr>
      <w:bookmarkStart w:id="72" w:name="_Toc514938025"/>
      <w:bookmarkStart w:id="73" w:name="_Toc520485034"/>
      <w:bookmarkStart w:id="74" w:name="_Toc160804576"/>
      <w:bookmarkStart w:id="75" w:name="_Toc172893687"/>
      <w:r w:rsidRPr="0021790A">
        <w:rPr>
          <w:noProof/>
        </w:rPr>
        <w:t>1.5.</w:t>
      </w:r>
      <w:r w:rsidRPr="0021790A">
        <w:rPr>
          <w:noProof/>
        </w:rPr>
        <w:tab/>
      </w:r>
      <w:r>
        <w:rPr>
          <w:noProof/>
        </w:rPr>
        <w:t>Grounds for the proposal/initiative</w:t>
      </w:r>
      <w:bookmarkEnd w:id="72"/>
      <w:bookmarkEnd w:id="73"/>
      <w:bookmarkEnd w:id="74"/>
      <w:bookmarkEnd w:id="75"/>
      <w:r>
        <w:rPr>
          <w:noProof/>
        </w:rPr>
        <w:t xml:space="preserve"> </w:t>
      </w:r>
    </w:p>
    <w:p w14:paraId="27CD1964" w14:textId="77777777" w:rsidR="00AF7A86" w:rsidRDefault="00AF7A86" w:rsidP="00AF7A86">
      <w:pPr>
        <w:pStyle w:val="ManualHeading3"/>
        <w:rPr>
          <w:noProof/>
        </w:rPr>
      </w:pPr>
      <w:bookmarkStart w:id="76" w:name="_Toc514938026"/>
      <w:bookmarkStart w:id="77" w:name="_Toc520485035"/>
      <w:bookmarkStart w:id="78" w:name="_Toc160804577"/>
      <w:bookmarkStart w:id="79" w:name="_Toc172893688"/>
      <w:r w:rsidRPr="0021790A">
        <w:rPr>
          <w:noProof/>
        </w:rPr>
        <w:t>1.5.1.</w:t>
      </w:r>
      <w:r w:rsidRPr="0021790A">
        <w:rPr>
          <w:noProof/>
        </w:rPr>
        <w:tab/>
      </w:r>
      <w:r>
        <w:rPr>
          <w:noProof/>
        </w:rPr>
        <w:t>Requirement(s) to be met in the short or long term including a detailed timeline for roll-out of the implementation of the initiative</w:t>
      </w:r>
      <w:bookmarkEnd w:id="76"/>
      <w:bookmarkEnd w:id="77"/>
      <w:bookmarkEnd w:id="78"/>
      <w:bookmarkEnd w:id="79"/>
    </w:p>
    <w:p w14:paraId="0253CA47" w14:textId="77777777" w:rsidR="00AF7A86" w:rsidRPr="005A70B3" w:rsidRDefault="00AF7A86">
      <w:pPr>
        <w:pStyle w:val="Text1"/>
        <w:pBdr>
          <w:top w:val="single" w:sz="4" w:space="1" w:color="auto"/>
          <w:left w:val="single" w:sz="4" w:space="1" w:color="auto"/>
          <w:bottom w:val="single" w:sz="4" w:space="1" w:color="auto"/>
          <w:right w:val="single" w:sz="4" w:space="1" w:color="auto"/>
        </w:pBdr>
        <w:rPr>
          <w:noProof/>
        </w:rPr>
      </w:pPr>
      <w:bookmarkStart w:id="80" w:name="_Toc514938029"/>
      <w:bookmarkStart w:id="81" w:name="_Toc520485036"/>
      <w:bookmarkStart w:id="82" w:name="_Toc160804578"/>
      <w:bookmarkStart w:id="83" w:name="_Toc172893689"/>
      <w:r w:rsidRPr="005A70B3">
        <w:rPr>
          <w:b/>
          <w:bCs/>
          <w:noProof/>
        </w:rPr>
        <w:t>Requirement 1</w:t>
      </w:r>
      <w:r>
        <w:rPr>
          <w:b/>
          <w:bCs/>
          <w:noProof/>
        </w:rPr>
        <w:t>:</w:t>
      </w:r>
      <w:r w:rsidRPr="005A70B3">
        <w:rPr>
          <w:noProof/>
        </w:rPr>
        <w:t xml:space="preserve"> </w:t>
      </w:r>
    </w:p>
    <w:p w14:paraId="6383BB11" w14:textId="77777777" w:rsidR="00AF7A86" w:rsidRDefault="00AF7A86">
      <w:pPr>
        <w:pStyle w:val="Text1"/>
        <w:pBdr>
          <w:top w:val="single" w:sz="4" w:space="1" w:color="auto"/>
          <w:left w:val="single" w:sz="4" w:space="1" w:color="auto"/>
          <w:bottom w:val="single" w:sz="4" w:space="1" w:color="auto"/>
          <w:right w:val="single" w:sz="4" w:space="1" w:color="auto"/>
        </w:pBdr>
        <w:rPr>
          <w:noProof/>
        </w:rPr>
      </w:pPr>
      <w:r>
        <w:rPr>
          <w:noProof/>
        </w:rPr>
        <w:t xml:space="preserve">A new provision is introduced requiring the Commission to develop a central scenario </w:t>
      </w:r>
      <w:r w:rsidRPr="00CB5B3B">
        <w:rPr>
          <w:noProof/>
          <w:color w:val="000000" w:themeColor="text1"/>
        </w:rPr>
        <w:t xml:space="preserve">to be used for the Union-wide </w:t>
      </w:r>
      <w:r w:rsidRPr="00402942">
        <w:rPr>
          <w:noProof/>
          <w:color w:val="000000" w:themeColor="text1"/>
        </w:rPr>
        <w:t xml:space="preserve">TYNDP </w:t>
      </w:r>
      <w:r w:rsidRPr="00D15250">
        <w:rPr>
          <w:noProof/>
        </w:rPr>
        <w:t>after entry into force of the Regulation and at least</w:t>
      </w:r>
      <w:r>
        <w:rPr>
          <w:noProof/>
        </w:rPr>
        <w:t xml:space="preserve"> every four years thereafter (Article 11). The Commission must also develop a methodology for the collection of data from the ENTSO-E, ENNOH and ENTSO-G and consult the relevant actors on the data collected. The Commission must also consult the draft central scenario with the TEN-E Group and adopt and publish the final central scenario. The Commission may also develop sensitivity analyses to the central scenario if necessary based on market of policy developments. The Commission will have to follow up on the identified needs in the relevant regional fora. Within the Commission, these tasks would be attributed to DG Energy and the JRC.</w:t>
      </w:r>
    </w:p>
    <w:p w14:paraId="4FAC5AA3" w14:textId="77777777" w:rsidR="00AF7A86" w:rsidRDefault="00AF7A86">
      <w:pPr>
        <w:pStyle w:val="Text1"/>
        <w:pBdr>
          <w:top w:val="single" w:sz="4" w:space="1" w:color="auto"/>
          <w:left w:val="single" w:sz="4" w:space="1" w:color="auto"/>
          <w:bottom w:val="single" w:sz="4" w:space="1" w:color="auto"/>
          <w:right w:val="single" w:sz="4" w:space="1" w:color="auto"/>
        </w:pBdr>
        <w:rPr>
          <w:noProof/>
        </w:rPr>
      </w:pPr>
      <w:r>
        <w:rPr>
          <w:b/>
          <w:bCs/>
          <w:noProof/>
        </w:rPr>
        <w:t xml:space="preserve">As regards DG Energy, </w:t>
      </w:r>
      <w:r>
        <w:rPr>
          <w:noProof/>
        </w:rPr>
        <w:t xml:space="preserve">the new requirement related to the central scenario development, would necessitate additional resources to manage the scenario development process which implies a large number of interactions with stakeholders, Member States, supporting services and partners etc. On the basis of the impact assessment accompanying this proposal, the execution of these tasks will result in an additional workload for DG Energy totalling 6 FTEs. These additional resources would cover the following needs:   </w:t>
      </w:r>
    </w:p>
    <w:p w14:paraId="221DF96E" w14:textId="77777777" w:rsidR="00734702" w:rsidRDefault="00AF7A86">
      <w:pPr>
        <w:pStyle w:val="Text1"/>
        <w:pBdr>
          <w:top w:val="single" w:sz="4" w:space="1" w:color="auto"/>
          <w:left w:val="single" w:sz="4" w:space="1" w:color="auto"/>
          <w:bottom w:val="single" w:sz="4" w:space="1" w:color="auto"/>
          <w:right w:val="single" w:sz="4" w:space="1" w:color="auto"/>
        </w:pBdr>
        <w:ind w:firstLine="360"/>
        <w:rPr>
          <w:i/>
          <w:iCs/>
          <w:noProof/>
        </w:rPr>
      </w:pPr>
      <w:r w:rsidRPr="00B3625A">
        <w:rPr>
          <w:i/>
          <w:iCs/>
          <w:noProof/>
        </w:rPr>
        <w:t xml:space="preserve">Process steering: </w:t>
      </w:r>
    </w:p>
    <w:p w14:paraId="72F6BF1C" w14:textId="77777777" w:rsidR="00734702" w:rsidRPr="00734702" w:rsidRDefault="00734702">
      <w:pPr>
        <w:pStyle w:val="Tiret1"/>
        <w:pBdr>
          <w:top w:val="single" w:sz="4" w:space="1" w:color="auto"/>
          <w:left w:val="single" w:sz="4" w:space="1" w:color="auto"/>
          <w:bottom w:val="single" w:sz="4" w:space="1" w:color="auto"/>
          <w:right w:val="single" w:sz="4" w:space="1" w:color="auto"/>
        </w:pBdr>
        <w:rPr>
          <w:noProof/>
        </w:rPr>
      </w:pPr>
      <w:r w:rsidRPr="00734702">
        <w:rPr>
          <w:noProof/>
        </w:rPr>
        <w:t xml:space="preserve">Coordinate the overall process between ENTSO/TSOs, the Commission and ACER as required by the TEN-E legislation; Consult with stakeholders and Member States during the different phases of the process (including hrough workshopes and meeetings) and appropriate follow-up (as described in Articles 11 to 13). </w:t>
      </w:r>
    </w:p>
    <w:p w14:paraId="7F0E8051" w14:textId="77777777" w:rsidR="00734702" w:rsidRPr="00734702" w:rsidRDefault="00734702">
      <w:pPr>
        <w:pStyle w:val="Tiret1"/>
        <w:pBdr>
          <w:top w:val="single" w:sz="4" w:space="1" w:color="auto"/>
          <w:left w:val="single" w:sz="4" w:space="1" w:color="auto"/>
          <w:bottom w:val="single" w:sz="4" w:space="1" w:color="auto"/>
          <w:right w:val="single" w:sz="4" w:space="1" w:color="auto"/>
        </w:pBdr>
        <w:rPr>
          <w:noProof/>
        </w:rPr>
      </w:pPr>
      <w:r w:rsidRPr="00734702">
        <w:rPr>
          <w:noProof/>
        </w:rPr>
        <w:t xml:space="preserve">Ensure the compatibility of grid scenarios within the overall policy architecture; Align the scenario design with ongoing policy scenario (e.g. related to 2040 targets, RED, EE, ETS, etc); Ensure alignment with NECPs and ERAA; Manage the assessment process of the draft and final infrastructure needs identification report (carried out by the ENTSOs). </w:t>
      </w:r>
    </w:p>
    <w:p w14:paraId="6A5D9A09" w14:textId="77777777" w:rsidR="00734702" w:rsidRDefault="00734702">
      <w:pPr>
        <w:pStyle w:val="Tiret1"/>
        <w:pBdr>
          <w:top w:val="single" w:sz="4" w:space="1" w:color="auto"/>
          <w:left w:val="single" w:sz="4" w:space="1" w:color="auto"/>
          <w:bottom w:val="single" w:sz="4" w:space="1" w:color="auto"/>
          <w:right w:val="single" w:sz="4" w:space="1" w:color="auto"/>
        </w:pBdr>
        <w:rPr>
          <w:noProof/>
        </w:rPr>
      </w:pPr>
      <w:r w:rsidRPr="00734702">
        <w:rPr>
          <w:noProof/>
        </w:rPr>
        <w:t>Coordinate the needs matching process (following the adoption of the infrastructure needs assessment) with ENTSO-E, TSOs, Member States, national regulatory authorities and relevant stakeholders and steer the process with the relevant regional groups. Closely follow the energy system wide cost-benefit analysis with ENTSOs and ensure propoer implementation including the inclusions of relevant stakeholders.</w:t>
      </w:r>
    </w:p>
    <w:p w14:paraId="23EB39CA" w14:textId="77777777" w:rsidR="00AF7A86" w:rsidRDefault="00AF7A86">
      <w:pPr>
        <w:pStyle w:val="Tiret1"/>
        <w:pBdr>
          <w:top w:val="single" w:sz="4" w:space="1" w:color="auto"/>
          <w:left w:val="single" w:sz="4" w:space="1" w:color="auto"/>
          <w:bottom w:val="single" w:sz="4" w:space="1" w:color="auto"/>
          <w:right w:val="single" w:sz="4" w:space="1" w:color="auto"/>
        </w:pBdr>
        <w:rPr>
          <w:noProof/>
        </w:rPr>
      </w:pPr>
      <w:r>
        <w:rPr>
          <w:noProof/>
        </w:rPr>
        <w:t xml:space="preserve">Prepare and draft legal acts and manage the adoption process. </w:t>
      </w:r>
    </w:p>
    <w:p w14:paraId="1214D127" w14:textId="77777777" w:rsidR="00734702" w:rsidRDefault="00AF7A86">
      <w:pPr>
        <w:pStyle w:val="Text1"/>
        <w:pBdr>
          <w:top w:val="single" w:sz="4" w:space="1" w:color="auto"/>
          <w:left w:val="single" w:sz="4" w:space="1" w:color="auto"/>
          <w:bottom w:val="single" w:sz="4" w:space="1" w:color="auto"/>
          <w:right w:val="single" w:sz="4" w:space="1" w:color="auto"/>
        </w:pBdr>
        <w:rPr>
          <w:i/>
          <w:iCs/>
          <w:noProof/>
        </w:rPr>
      </w:pPr>
      <w:r>
        <w:rPr>
          <w:i/>
          <w:iCs/>
          <w:noProof/>
        </w:rPr>
        <w:t xml:space="preserve">Scenario development and coordination: </w:t>
      </w:r>
    </w:p>
    <w:p w14:paraId="43A885AE" w14:textId="77777777" w:rsidR="00734702" w:rsidRPr="00734702" w:rsidRDefault="00734702">
      <w:pPr>
        <w:pStyle w:val="Tiret1"/>
        <w:pBdr>
          <w:top w:val="single" w:sz="4" w:space="1" w:color="auto"/>
          <w:left w:val="single" w:sz="4" w:space="1" w:color="auto"/>
          <w:bottom w:val="single" w:sz="4" w:space="1" w:color="auto"/>
          <w:right w:val="single" w:sz="4" w:space="1" w:color="auto"/>
        </w:pBdr>
        <w:rPr>
          <w:noProof/>
        </w:rPr>
      </w:pPr>
      <w:r w:rsidRPr="00734702">
        <w:rPr>
          <w:noProof/>
        </w:rPr>
        <w:t>Ensure data collection with Member States, ENTSO-E, ENTSO-G, ENNOH, NRAs, and other stakeholders. Maintain repositories and ensure data quality process.</w:t>
      </w:r>
    </w:p>
    <w:p w14:paraId="331D4D1D" w14:textId="77777777" w:rsidR="00734702" w:rsidRPr="00734702" w:rsidRDefault="00734702">
      <w:pPr>
        <w:pStyle w:val="Tiret1"/>
        <w:pBdr>
          <w:top w:val="single" w:sz="4" w:space="1" w:color="auto"/>
          <w:left w:val="single" w:sz="4" w:space="1" w:color="auto"/>
          <w:bottom w:val="single" w:sz="4" w:space="1" w:color="auto"/>
          <w:right w:val="single" w:sz="4" w:space="1" w:color="auto"/>
        </w:pBdr>
        <w:rPr>
          <w:noProof/>
        </w:rPr>
      </w:pPr>
      <w:r w:rsidRPr="00734702">
        <w:rPr>
          <w:noProof/>
        </w:rPr>
        <w:t>Coordination of the assessment work. This will include all steps of the modelling process, i.e. ensuring data availability, setting critical assumptions, reviewing and quality controlling draft modelling results, following up on work plan and planning the interaction of modellers/analysts with relevant stakeholders.</w:t>
      </w:r>
    </w:p>
    <w:p w14:paraId="06241067" w14:textId="77777777" w:rsidR="00734702" w:rsidRPr="00734702" w:rsidRDefault="00734702">
      <w:pPr>
        <w:pStyle w:val="Tiret1"/>
        <w:pBdr>
          <w:top w:val="single" w:sz="4" w:space="1" w:color="auto"/>
          <w:left w:val="single" w:sz="4" w:space="1" w:color="auto"/>
          <w:bottom w:val="single" w:sz="4" w:space="1" w:color="auto"/>
          <w:right w:val="single" w:sz="4" w:space="1" w:color="auto"/>
        </w:pBdr>
        <w:rPr>
          <w:noProof/>
        </w:rPr>
      </w:pPr>
      <w:r w:rsidRPr="00734702">
        <w:rPr>
          <w:noProof/>
        </w:rPr>
        <w:t>Document the different steps of the modelling exercise and disseminate the reports and data sets. The documentation will include methodology, data, key assumptions, results in different formats: reports, data files, online resources.</w:t>
      </w:r>
    </w:p>
    <w:p w14:paraId="3096021B" w14:textId="77777777" w:rsidR="00AF7A86" w:rsidRDefault="00AF7A86">
      <w:pPr>
        <w:pStyle w:val="Text1"/>
        <w:pBdr>
          <w:top w:val="single" w:sz="4" w:space="1" w:color="auto"/>
          <w:left w:val="single" w:sz="4" w:space="1" w:color="auto"/>
          <w:bottom w:val="single" w:sz="4" w:space="1" w:color="auto"/>
          <w:right w:val="single" w:sz="4" w:space="1" w:color="auto"/>
        </w:pBdr>
        <w:rPr>
          <w:noProof/>
        </w:rPr>
      </w:pPr>
      <w:r w:rsidRPr="00C802ED">
        <w:rPr>
          <w:b/>
          <w:bCs/>
          <w:noProof/>
        </w:rPr>
        <w:t>As regards the JRC</w:t>
      </w:r>
      <w:r>
        <w:rPr>
          <w:noProof/>
        </w:rPr>
        <w:t xml:space="preserve">, they would be tasked with </w:t>
      </w:r>
      <w:r w:rsidRPr="00C37C9B">
        <w:rPr>
          <w:noProof/>
        </w:rPr>
        <w:t>supporting</w:t>
      </w:r>
      <w:r>
        <w:rPr>
          <w:noProof/>
        </w:rPr>
        <w:t xml:space="preserve"> DG Energy in the central scenario development as well as executing the modelling. Data collection from Member States and TSOs for electricity, gas and hydrogen modelling will be the responsibility of DG ENER with support from the JRC. On the basis of the impact assessment this is expected to result in new workload for JRC totalling 12 FTEs. </w:t>
      </w:r>
    </w:p>
    <w:p w14:paraId="05DB929D" w14:textId="77777777" w:rsidR="00734702" w:rsidRDefault="00734702">
      <w:pPr>
        <w:pStyle w:val="Tiret1"/>
        <w:pBdr>
          <w:top w:val="single" w:sz="4" w:space="1" w:color="auto"/>
          <w:left w:val="single" w:sz="4" w:space="1" w:color="auto"/>
          <w:bottom w:val="single" w:sz="4" w:space="1" w:color="auto"/>
          <w:right w:val="single" w:sz="4" w:space="1" w:color="auto"/>
        </w:pBdr>
        <w:rPr>
          <w:noProof/>
        </w:rPr>
      </w:pPr>
      <w:r>
        <w:rPr>
          <w:noProof/>
        </w:rPr>
        <w:t xml:space="preserve">Working with DG Energy and providing technical and policy expertise in developing the methodology for the central scenario modelling as well as supporting DG Energy with the necessary data collection from the ENTSO-E, ENNOH and ENTSO-G. </w:t>
      </w:r>
    </w:p>
    <w:p w14:paraId="53944B7A" w14:textId="77777777" w:rsidR="00734702" w:rsidRDefault="00734702">
      <w:pPr>
        <w:pStyle w:val="Tiret1"/>
        <w:pBdr>
          <w:top w:val="single" w:sz="4" w:space="1" w:color="auto"/>
          <w:left w:val="single" w:sz="4" w:space="1" w:color="auto"/>
          <w:bottom w:val="single" w:sz="4" w:space="1" w:color="auto"/>
          <w:right w:val="single" w:sz="4" w:space="1" w:color="auto"/>
        </w:pBdr>
        <w:rPr>
          <w:noProof/>
        </w:rPr>
      </w:pPr>
      <w:r>
        <w:rPr>
          <w:noProof/>
        </w:rPr>
        <w:t>Energy system modelling: Construct scenarios and sensitivities; Data management required for the energy system modelling;</w:t>
      </w:r>
    </w:p>
    <w:p w14:paraId="7B207B3B" w14:textId="77777777" w:rsidR="00734702" w:rsidRDefault="00734702">
      <w:pPr>
        <w:pStyle w:val="Tiret1"/>
        <w:pBdr>
          <w:top w:val="single" w:sz="4" w:space="1" w:color="auto"/>
          <w:left w:val="single" w:sz="4" w:space="1" w:color="auto"/>
          <w:bottom w:val="single" w:sz="4" w:space="1" w:color="auto"/>
          <w:right w:val="single" w:sz="4" w:space="1" w:color="auto"/>
        </w:pBdr>
        <w:rPr>
          <w:noProof/>
        </w:rPr>
      </w:pPr>
      <w:r>
        <w:rPr>
          <w:noProof/>
        </w:rPr>
        <w:t>Electricity modelling: Electricity dispatch modelling of the scenarios; Power flow calculations; Data management required for the electricity modelling</w:t>
      </w:r>
    </w:p>
    <w:p w14:paraId="28248690" w14:textId="77777777" w:rsidR="00734702" w:rsidRDefault="00734702">
      <w:pPr>
        <w:pStyle w:val="Tiret1"/>
        <w:pBdr>
          <w:top w:val="single" w:sz="4" w:space="1" w:color="auto"/>
          <w:left w:val="single" w:sz="4" w:space="1" w:color="auto"/>
          <w:bottom w:val="single" w:sz="4" w:space="1" w:color="auto"/>
          <w:right w:val="single" w:sz="4" w:space="1" w:color="auto"/>
        </w:pBdr>
        <w:rPr>
          <w:noProof/>
        </w:rPr>
      </w:pPr>
      <w:r>
        <w:rPr>
          <w:noProof/>
        </w:rPr>
        <w:t>Gas and hydrogen modelling: Updating the long-term expectations for gas and hydrogen; Gas market and network modelling of the scenarios; Modelling of gas/hydrogen flows; Data modelling included for gas/hydrogen modelling; Data management required for gas and hydrogen modelling.</w:t>
      </w:r>
    </w:p>
    <w:p w14:paraId="1C4B0D2B" w14:textId="77777777" w:rsidR="00AF7A86" w:rsidRPr="00B63DE0" w:rsidRDefault="00AF7A86">
      <w:pPr>
        <w:pStyle w:val="Text1"/>
        <w:pBdr>
          <w:top w:val="single" w:sz="4" w:space="1" w:color="auto"/>
          <w:left w:val="single" w:sz="4" w:space="1" w:color="auto"/>
          <w:bottom w:val="single" w:sz="4" w:space="1" w:color="auto"/>
          <w:right w:val="single" w:sz="4" w:space="1" w:color="auto"/>
        </w:pBdr>
        <w:rPr>
          <w:b/>
          <w:bCs/>
          <w:noProof/>
        </w:rPr>
      </w:pPr>
      <w:r>
        <w:rPr>
          <w:noProof/>
        </w:rPr>
        <w:t>Overall, it is estimated that the proposal will result in new workload for the Commission totalling</w:t>
      </w:r>
      <w:r>
        <w:rPr>
          <w:b/>
          <w:bCs/>
          <w:noProof/>
        </w:rPr>
        <w:t xml:space="preserve"> 18 </w:t>
      </w:r>
      <w:r w:rsidRPr="00C2508B">
        <w:rPr>
          <w:b/>
          <w:bCs/>
          <w:noProof/>
        </w:rPr>
        <w:t>FTEs</w:t>
      </w:r>
      <w:r>
        <w:rPr>
          <w:b/>
          <w:bCs/>
          <w:noProof/>
        </w:rPr>
        <w:t xml:space="preserve"> </w:t>
      </w:r>
      <w:r w:rsidRPr="005E5565">
        <w:rPr>
          <w:noProof/>
        </w:rPr>
        <w:t>for (</w:t>
      </w:r>
      <w:r>
        <w:rPr>
          <w:noProof/>
        </w:rPr>
        <w:t xml:space="preserve">6 </w:t>
      </w:r>
      <w:r w:rsidRPr="005E5565">
        <w:rPr>
          <w:noProof/>
        </w:rPr>
        <w:t>FTEs for DG Energy and 12 FTEs for JRC</w:t>
      </w:r>
      <w:r w:rsidR="00B67031">
        <w:rPr>
          <w:noProof/>
        </w:rPr>
        <w:t>, of which 4 redeployed from its current resources and 9 financed via an administrative agreementI</w:t>
      </w:r>
      <w:r w:rsidRPr="005E5565">
        <w:rPr>
          <w:noProof/>
        </w:rPr>
        <w:t>)</w:t>
      </w:r>
      <w:r>
        <w:rPr>
          <w:noProof/>
        </w:rPr>
        <w:t xml:space="preserve">. In </w:t>
      </w:r>
      <w:r w:rsidRPr="00295450">
        <w:rPr>
          <w:noProof/>
          <w:color w:val="000000" w:themeColor="text1"/>
        </w:rPr>
        <w:t>addition,</w:t>
      </w:r>
      <w:r w:rsidRPr="00295450">
        <w:rPr>
          <w:b/>
          <w:noProof/>
          <w:color w:val="000000" w:themeColor="text1"/>
        </w:rPr>
        <w:t xml:space="preserve"> </w:t>
      </w:r>
      <w:r w:rsidRPr="00295450">
        <w:rPr>
          <w:noProof/>
          <w:color w:val="000000" w:themeColor="text1"/>
        </w:rPr>
        <w:t>EUR 1 million in one-off operational costs and 500</w:t>
      </w:r>
      <w:r w:rsidR="002344BA">
        <w:rPr>
          <w:noProof/>
          <w:color w:val="000000" w:themeColor="text1"/>
        </w:rPr>
        <w:t>,</w:t>
      </w:r>
      <w:r w:rsidRPr="00295450">
        <w:rPr>
          <w:noProof/>
          <w:color w:val="000000" w:themeColor="text1"/>
        </w:rPr>
        <w:t>000 in recurrent</w:t>
      </w:r>
      <w:r w:rsidR="00D70B0A">
        <w:rPr>
          <w:noProof/>
          <w:color w:val="000000" w:themeColor="text1"/>
        </w:rPr>
        <w:t>, annual</w:t>
      </w:r>
      <w:r w:rsidRPr="00295450">
        <w:rPr>
          <w:noProof/>
          <w:color w:val="000000" w:themeColor="text1"/>
        </w:rPr>
        <w:t xml:space="preserve"> operational costs</w:t>
      </w:r>
      <w:r w:rsidRPr="00295450">
        <w:rPr>
          <w:b/>
          <w:noProof/>
          <w:color w:val="000000" w:themeColor="text1"/>
        </w:rPr>
        <w:t xml:space="preserve"> </w:t>
      </w:r>
      <w:r w:rsidRPr="00295450">
        <w:rPr>
          <w:noProof/>
          <w:color w:val="000000" w:themeColor="text1"/>
        </w:rPr>
        <w:t xml:space="preserve">would </w:t>
      </w:r>
      <w:r>
        <w:rPr>
          <w:noProof/>
        </w:rPr>
        <w:t xml:space="preserve">be required for technical updates, extensions and maintenance of the electricity, gas and hydrogen models, for modelling of targets, NECPs and energy mixes, as well as organisation of workshops and missions. </w:t>
      </w:r>
    </w:p>
    <w:p w14:paraId="0644EFB5" w14:textId="77777777" w:rsidR="00AF7A86" w:rsidRDefault="00AF7A86">
      <w:pPr>
        <w:pStyle w:val="Text1"/>
        <w:pBdr>
          <w:top w:val="single" w:sz="4" w:space="1" w:color="auto"/>
          <w:left w:val="single" w:sz="4" w:space="1" w:color="auto"/>
          <w:bottom w:val="single" w:sz="4" w:space="1" w:color="auto"/>
          <w:right w:val="single" w:sz="4" w:space="1" w:color="auto"/>
        </w:pBdr>
        <w:rPr>
          <w:noProof/>
        </w:rPr>
      </w:pPr>
      <w:r w:rsidRPr="00C2508B">
        <w:rPr>
          <w:b/>
          <w:bCs/>
          <w:noProof/>
          <w:u w:val="single"/>
        </w:rPr>
        <w:t>ACER</w:t>
      </w:r>
    </w:p>
    <w:p w14:paraId="1DACB85D" w14:textId="77777777" w:rsidR="00AF7A86" w:rsidRPr="0095738B" w:rsidRDefault="00AF7A86">
      <w:pPr>
        <w:pStyle w:val="Text1"/>
        <w:pBdr>
          <w:top w:val="single" w:sz="4" w:space="1" w:color="auto"/>
          <w:left w:val="single" w:sz="4" w:space="1" w:color="auto"/>
          <w:bottom w:val="single" w:sz="4" w:space="1" w:color="auto"/>
          <w:right w:val="single" w:sz="4" w:space="1" w:color="auto"/>
        </w:pBdr>
        <w:rPr>
          <w:noProof/>
        </w:rPr>
      </w:pPr>
      <w:r w:rsidRPr="0095738B">
        <w:rPr>
          <w:noProof/>
        </w:rPr>
        <w:t>Requirement 2:</w:t>
      </w:r>
    </w:p>
    <w:p w14:paraId="062997D0" w14:textId="77777777" w:rsidR="00AF7A86" w:rsidRPr="0095738B" w:rsidRDefault="00AF7A86">
      <w:pPr>
        <w:pStyle w:val="Text1"/>
        <w:pBdr>
          <w:top w:val="single" w:sz="4" w:space="1" w:color="auto"/>
          <w:left w:val="single" w:sz="4" w:space="1" w:color="auto"/>
          <w:bottom w:val="single" w:sz="4" w:space="1" w:color="auto"/>
          <w:right w:val="single" w:sz="4" w:space="1" w:color="auto"/>
        </w:pBdr>
        <w:rPr>
          <w:noProof/>
        </w:rPr>
      </w:pPr>
      <w:r w:rsidRPr="00102274">
        <w:rPr>
          <w:noProof/>
        </w:rPr>
        <w:t>ACER is tasked with supporting as well as verifying the all input data collected by the Commission</w:t>
      </w:r>
      <w:r w:rsidRPr="00102274">
        <w:rPr>
          <w:b/>
          <w:bCs/>
          <w:noProof/>
        </w:rPr>
        <w:t xml:space="preserve"> </w:t>
      </w:r>
      <w:r w:rsidRPr="00102274">
        <w:rPr>
          <w:noProof/>
        </w:rPr>
        <w:t xml:space="preserve"> as part of the central scenario development (Article 11). In addition, </w:t>
      </w:r>
      <w:r w:rsidRPr="0095738B">
        <w:rPr>
          <w:noProof/>
        </w:rPr>
        <w:t>ACER is required to develop a binding methodology for the identification of infrastructure needs</w:t>
      </w:r>
      <w:r w:rsidRPr="0095738B" w:rsidDel="003754C1">
        <w:rPr>
          <w:noProof/>
        </w:rPr>
        <w:t xml:space="preserve"> </w:t>
      </w:r>
      <w:r w:rsidRPr="0095738B">
        <w:rPr>
          <w:noProof/>
        </w:rPr>
        <w:t>(Article 12) and assess the compliance of the draft infrastructure needs identification developed and submitted by ENTSO-E and ENNOH, with the developed framework methodology</w:t>
      </w:r>
      <w:r w:rsidRPr="0095738B" w:rsidDel="0061780E">
        <w:rPr>
          <w:noProof/>
        </w:rPr>
        <w:t xml:space="preserve"> </w:t>
      </w:r>
      <w:r w:rsidRPr="0095738B">
        <w:rPr>
          <w:noProof/>
        </w:rPr>
        <w:t>and report to the TEN-E Group. ACER is also required to update the framework methodology when necessary on its own initiative or upon the request of the Commission</w:t>
      </w:r>
    </w:p>
    <w:p w14:paraId="04B1B9BE" w14:textId="77777777" w:rsidR="00AF7A86" w:rsidRPr="0095738B" w:rsidRDefault="00AF7A86">
      <w:pPr>
        <w:pStyle w:val="Text1"/>
        <w:pBdr>
          <w:top w:val="single" w:sz="4" w:space="1" w:color="auto"/>
          <w:left w:val="single" w:sz="4" w:space="1" w:color="auto"/>
          <w:bottom w:val="single" w:sz="4" w:space="1" w:color="auto"/>
          <w:right w:val="single" w:sz="4" w:space="1" w:color="auto"/>
        </w:pBdr>
        <w:rPr>
          <w:noProof/>
        </w:rPr>
      </w:pPr>
      <w:r w:rsidRPr="0095738B">
        <w:rPr>
          <w:noProof/>
        </w:rPr>
        <w:t xml:space="preserve">The execution of these new tasks is estimated to result in an additional workload for ACER totalling 2 FTE. In addition, ACER would have operational expenditures including consultancy support for the development of the infrastructure needs methodology, the development of an IT tool to facilitate data verification and overheads, with estimated one-off cost of EUR 130 000 as well as recurrent operational costs of EUR 100 000 per year. </w:t>
      </w:r>
    </w:p>
    <w:p w14:paraId="312F63D3" w14:textId="77777777" w:rsidR="00AF7A86" w:rsidRPr="0095738B" w:rsidRDefault="00AF7A86">
      <w:pPr>
        <w:pStyle w:val="Text1"/>
        <w:pBdr>
          <w:top w:val="single" w:sz="4" w:space="1" w:color="auto"/>
          <w:left w:val="single" w:sz="4" w:space="1" w:color="auto"/>
          <w:bottom w:val="single" w:sz="4" w:space="1" w:color="auto"/>
          <w:right w:val="single" w:sz="4" w:space="1" w:color="auto"/>
        </w:pBdr>
        <w:rPr>
          <w:noProof/>
        </w:rPr>
      </w:pPr>
      <w:r w:rsidRPr="0095738B">
        <w:rPr>
          <w:noProof/>
        </w:rPr>
        <w:t>Requirement 3:</w:t>
      </w:r>
    </w:p>
    <w:p w14:paraId="0215592B" w14:textId="77777777" w:rsidR="00AF7A86" w:rsidRPr="00A15815" w:rsidRDefault="00AF7A86">
      <w:pPr>
        <w:pStyle w:val="Text1"/>
        <w:pBdr>
          <w:top w:val="single" w:sz="4" w:space="1" w:color="auto"/>
          <w:left w:val="single" w:sz="4" w:space="1" w:color="auto"/>
          <w:bottom w:val="single" w:sz="4" w:space="1" w:color="auto"/>
          <w:right w:val="single" w:sz="4" w:space="1" w:color="auto"/>
        </w:pBdr>
        <w:rPr>
          <w:noProof/>
        </w:rPr>
      </w:pPr>
      <w:r w:rsidRPr="0095738B">
        <w:rPr>
          <w:noProof/>
        </w:rPr>
        <w:t>ACER is required</w:t>
      </w:r>
      <w:r w:rsidRPr="00102274">
        <w:rPr>
          <w:noProof/>
        </w:rPr>
        <w:t xml:space="preserve"> to adopt a Cross-Border Cost Allocation Recommendation, identifying good practices for </w:t>
      </w:r>
      <w:r>
        <w:rPr>
          <w:noProof/>
        </w:rPr>
        <w:t xml:space="preserve">the treatment of investment requests for PCIs, taking into account the principles in the TEN-E Regulation (Article 17). That recommendation shall be regularly updated as necessary. In adopting or amending the recommendation, ACER shall carry out an extensive consultation process, involving all relevant stakeholders. That recommendation shall also include a non-binding cross-border cost-allocation </w:t>
      </w:r>
      <w:r w:rsidRPr="00A15815">
        <w:rPr>
          <w:noProof/>
        </w:rPr>
        <w:t xml:space="preserve">template to facilitate the work of national regulatory agencies. </w:t>
      </w:r>
    </w:p>
    <w:p w14:paraId="080A6CFD" w14:textId="77777777" w:rsidR="00AF7A86" w:rsidRDefault="00AF7A86">
      <w:pPr>
        <w:pStyle w:val="Text1"/>
        <w:pBdr>
          <w:top w:val="single" w:sz="4" w:space="1" w:color="auto"/>
          <w:left w:val="single" w:sz="4" w:space="1" w:color="auto"/>
          <w:bottom w:val="single" w:sz="4" w:space="1" w:color="auto"/>
          <w:right w:val="single" w:sz="4" w:space="1" w:color="auto"/>
        </w:pBdr>
        <w:rPr>
          <w:noProof/>
        </w:rPr>
      </w:pPr>
      <w:r w:rsidRPr="00A15815">
        <w:rPr>
          <w:noProof/>
        </w:rPr>
        <w:t xml:space="preserve">The development and adoption of a Cross-Border Cost Allocation Recommendation </w:t>
      </w:r>
      <w:r>
        <w:rPr>
          <w:noProof/>
        </w:rPr>
        <w:t>a\s well as the maintenance of a repository of CBCA Decisions</w:t>
      </w:r>
      <w:r w:rsidRPr="00A15815">
        <w:rPr>
          <w:noProof/>
        </w:rPr>
        <w:t xml:space="preserve"> is estimated to result in an additional workload for </w:t>
      </w:r>
      <w:r w:rsidRPr="00295450">
        <w:rPr>
          <w:noProof/>
          <w:color w:val="000000" w:themeColor="text1"/>
        </w:rPr>
        <w:t xml:space="preserve">ACER totalling </w:t>
      </w:r>
      <w:r w:rsidRPr="008B5221">
        <w:rPr>
          <w:bCs/>
          <w:noProof/>
          <w:color w:val="000000" w:themeColor="text1"/>
        </w:rPr>
        <w:t>1 FTE</w:t>
      </w:r>
      <w:r w:rsidRPr="00295450">
        <w:rPr>
          <w:noProof/>
          <w:color w:val="000000" w:themeColor="text1"/>
        </w:rPr>
        <w:t xml:space="preserve"> as well as an estimated one-off cost of EUR 70 000 for the development of the IT tool for the repository of CBCA decisions. </w:t>
      </w:r>
    </w:p>
    <w:p w14:paraId="1303D964" w14:textId="77777777" w:rsidR="00AF7A86" w:rsidRPr="00A15815" w:rsidRDefault="00AF7A86">
      <w:pPr>
        <w:pStyle w:val="Text1"/>
        <w:pBdr>
          <w:top w:val="single" w:sz="4" w:space="1" w:color="auto"/>
          <w:left w:val="single" w:sz="4" w:space="1" w:color="auto"/>
          <w:bottom w:val="single" w:sz="4" w:space="1" w:color="auto"/>
          <w:right w:val="single" w:sz="4" w:space="1" w:color="auto"/>
        </w:pBdr>
        <w:rPr>
          <w:noProof/>
        </w:rPr>
      </w:pPr>
      <w:r w:rsidRPr="00A15815">
        <w:rPr>
          <w:noProof/>
        </w:rPr>
        <w:t>For DG Energy</w:t>
      </w:r>
      <w:r>
        <w:rPr>
          <w:noProof/>
        </w:rPr>
        <w:t xml:space="preserve"> and, JRC</w:t>
      </w:r>
      <w:r w:rsidRPr="00A15815">
        <w:rPr>
          <w:noProof/>
        </w:rPr>
        <w:t xml:space="preserve"> and ACER, the requirements above to implementation of the legislative proposal extend beyond the current 2021-2027 MFF. </w:t>
      </w:r>
    </w:p>
    <w:p w14:paraId="15B793A2" w14:textId="77777777" w:rsidR="00AF7A86" w:rsidRDefault="00AF7A86" w:rsidP="00AF7A86">
      <w:pPr>
        <w:pStyle w:val="ManualHeading3"/>
        <w:rPr>
          <w:bCs/>
          <w:noProof/>
          <w:szCs w:val="24"/>
        </w:rPr>
      </w:pPr>
      <w:r w:rsidRPr="0021790A">
        <w:rPr>
          <w:noProof/>
        </w:rPr>
        <w:t>1.5.2.</w:t>
      </w:r>
      <w:r w:rsidRPr="0021790A">
        <w:rPr>
          <w:noProof/>
        </w:rPr>
        <w:tab/>
      </w:r>
      <w:r>
        <w:rPr>
          <w:noProof/>
        </w:rPr>
        <w:t xml:space="preserve">Added value of EU </w:t>
      </w:r>
      <w:r w:rsidRPr="00CD72BB">
        <w:rPr>
          <w:noProof/>
        </w:rPr>
        <w:t>involvement (it may result from different factors, e.g. coordination gains, legal certainty, great</w:t>
      </w:r>
      <w:r w:rsidRPr="004830A5">
        <w:rPr>
          <w:noProof/>
        </w:rPr>
        <w:t>er effectiveness or complementarities).</w:t>
      </w:r>
      <w:r>
        <w:rPr>
          <w:noProof/>
        </w:rPr>
        <w:t xml:space="preserve"> For the purposes of this section 'added value of EU involvement' is the value resulting from EU action that is additional to the value that would have been otherwise created by Member States alone.</w:t>
      </w:r>
      <w:bookmarkEnd w:id="80"/>
      <w:bookmarkEnd w:id="81"/>
      <w:bookmarkEnd w:id="82"/>
      <w:bookmarkEnd w:id="83"/>
    </w:p>
    <w:p w14:paraId="3EA76EED" w14:textId="77777777" w:rsidR="00AF7A86" w:rsidRPr="00CF0F3D" w:rsidRDefault="00AF7A86" w:rsidP="00AF7A86">
      <w:pPr>
        <w:pStyle w:val="Text1"/>
        <w:pBdr>
          <w:top w:val="single" w:sz="4" w:space="1" w:color="auto"/>
          <w:left w:val="single" w:sz="4" w:space="4" w:color="auto"/>
          <w:bottom w:val="single" w:sz="4" w:space="1" w:color="auto"/>
          <w:right w:val="single" w:sz="4" w:space="4" w:color="auto"/>
        </w:pBdr>
        <w:rPr>
          <w:i/>
          <w:iCs/>
          <w:noProof/>
        </w:rPr>
      </w:pPr>
      <w:r>
        <w:rPr>
          <w:noProof/>
        </w:rPr>
        <w:t>Please see Explanatory Memorandum sections on subsidiarity and proportionality.</w:t>
      </w:r>
    </w:p>
    <w:p w14:paraId="38575DB7" w14:textId="77777777" w:rsidR="00AF7A86" w:rsidRDefault="00AF7A86" w:rsidP="00AF7A86">
      <w:pPr>
        <w:pStyle w:val="ManualHeading3"/>
        <w:rPr>
          <w:noProof/>
        </w:rPr>
      </w:pPr>
      <w:bookmarkStart w:id="84" w:name="_Toc514938030"/>
      <w:bookmarkStart w:id="85" w:name="_Toc520485037"/>
      <w:bookmarkStart w:id="86" w:name="_Toc160804579"/>
      <w:bookmarkStart w:id="87" w:name="_Toc172893690"/>
      <w:r w:rsidRPr="0021790A">
        <w:rPr>
          <w:noProof/>
        </w:rPr>
        <w:t>1.5.3.</w:t>
      </w:r>
      <w:r w:rsidRPr="0021790A">
        <w:rPr>
          <w:noProof/>
        </w:rPr>
        <w:tab/>
      </w:r>
      <w:r>
        <w:rPr>
          <w:noProof/>
        </w:rPr>
        <w:t>Lessons learned from similar experiences in the past</w:t>
      </w:r>
      <w:bookmarkEnd w:id="84"/>
      <w:bookmarkEnd w:id="85"/>
      <w:bookmarkEnd w:id="86"/>
      <w:bookmarkEnd w:id="87"/>
    </w:p>
    <w:p w14:paraId="0AB30EF3"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lang w:val="en-IE"/>
        </w:rPr>
      </w:pPr>
      <w:bookmarkStart w:id="88" w:name="_Toc514938033"/>
      <w:bookmarkStart w:id="89" w:name="_Toc520485038"/>
      <w:bookmarkStart w:id="90" w:name="_Toc160804580"/>
      <w:bookmarkStart w:id="91" w:name="_Toc172893691"/>
      <w:r w:rsidRPr="003F4873">
        <w:rPr>
          <w:noProof/>
        </w:rPr>
        <w:t xml:space="preserve">The evaluation of the </w:t>
      </w:r>
      <w:r>
        <w:rPr>
          <w:noProof/>
        </w:rPr>
        <w:t xml:space="preserve">previous </w:t>
      </w:r>
      <w:r w:rsidRPr="003F4873">
        <w:rPr>
          <w:noProof/>
        </w:rPr>
        <w:t xml:space="preserve">TEN-E Regulation </w:t>
      </w:r>
      <w:r>
        <w:rPr>
          <w:noProof/>
        </w:rPr>
        <w:t>showed</w:t>
      </w:r>
      <w:r w:rsidRPr="003F4873">
        <w:rPr>
          <w:noProof/>
        </w:rPr>
        <w:t xml:space="preserve"> that it </w:t>
      </w:r>
      <w:r>
        <w:rPr>
          <w:noProof/>
        </w:rPr>
        <w:t>effectively</w:t>
      </w:r>
      <w:r w:rsidRPr="003F4873">
        <w:rPr>
          <w:noProof/>
        </w:rPr>
        <w:t xml:space="preserve"> improved integration of Member States’ networks, stimulated energy trade and hence contributed to Union competitiveness. PCIs have </w:t>
      </w:r>
      <w:r>
        <w:rPr>
          <w:noProof/>
        </w:rPr>
        <w:t xml:space="preserve">also </w:t>
      </w:r>
      <w:r w:rsidRPr="003F4873">
        <w:rPr>
          <w:noProof/>
        </w:rPr>
        <w:t xml:space="preserve">strongly contributed to security of supply as a </w:t>
      </w:r>
      <w:r w:rsidRPr="00846274">
        <w:rPr>
          <w:noProof/>
        </w:rPr>
        <w:t xml:space="preserve">main contextual driver to the design of the TEN-E Regulation. </w:t>
      </w:r>
      <w:r>
        <w:rPr>
          <w:noProof/>
        </w:rPr>
        <w:t xml:space="preserve">Following its </w:t>
      </w:r>
      <w:r w:rsidRPr="00846274">
        <w:rPr>
          <w:noProof/>
        </w:rPr>
        <w:t xml:space="preserve">evaluation in 2020, the </w:t>
      </w:r>
      <w:r>
        <w:rPr>
          <w:noProof/>
        </w:rPr>
        <w:t xml:space="preserve">TEN-E Regulation was revised in 2022. The Implementation Report annexed to the Impact Assessment analyses lessons learned from the implementation of the revised TEN-E Regulation. The Implementation Report provides evidence of the need for </w:t>
      </w:r>
      <w:r w:rsidRPr="008113AD">
        <w:rPr>
          <w:noProof/>
        </w:rPr>
        <w:t>further improvements, namely when it comes to scenario development, infrastructure needs identification and consequent TYNDP, PCI/PMI project selection and assessment, as well as CBCA and permitting frameworks.</w:t>
      </w:r>
    </w:p>
    <w:p w14:paraId="12512F1C" w14:textId="77777777" w:rsidR="00AF7A86" w:rsidRDefault="00AF7A86" w:rsidP="00AF7A86">
      <w:pPr>
        <w:pStyle w:val="ManualHeading3"/>
        <w:rPr>
          <w:noProof/>
        </w:rPr>
      </w:pPr>
      <w:r w:rsidRPr="0021790A">
        <w:rPr>
          <w:noProof/>
        </w:rPr>
        <w:t>1.5.4.</w:t>
      </w:r>
      <w:r w:rsidRPr="0021790A">
        <w:rPr>
          <w:noProof/>
        </w:rPr>
        <w:tab/>
      </w:r>
      <w:r>
        <w:rPr>
          <w:noProof/>
        </w:rPr>
        <w:t>Compatibility with the multiannual financial framework and possible synergies with other appropriate instruments</w:t>
      </w:r>
      <w:bookmarkEnd w:id="88"/>
      <w:bookmarkEnd w:id="89"/>
      <w:bookmarkEnd w:id="90"/>
      <w:bookmarkEnd w:id="91"/>
    </w:p>
    <w:p w14:paraId="4F890CCD"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bookmarkStart w:id="92" w:name="_Toc514938036"/>
      <w:bookmarkStart w:id="93" w:name="_Toc520485039"/>
      <w:bookmarkStart w:id="94" w:name="_Toc160804581"/>
      <w:bookmarkStart w:id="95" w:name="_Toc172893692"/>
      <w:r>
        <w:rPr>
          <w:noProof/>
        </w:rPr>
        <w:t xml:space="preserve">This Grids Package is a key deliverable under the Clean Industrial Deal and the Action Plan for Affordable Energy, which are part of the 2025 Commission Work Program. </w:t>
      </w:r>
      <w:r w:rsidRPr="00D868F6">
        <w:rPr>
          <w:noProof/>
        </w:rPr>
        <w:t xml:space="preserve">The </w:t>
      </w:r>
      <w:r>
        <w:rPr>
          <w:noProof/>
        </w:rPr>
        <w:t>proposal</w:t>
      </w:r>
      <w:r w:rsidRPr="00D868F6">
        <w:rPr>
          <w:noProof/>
        </w:rPr>
        <w:t xml:space="preserve"> is complementary to other initiatives that aim to create a more integrated European energy market</w:t>
      </w:r>
      <w:r>
        <w:rPr>
          <w:noProof/>
        </w:rPr>
        <w:t xml:space="preserve"> and lower energy costs for households and industries</w:t>
      </w:r>
      <w:r w:rsidRPr="00D868F6">
        <w:rPr>
          <w:noProof/>
        </w:rPr>
        <w:t>.</w:t>
      </w:r>
      <w:r>
        <w:rPr>
          <w:noProof/>
        </w:rPr>
        <w:t xml:space="preserve"> </w:t>
      </w:r>
      <w:r w:rsidRPr="00D868F6">
        <w:rPr>
          <w:noProof/>
        </w:rPr>
        <w:t xml:space="preserve">Energy infrastructure is </w:t>
      </w:r>
      <w:r>
        <w:rPr>
          <w:noProof/>
        </w:rPr>
        <w:t>also c</w:t>
      </w:r>
      <w:r w:rsidRPr="00D868F6">
        <w:rPr>
          <w:noProof/>
        </w:rPr>
        <w:t>rucial to achieve the proposed 2040 EU climate target</w:t>
      </w:r>
      <w:r>
        <w:rPr>
          <w:noProof/>
        </w:rPr>
        <w:t>,</w:t>
      </w:r>
      <w:r w:rsidRPr="00D868F6">
        <w:rPr>
          <w:noProof/>
        </w:rPr>
        <w:t xml:space="preserve"> </w:t>
      </w:r>
      <w:r>
        <w:rPr>
          <w:noProof/>
        </w:rPr>
        <w:t>and to the EU’s objective of achieving climate neutrality by 2050.</w:t>
      </w:r>
    </w:p>
    <w:p w14:paraId="57BD0730"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sidRPr="00D868F6">
        <w:rPr>
          <w:noProof/>
        </w:rPr>
        <w:t>The Commission proposal for the new Multiannual Financial Framework (MFF) 2028-</w:t>
      </w:r>
      <w:r>
        <w:rPr>
          <w:noProof/>
        </w:rPr>
        <w:t>2</w:t>
      </w:r>
      <w:r w:rsidRPr="00D868F6">
        <w:rPr>
          <w:noProof/>
        </w:rPr>
        <w:t>034 highlights “the vital importance of a genuine Energy Union and well-integrated EU infrastructure networks”, which is reflected in a substantially increased budget proposed for the Connecting Europe Facility (CEF) for Energy. The TEN-E Regulation provides the basis for energy infrastructure projects funded under CEF.</w:t>
      </w:r>
    </w:p>
    <w:p w14:paraId="09C999CD" w14:textId="77777777" w:rsidR="00AF7A86" w:rsidRDefault="00AF7A86" w:rsidP="00AF7A86">
      <w:pPr>
        <w:pStyle w:val="ManualHeading3"/>
        <w:rPr>
          <w:noProof/>
        </w:rPr>
      </w:pPr>
      <w:r w:rsidRPr="0021790A">
        <w:rPr>
          <w:noProof/>
        </w:rPr>
        <w:t>1.5.5.</w:t>
      </w:r>
      <w:r w:rsidRPr="0021790A">
        <w:rPr>
          <w:noProof/>
        </w:rPr>
        <w:tab/>
      </w:r>
      <w:r>
        <w:rPr>
          <w:noProof/>
        </w:rPr>
        <w:t>Assessment of the different available financing options, including scope for redeployment</w:t>
      </w:r>
      <w:bookmarkEnd w:id="92"/>
      <w:bookmarkEnd w:id="93"/>
      <w:bookmarkEnd w:id="94"/>
      <w:bookmarkEnd w:id="95"/>
    </w:p>
    <w:p w14:paraId="161E0D64"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Pr>
          <w:noProof/>
        </w:rPr>
        <w:t xml:space="preserve">The Impact Assessment report acompanying this proposal analysed different policy options to achieve the initiative’s general and specific objectives. The preferred policy option which is pursued through this legislative proposal, was considered the most effective and cost-efficient approach and in line with the subsidiarity and proportionality principles. </w:t>
      </w:r>
    </w:p>
    <w:p w14:paraId="19F4667C"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Pr>
          <w:noProof/>
        </w:rPr>
        <w:t xml:space="preserve">DG Energy, JRC and ACER are considered best placed to execute the additional requirements stemming from the legislative proposal due to their previous experiences with the infrastructure planning process and energy system modelling. </w:t>
      </w:r>
    </w:p>
    <w:p w14:paraId="500C5C84"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Pr>
          <w:noProof/>
        </w:rPr>
        <w:t xml:space="preserve">DG Energy has developed significant experience in the infrastructure planning and coordination process since the TEN-E Regulation was first adopted in 2013. It is therefore best suited to coordinate the infrastructure needs identification and gap filling mechanisms at EU-level in an impartiall manner. The JRC has significant technical knowledge in energy system modelling and has developed its own modelling tools. It is therefore considered best placed to conduct the modelling tasks linked to the central scenario development. </w:t>
      </w:r>
    </w:p>
    <w:p w14:paraId="05461A02"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Pr>
          <w:noProof/>
        </w:rPr>
        <w:t>Due to its mandate, ACER is best placed to implement requirements 1 &amp; 2. It has developed substantial technical expertise as a key actor with a formal role in both the infrastructure planning process and the cross-border cost allocation framework at EU-level under the current TEN-E framework</w:t>
      </w:r>
    </w:p>
    <w:p w14:paraId="6D608156"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Pr>
          <w:noProof/>
        </w:rPr>
        <w:t>T</w:t>
      </w:r>
      <w:r w:rsidRPr="001C2D41">
        <w:rPr>
          <w:noProof/>
        </w:rPr>
        <w:t xml:space="preserve">he </w:t>
      </w:r>
      <w:r>
        <w:rPr>
          <w:noProof/>
        </w:rPr>
        <w:t>additional FTEs</w:t>
      </w:r>
      <w:r w:rsidRPr="001C2D41">
        <w:rPr>
          <w:noProof/>
        </w:rPr>
        <w:t xml:space="preserve"> are needed for </w:t>
      </w:r>
      <w:r>
        <w:rPr>
          <w:noProof/>
        </w:rPr>
        <w:t>new</w:t>
      </w:r>
      <w:r w:rsidRPr="001C2D41">
        <w:rPr>
          <w:noProof/>
        </w:rPr>
        <w:t xml:space="preserve"> tasks</w:t>
      </w:r>
      <w:r>
        <w:rPr>
          <w:noProof/>
        </w:rPr>
        <w:t>/requirements ensuing from this legisltive proposal,</w:t>
      </w:r>
      <w:r w:rsidRPr="001C2D41">
        <w:rPr>
          <w:noProof/>
        </w:rPr>
        <w:t xml:space="preserve"> while existing tasks will not decrease in the foreseeable future.</w:t>
      </w:r>
    </w:p>
    <w:p w14:paraId="2A4EAC71" w14:textId="77777777" w:rsidR="00AF7A86" w:rsidRDefault="00AF7A86" w:rsidP="00AF7A86">
      <w:pPr>
        <w:pStyle w:val="ManualHeading2"/>
        <w:ind w:left="0" w:firstLine="0"/>
        <w:rPr>
          <w:bCs/>
          <w:noProof/>
          <w:szCs w:val="24"/>
        </w:rPr>
      </w:pPr>
      <w:r>
        <w:rPr>
          <w:noProof/>
        </w:rPr>
        <w:br w:type="page"/>
      </w:r>
      <w:bookmarkStart w:id="96" w:name="_Toc514938039"/>
      <w:bookmarkStart w:id="97" w:name="_Toc520485040"/>
      <w:bookmarkStart w:id="98" w:name="_Toc160804582"/>
      <w:bookmarkStart w:id="99" w:name="_Toc172893693"/>
      <w:r w:rsidRPr="0021790A">
        <w:rPr>
          <w:noProof/>
        </w:rPr>
        <w:t>1.6.</w:t>
      </w:r>
      <w:r w:rsidRPr="0021790A">
        <w:rPr>
          <w:noProof/>
        </w:rPr>
        <w:tab/>
      </w:r>
      <w:r>
        <w:rPr>
          <w:noProof/>
        </w:rPr>
        <w:t>Duration of the proposal/initiative</w:t>
      </w:r>
      <w:bookmarkEnd w:id="96"/>
      <w:bookmarkEnd w:id="97"/>
      <w:r>
        <w:rPr>
          <w:noProof/>
        </w:rPr>
        <w:t xml:space="preserve"> and of its financial impact</w:t>
      </w:r>
      <w:bookmarkEnd w:id="98"/>
      <w:bookmarkEnd w:id="99"/>
    </w:p>
    <w:p w14:paraId="273A299E" w14:textId="77777777" w:rsidR="00AF7A86" w:rsidRDefault="00AF7A86" w:rsidP="00AF7A86">
      <w:pPr>
        <w:pStyle w:val="Text1"/>
        <w:rPr>
          <w:noProof/>
        </w:rPr>
      </w:pPr>
      <w:r>
        <w:rPr>
          <w:rFonts w:ascii="Wingdings" w:eastAsia="Wingdings" w:hAnsi="Wingdings" w:cs="Wingdings"/>
          <w:noProof/>
        </w:rPr>
        <w:t></w:t>
      </w:r>
      <w:r>
        <w:rPr>
          <w:b/>
          <w:i/>
          <w:noProof/>
        </w:rPr>
        <w:t xml:space="preserve"> </w:t>
      </w:r>
      <w:r>
        <w:rPr>
          <w:b/>
          <w:noProof/>
        </w:rPr>
        <w:t xml:space="preserve">limited duration </w:t>
      </w:r>
    </w:p>
    <w:p w14:paraId="7D5B5F92" w14:textId="77777777" w:rsidR="00AF7A86" w:rsidRDefault="00AF7A86" w:rsidP="00AF7A86">
      <w:pPr>
        <w:pStyle w:val="ListDash2"/>
        <w:rPr>
          <w:noProof/>
        </w:rPr>
      </w:pPr>
      <w:r>
        <w:rPr>
          <w:rFonts w:ascii="Wingdings" w:eastAsia="Wingdings" w:hAnsi="Wingdings" w:cs="Wingdings"/>
          <w:noProof/>
        </w:rPr>
        <w:t></w:t>
      </w:r>
      <w:r>
        <w:rPr>
          <w:noProof/>
        </w:rPr>
        <w:tab/>
        <w:t xml:space="preserve">in effect from [DD/MM]YYYY to [DD/MM]YYYY </w:t>
      </w:r>
    </w:p>
    <w:p w14:paraId="356E67B0" w14:textId="77777777" w:rsidR="00AF7A86" w:rsidRDefault="00AF7A86" w:rsidP="00AF7A86">
      <w:pPr>
        <w:pStyle w:val="ListDash2"/>
        <w:rPr>
          <w:noProof/>
        </w:rPr>
      </w:pPr>
      <w:r>
        <w:rPr>
          <w:rFonts w:ascii="Wingdings" w:eastAsia="Wingdings" w:hAnsi="Wingdings" w:cs="Wingdings"/>
          <w:noProof/>
        </w:rPr>
        <w:t></w:t>
      </w:r>
      <w:r>
        <w:rPr>
          <w:noProof/>
        </w:rPr>
        <w:tab/>
        <w:t xml:space="preserve">financial impact from YYYY to YYYY for commitment appropriations and from YYYY to YYYY for payment appropriations. </w:t>
      </w:r>
    </w:p>
    <w:p w14:paraId="678CAA52" w14:textId="77777777" w:rsidR="00AF7A86" w:rsidRDefault="00AF7A86" w:rsidP="0095738B">
      <w:pPr>
        <w:rPr>
          <w:noProof/>
        </w:rPr>
      </w:pPr>
      <w:r w:rsidRPr="008443CE">
        <w:rPr>
          <w:rFonts w:ascii="Wingdings" w:eastAsia="Wingdings" w:hAnsi="Wingdings" w:cs="Wingdings"/>
          <w:noProof/>
        </w:rPr>
        <w:t></w:t>
      </w:r>
      <w:r w:rsidRPr="008443CE">
        <w:rPr>
          <w:i/>
          <w:noProof/>
        </w:rPr>
        <w:t xml:space="preserve"> </w:t>
      </w:r>
      <w:r>
        <w:rPr>
          <w:i/>
          <w:noProof/>
        </w:rPr>
        <w:t xml:space="preserve"> </w:t>
      </w:r>
      <w:r>
        <w:rPr>
          <w:noProof/>
        </w:rPr>
        <w:t>unlimited duration</w:t>
      </w:r>
    </w:p>
    <w:p w14:paraId="1A6EEE66" w14:textId="77777777" w:rsidR="00AF7A86" w:rsidRDefault="00AF7A86" w:rsidP="00AF7A86">
      <w:pPr>
        <w:pStyle w:val="ListDash1"/>
        <w:rPr>
          <w:noProof/>
        </w:rPr>
      </w:pPr>
      <w:r>
        <w:rPr>
          <w:noProof/>
        </w:rPr>
        <w:t>Implementation with a start-up period from YYYY to YYYY,</w:t>
      </w:r>
    </w:p>
    <w:p w14:paraId="2CBC7408" w14:textId="77777777" w:rsidR="00AF7A86" w:rsidRDefault="00AF7A86" w:rsidP="00AF7A86">
      <w:pPr>
        <w:pStyle w:val="ListDash1"/>
        <w:rPr>
          <w:noProof/>
        </w:rPr>
      </w:pPr>
      <w:r>
        <w:rPr>
          <w:noProof/>
        </w:rPr>
        <w:t>followed by full-scale operation.</w:t>
      </w:r>
    </w:p>
    <w:p w14:paraId="54BC1A7E" w14:textId="77777777" w:rsidR="00AF7A86" w:rsidRDefault="00AF7A86" w:rsidP="00AF7A86">
      <w:pPr>
        <w:pStyle w:val="ManualHeading2"/>
        <w:rPr>
          <w:bCs/>
          <w:noProof/>
          <w:szCs w:val="24"/>
        </w:rPr>
      </w:pPr>
      <w:bookmarkStart w:id="100" w:name="_Toc514938040"/>
      <w:bookmarkStart w:id="101" w:name="_Toc520485041"/>
      <w:bookmarkStart w:id="102" w:name="_Toc160804583"/>
      <w:bookmarkStart w:id="103" w:name="_Toc172893694"/>
      <w:r w:rsidRPr="0021790A">
        <w:rPr>
          <w:noProof/>
        </w:rPr>
        <w:t>1.7.</w:t>
      </w:r>
      <w:r w:rsidRPr="0021790A">
        <w:rPr>
          <w:noProof/>
        </w:rPr>
        <w:tab/>
      </w:r>
      <w:r>
        <w:rPr>
          <w:noProof/>
        </w:rPr>
        <w:t>Method(s) of budget implementation planne</w:t>
      </w:r>
      <w:bookmarkEnd w:id="100"/>
      <w:bookmarkEnd w:id="101"/>
      <w:bookmarkEnd w:id="102"/>
      <w:bookmarkEnd w:id="103"/>
      <w:r>
        <w:rPr>
          <w:noProof/>
        </w:rPr>
        <w:t xml:space="preserve">d </w:t>
      </w:r>
    </w:p>
    <w:p w14:paraId="4F512778" w14:textId="77777777" w:rsidR="00AF7A86" w:rsidRDefault="00AF7A86" w:rsidP="00AF7A86">
      <w:pPr>
        <w:pStyle w:val="Text1"/>
        <w:rPr>
          <w:noProof/>
        </w:rPr>
      </w:pPr>
      <w:r w:rsidRPr="008443CE">
        <w:rPr>
          <w:rFonts w:ascii="Wingdings" w:eastAsia="Wingdings" w:hAnsi="Wingdings" w:cs="Wingdings"/>
          <w:noProof/>
        </w:rPr>
        <w:t></w:t>
      </w:r>
      <w:r w:rsidRPr="008443CE">
        <w:rPr>
          <w:i/>
          <w:noProof/>
        </w:rPr>
        <w:t xml:space="preserve"> </w:t>
      </w:r>
      <w:r>
        <w:rPr>
          <w:i/>
          <w:noProof/>
        </w:rPr>
        <w:t xml:space="preserve"> </w:t>
      </w:r>
      <w:r>
        <w:rPr>
          <w:b/>
          <w:noProof/>
        </w:rPr>
        <w:t>Direct management</w:t>
      </w:r>
      <w:r>
        <w:rPr>
          <w:noProof/>
        </w:rPr>
        <w:t xml:space="preserve"> by the Commission</w:t>
      </w:r>
    </w:p>
    <w:p w14:paraId="7763FC4F" w14:textId="77777777" w:rsidR="00AF7A86" w:rsidRDefault="00AF7A86" w:rsidP="00AF7A86">
      <w:pPr>
        <w:pStyle w:val="ListDash2"/>
        <w:rPr>
          <w:rFonts w:cs="EUAlbertina"/>
          <w:noProof/>
        </w:rPr>
      </w:pPr>
      <w:r w:rsidRPr="405CC573">
        <w:rPr>
          <w:rFonts w:ascii="Wingdings" w:eastAsia="Wingdings" w:hAnsi="Wingdings" w:cs="Wingdings"/>
          <w:noProof/>
        </w:rPr>
        <w:t></w:t>
      </w:r>
      <w:r w:rsidRPr="405CC573">
        <w:rPr>
          <w:i/>
          <w:iCs/>
          <w:noProof/>
        </w:rPr>
        <w:t xml:space="preserve"> </w:t>
      </w:r>
      <w:r>
        <w:rPr>
          <w:noProof/>
        </w:rPr>
        <w:t xml:space="preserve">by its departments, including by its staff in the Union delegations; </w:t>
      </w:r>
    </w:p>
    <w:p w14:paraId="51D35B1C" w14:textId="77777777" w:rsidR="00AF7A86" w:rsidRDefault="00AF7A86" w:rsidP="00AF7A86">
      <w:pPr>
        <w:pStyle w:val="ListDash2"/>
        <w:rPr>
          <w:noProof/>
        </w:rPr>
      </w:pPr>
      <w:r>
        <w:rPr>
          <w:rFonts w:ascii="Wingdings" w:eastAsia="Wingdings" w:hAnsi="Wingdings" w:cs="Wingdings"/>
          <w:noProof/>
        </w:rPr>
        <w:t></w:t>
      </w:r>
      <w:r>
        <w:rPr>
          <w:noProof/>
        </w:rPr>
        <w:tab/>
        <w:t xml:space="preserve">by the executive agencies </w:t>
      </w:r>
    </w:p>
    <w:p w14:paraId="345B171E" w14:textId="77777777" w:rsidR="00AF7A86" w:rsidRDefault="00AF7A86" w:rsidP="00AF7A86">
      <w:pPr>
        <w:pStyle w:val="Text1"/>
        <w:rPr>
          <w:noProof/>
        </w:rPr>
      </w:pPr>
      <w:r>
        <w:rPr>
          <w:rFonts w:ascii="Wingdings" w:eastAsia="Wingdings" w:hAnsi="Wingdings" w:cs="Wingdings"/>
          <w:noProof/>
        </w:rPr>
        <w:t></w:t>
      </w:r>
      <w:r>
        <w:rPr>
          <w:b/>
          <w:i/>
          <w:noProof/>
        </w:rPr>
        <w:t xml:space="preserve"> </w:t>
      </w:r>
      <w:r>
        <w:rPr>
          <w:b/>
          <w:noProof/>
        </w:rPr>
        <w:t>Shared management</w:t>
      </w:r>
      <w:r>
        <w:rPr>
          <w:noProof/>
        </w:rPr>
        <w:t xml:space="preserve"> with the Member States </w:t>
      </w:r>
    </w:p>
    <w:p w14:paraId="25929A7D" w14:textId="77777777" w:rsidR="00AF7A86" w:rsidRDefault="00AF7A86" w:rsidP="00AF7A86">
      <w:pPr>
        <w:pStyle w:val="Text1"/>
        <w:rPr>
          <w:noProof/>
        </w:rPr>
      </w:pPr>
      <w:r w:rsidRPr="008443CE">
        <w:rPr>
          <w:rFonts w:ascii="Wingdings" w:eastAsia="Wingdings" w:hAnsi="Wingdings" w:cs="Wingdings"/>
          <w:noProof/>
        </w:rPr>
        <w:t></w:t>
      </w:r>
      <w:r w:rsidRPr="008443CE">
        <w:rPr>
          <w:i/>
          <w:noProof/>
        </w:rPr>
        <w:t xml:space="preserve"> </w:t>
      </w:r>
      <w:r>
        <w:rPr>
          <w:b/>
          <w:noProof/>
        </w:rPr>
        <w:t>Indirect management</w:t>
      </w:r>
      <w:r>
        <w:rPr>
          <w:noProof/>
        </w:rPr>
        <w:t xml:space="preserve"> by entrusting budget implementation tasks to:</w:t>
      </w:r>
    </w:p>
    <w:p w14:paraId="043D76EB" w14:textId="77777777" w:rsidR="00AF7A86" w:rsidRDefault="00AF7A86" w:rsidP="00AF7A86">
      <w:pPr>
        <w:pStyle w:val="ListDash2"/>
        <w:rPr>
          <w:noProof/>
        </w:rPr>
      </w:pPr>
      <w:r>
        <w:rPr>
          <w:rFonts w:ascii="Wingdings" w:eastAsia="Wingdings" w:hAnsi="Wingdings" w:cs="Wingdings"/>
          <w:noProof/>
        </w:rPr>
        <w:t></w:t>
      </w:r>
      <w:r>
        <w:rPr>
          <w:noProof/>
        </w:rPr>
        <w:t xml:space="preserve"> third countries or the bodies they have designated</w:t>
      </w:r>
    </w:p>
    <w:p w14:paraId="4507D01D" w14:textId="77777777" w:rsidR="00AF7A86" w:rsidRDefault="00AF7A86" w:rsidP="00AF7A86">
      <w:pPr>
        <w:pStyle w:val="ListDash2"/>
        <w:rPr>
          <w:noProof/>
        </w:rPr>
      </w:pPr>
      <w:r>
        <w:rPr>
          <w:rFonts w:ascii="Wingdings" w:eastAsia="Wingdings" w:hAnsi="Wingdings" w:cs="Wingdings"/>
          <w:noProof/>
        </w:rPr>
        <w:t></w:t>
      </w:r>
      <w:r>
        <w:rPr>
          <w:noProof/>
        </w:rPr>
        <w:t xml:space="preserve"> international organisations and their agencies (to be specified)</w:t>
      </w:r>
    </w:p>
    <w:p w14:paraId="57C7D1F5" w14:textId="77777777" w:rsidR="00AF7A86" w:rsidRDefault="00AF7A86" w:rsidP="00AF7A86">
      <w:pPr>
        <w:pStyle w:val="ListDash2"/>
        <w:rPr>
          <w:noProof/>
        </w:rPr>
      </w:pPr>
      <w:r>
        <w:rPr>
          <w:rFonts w:ascii="Wingdings" w:eastAsia="Wingdings" w:hAnsi="Wingdings" w:cs="Wingdings"/>
          <w:noProof/>
        </w:rPr>
        <w:t></w:t>
      </w:r>
      <w:r>
        <w:rPr>
          <w:noProof/>
        </w:rPr>
        <w:t xml:space="preserve"> the European Investment Bank and the European Investment Fund</w:t>
      </w:r>
    </w:p>
    <w:p w14:paraId="27CE93A6" w14:textId="77777777" w:rsidR="00AF7A86" w:rsidRDefault="00AF7A86" w:rsidP="00AF7A86">
      <w:pPr>
        <w:pStyle w:val="ListDash2"/>
        <w:rPr>
          <w:noProof/>
        </w:rPr>
      </w:pPr>
      <w:r w:rsidRPr="008443CE">
        <w:rPr>
          <w:rFonts w:ascii="Wingdings" w:eastAsia="Wingdings" w:hAnsi="Wingdings" w:cs="Wingdings"/>
          <w:noProof/>
        </w:rPr>
        <w:t></w:t>
      </w:r>
      <w:r w:rsidRPr="008443CE">
        <w:rPr>
          <w:i/>
          <w:noProof/>
        </w:rPr>
        <w:t xml:space="preserve"> </w:t>
      </w:r>
      <w:r>
        <w:rPr>
          <w:noProof/>
        </w:rPr>
        <w:t>bodies referred to in Articles 70 and 71 of the Financial Regulation</w:t>
      </w:r>
    </w:p>
    <w:p w14:paraId="3B031382" w14:textId="77777777" w:rsidR="00AF7A86" w:rsidRDefault="00AF7A86" w:rsidP="00AF7A86">
      <w:pPr>
        <w:pStyle w:val="ListDash2"/>
        <w:rPr>
          <w:noProof/>
        </w:rPr>
      </w:pPr>
      <w:r>
        <w:rPr>
          <w:rFonts w:ascii="Wingdings" w:eastAsia="Wingdings" w:hAnsi="Wingdings" w:cs="Wingdings"/>
          <w:noProof/>
        </w:rPr>
        <w:t></w:t>
      </w:r>
      <w:r>
        <w:rPr>
          <w:noProof/>
        </w:rPr>
        <w:t xml:space="preserve"> public law bodies</w:t>
      </w:r>
    </w:p>
    <w:p w14:paraId="001031A8" w14:textId="77777777" w:rsidR="00AF7A86" w:rsidRDefault="00AF7A86" w:rsidP="00AF7A86">
      <w:pPr>
        <w:pStyle w:val="ListDash2"/>
        <w:rPr>
          <w:noProof/>
        </w:rPr>
      </w:pPr>
      <w:r>
        <w:rPr>
          <w:rFonts w:ascii="Wingdings" w:eastAsia="Wingdings" w:hAnsi="Wingdings" w:cs="Wingdings"/>
          <w:noProof/>
        </w:rPr>
        <w:t></w:t>
      </w:r>
      <w:r>
        <w:rPr>
          <w:noProof/>
        </w:rPr>
        <w:t xml:space="preserve"> bodies governed by private law with a public service mission to the extent that they are provided with adequate financial guarantees</w:t>
      </w:r>
    </w:p>
    <w:p w14:paraId="084D9BD4" w14:textId="77777777" w:rsidR="00AF7A86" w:rsidRDefault="00AF7A86" w:rsidP="00AF7A86">
      <w:pPr>
        <w:pStyle w:val="ListDash2"/>
        <w:rPr>
          <w:noProof/>
        </w:rPr>
      </w:pPr>
      <w:r>
        <w:rPr>
          <w:rFonts w:ascii="Wingdings" w:eastAsia="Wingdings" w:hAnsi="Wingdings" w:cs="Wingdings"/>
          <w:noProof/>
        </w:rPr>
        <w:t></w:t>
      </w:r>
      <w:r>
        <w:rPr>
          <w:noProof/>
        </w:rPr>
        <w:t xml:space="preserve"> bodies governed by the private law of a Member State that are entrusted with the implementation of a public-private partnership and that are provided with adequate financial guarantees</w:t>
      </w:r>
    </w:p>
    <w:p w14:paraId="245FC46C" w14:textId="77777777" w:rsidR="00AF7A86" w:rsidRDefault="00AF7A86" w:rsidP="00AF7A86">
      <w:pPr>
        <w:pStyle w:val="ListDash2"/>
        <w:rPr>
          <w:noProof/>
        </w:rPr>
      </w:pPr>
      <w:r>
        <w:rPr>
          <w:rFonts w:ascii="Wingdings" w:eastAsia="Wingdings" w:hAnsi="Wingdings" w:cs="Wingdings"/>
          <w:noProof/>
        </w:rPr>
        <w:t></w:t>
      </w:r>
      <w:r>
        <w:rPr>
          <w:noProof/>
        </w:rPr>
        <w:t xml:space="preserve"> bodies or persons entrusted with the implementation of specific actions in the common foreign and security policy pursuant to Title V of the Treaty on European Union, and identified in the relevant basic act</w:t>
      </w:r>
    </w:p>
    <w:p w14:paraId="08FF3168" w14:textId="77777777" w:rsidR="00AF7A86" w:rsidRDefault="00AF7A86" w:rsidP="00AF7A86">
      <w:pPr>
        <w:pStyle w:val="ListDash2"/>
        <w:rPr>
          <w:noProof/>
        </w:rPr>
      </w:pPr>
      <w:r>
        <w:rPr>
          <w:rFonts w:ascii="Wingdings" w:eastAsia="Wingdings" w:hAnsi="Wingdings" w:cs="Wingdings"/>
          <w:noProof/>
        </w:rPr>
        <w:t></w:t>
      </w:r>
      <w:r>
        <w:rPr>
          <w:rFonts w:ascii="Wingdings" w:eastAsia="Wingdings" w:hAnsi="Wingdings" w:cs="Wingdings"/>
          <w:noProof/>
        </w:rPr>
        <w:t></w:t>
      </w:r>
      <w:r>
        <w:rPr>
          <w:noProof/>
        </w:rPr>
        <w:t>bodies established in a Member State, governed by the private law of a Member State or Union law and eligible to be entrusted, in accordance with sector-specific rules, with the implementation of Union funds or budgetary guarantees, to the extent that such bodies are controlled by public law bodies or by bodies governed by private law with a public service mission, and are provided with adequate financial guarantees in the form of joint and several liability by the controlling bodies or equivalent financial guarantees and which may be, for each action, limited to the maximum amount of the Union support.</w:t>
      </w:r>
    </w:p>
    <w:p w14:paraId="41171FB3" w14:textId="77777777" w:rsidR="00AF7A86" w:rsidRDefault="00AF7A86" w:rsidP="00AF7A86">
      <w:pPr>
        <w:rPr>
          <w:noProof/>
        </w:rPr>
      </w:pPr>
      <w:r>
        <w:rPr>
          <w:noProof/>
        </w:rPr>
        <w:t xml:space="preserve">Comments </w:t>
      </w:r>
    </w:p>
    <w:p w14:paraId="2F27E35B" w14:textId="77777777" w:rsidR="00AF7A86" w:rsidRPr="00661D29" w:rsidRDefault="00AF7A86" w:rsidP="00AF7A86">
      <w:pPr>
        <w:pBdr>
          <w:top w:val="single" w:sz="4" w:space="1" w:color="auto"/>
          <w:left w:val="single" w:sz="4" w:space="4" w:color="auto"/>
          <w:bottom w:val="single" w:sz="4" w:space="1" w:color="auto"/>
          <w:right w:val="single" w:sz="4" w:space="4" w:color="auto"/>
        </w:pBdr>
        <w:rPr>
          <w:noProof/>
          <w:color w:val="000000" w:themeColor="text1"/>
        </w:rPr>
        <w:sectPr w:rsidR="00AF7A86" w:rsidRPr="00661D29" w:rsidSect="005C1364">
          <w:pgSz w:w="11907" w:h="16840" w:code="9"/>
          <w:pgMar w:top="1134" w:right="1418" w:bottom="1134" w:left="1418" w:header="709" w:footer="709" w:gutter="0"/>
          <w:cols w:space="708"/>
          <w:docGrid w:linePitch="360"/>
        </w:sectPr>
      </w:pPr>
      <w:r w:rsidRPr="0095738B">
        <w:rPr>
          <w:noProof/>
        </w:rPr>
        <w:t>N.A.</w:t>
      </w:r>
    </w:p>
    <w:p w14:paraId="2849DEEB" w14:textId="77777777" w:rsidR="00AF7A86" w:rsidRDefault="00AF7A86" w:rsidP="00AF7A86">
      <w:pPr>
        <w:pStyle w:val="ManualHeading1"/>
        <w:rPr>
          <w:bCs/>
          <w:noProof/>
          <w:szCs w:val="24"/>
        </w:rPr>
      </w:pPr>
      <w:bookmarkStart w:id="104" w:name="_Toc514938041"/>
      <w:bookmarkStart w:id="105" w:name="_Toc520485042"/>
      <w:bookmarkStart w:id="106" w:name="_Toc160804584"/>
      <w:bookmarkStart w:id="107" w:name="_Toc172893695"/>
      <w:r w:rsidRPr="0021790A">
        <w:rPr>
          <w:noProof/>
        </w:rPr>
        <w:t>2.</w:t>
      </w:r>
      <w:r w:rsidRPr="0021790A">
        <w:rPr>
          <w:noProof/>
        </w:rPr>
        <w:tab/>
      </w:r>
      <w:r>
        <w:rPr>
          <w:noProof/>
        </w:rPr>
        <w:t>MANAGEMENT MEASURES</w:t>
      </w:r>
      <w:bookmarkEnd w:id="104"/>
      <w:bookmarkEnd w:id="105"/>
      <w:bookmarkEnd w:id="106"/>
      <w:bookmarkEnd w:id="107"/>
      <w:r>
        <w:rPr>
          <w:noProof/>
        </w:rPr>
        <w:t xml:space="preserve"> </w:t>
      </w:r>
    </w:p>
    <w:p w14:paraId="34F9B470" w14:textId="77777777" w:rsidR="00AF7A86" w:rsidRDefault="00AF7A86" w:rsidP="00AF7A86">
      <w:pPr>
        <w:pStyle w:val="ManualHeading2"/>
        <w:rPr>
          <w:noProof/>
        </w:rPr>
      </w:pPr>
      <w:bookmarkStart w:id="108" w:name="_Toc514938042"/>
      <w:bookmarkStart w:id="109" w:name="_Toc520485043"/>
      <w:bookmarkStart w:id="110" w:name="_Toc160804585"/>
      <w:bookmarkStart w:id="111" w:name="_Toc172893696"/>
      <w:r w:rsidRPr="0021790A">
        <w:rPr>
          <w:noProof/>
        </w:rPr>
        <w:t>2.1.</w:t>
      </w:r>
      <w:r w:rsidRPr="0021790A">
        <w:rPr>
          <w:noProof/>
        </w:rPr>
        <w:tab/>
      </w:r>
      <w:r>
        <w:rPr>
          <w:noProof/>
        </w:rPr>
        <w:t>Monitoring and reporting rules</w:t>
      </w:r>
      <w:bookmarkEnd w:id="108"/>
      <w:bookmarkEnd w:id="109"/>
      <w:bookmarkEnd w:id="110"/>
      <w:bookmarkEnd w:id="111"/>
      <w:r>
        <w:rPr>
          <w:noProof/>
        </w:rPr>
        <w:t xml:space="preserve"> </w:t>
      </w:r>
    </w:p>
    <w:p w14:paraId="6A8C0912" w14:textId="77777777" w:rsidR="00AF7A86" w:rsidRDefault="00AF7A86" w:rsidP="00AF7A86">
      <w:pPr>
        <w:pStyle w:val="Text1"/>
        <w:pBdr>
          <w:top w:val="single" w:sz="4" w:space="1" w:color="auto"/>
          <w:left w:val="single" w:sz="4" w:space="4" w:color="auto"/>
          <w:bottom w:val="single" w:sz="4" w:space="1" w:color="auto"/>
          <w:right w:val="single" w:sz="4" w:space="4" w:color="auto"/>
        </w:pBdr>
        <w:rPr>
          <w:b/>
          <w:bCs/>
          <w:noProof/>
          <w:u w:val="single"/>
        </w:rPr>
      </w:pPr>
      <w:bookmarkStart w:id="112" w:name="_Toc514938045"/>
      <w:bookmarkStart w:id="113" w:name="_Toc520485044"/>
      <w:bookmarkStart w:id="114" w:name="_Toc160804586"/>
      <w:bookmarkStart w:id="115" w:name="_Toc172893697"/>
      <w:r>
        <w:rPr>
          <w:b/>
          <w:bCs/>
          <w:noProof/>
          <w:u w:val="single"/>
        </w:rPr>
        <w:t xml:space="preserve">DG Energy and the JRC </w:t>
      </w:r>
    </w:p>
    <w:p w14:paraId="1944F652"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sidRPr="00421FC5">
        <w:rPr>
          <w:noProof/>
        </w:rPr>
        <w:t>The tasks directly implemented by DG E</w:t>
      </w:r>
      <w:r>
        <w:rPr>
          <w:noProof/>
        </w:rPr>
        <w:t>nergy</w:t>
      </w:r>
      <w:r w:rsidRPr="00421FC5">
        <w:rPr>
          <w:noProof/>
        </w:rPr>
        <w:t xml:space="preserve"> will follow the annual cycle of planning and monitoring, as implemented in the Commission and the executive agencies, including reporting the results through the Annual Activity Report of DG ENER</w:t>
      </w:r>
      <w:r>
        <w:rPr>
          <w:noProof/>
        </w:rPr>
        <w:t xml:space="preserve"> and the Annual Activity Report of the JRC</w:t>
      </w:r>
      <w:r w:rsidRPr="00421FC5">
        <w:rPr>
          <w:noProof/>
        </w:rPr>
        <w:t>.</w:t>
      </w:r>
      <w:r w:rsidRPr="1D62600E">
        <w:rPr>
          <w:noProof/>
        </w:rPr>
        <w:t xml:space="preserve"> </w:t>
      </w:r>
    </w:p>
    <w:p w14:paraId="05AA6828" w14:textId="77777777" w:rsidR="00AF7A86" w:rsidRDefault="00AF7A86" w:rsidP="00AF7A86">
      <w:pPr>
        <w:pStyle w:val="Text1"/>
        <w:pBdr>
          <w:top w:val="single" w:sz="4" w:space="1" w:color="auto"/>
          <w:left w:val="single" w:sz="4" w:space="4" w:color="auto"/>
          <w:bottom w:val="single" w:sz="4" w:space="1" w:color="auto"/>
          <w:right w:val="single" w:sz="4" w:space="4" w:color="auto"/>
        </w:pBdr>
        <w:rPr>
          <w:b/>
          <w:bCs/>
          <w:noProof/>
          <w:u w:val="single"/>
        </w:rPr>
      </w:pPr>
      <w:r>
        <w:rPr>
          <w:b/>
          <w:bCs/>
          <w:noProof/>
          <w:u w:val="single"/>
        </w:rPr>
        <w:t>ACER</w:t>
      </w:r>
    </w:p>
    <w:p w14:paraId="756A7B21"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sidRPr="00D1185C">
        <w:rPr>
          <w:noProof/>
        </w:rPr>
        <w:t xml:space="preserve">According to its financial regulation, ACER has to provide, in the context of its Programming Document, an annual Work Programme including details on resources, both financial and human, per each of the activities carried out. </w:t>
      </w:r>
    </w:p>
    <w:p w14:paraId="11028E76"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sidRPr="00D1185C">
        <w:rPr>
          <w:noProof/>
        </w:rPr>
        <w:t xml:space="preserve">ACER reports monthly to DG </w:t>
      </w:r>
      <w:r>
        <w:rPr>
          <w:noProof/>
        </w:rPr>
        <w:t>Energy</w:t>
      </w:r>
      <w:r w:rsidRPr="00D1185C">
        <w:rPr>
          <w:noProof/>
        </w:rPr>
        <w:t xml:space="preserve"> on budget execution, including commitments, and payments by budget title, and vacancy rates by type of staff. </w:t>
      </w:r>
    </w:p>
    <w:p w14:paraId="2A2006E1"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sidRPr="00D1185C">
        <w:rPr>
          <w:noProof/>
        </w:rPr>
        <w:t xml:space="preserve">In addition, DG </w:t>
      </w:r>
      <w:r>
        <w:rPr>
          <w:noProof/>
        </w:rPr>
        <w:t>Energy</w:t>
      </w:r>
      <w:r w:rsidRPr="00D1185C">
        <w:rPr>
          <w:noProof/>
        </w:rPr>
        <w:t xml:space="preserve"> is directly represented in the governance bodies of ACER. Through its representatives in the Administrative Board, DG E</w:t>
      </w:r>
      <w:r>
        <w:rPr>
          <w:noProof/>
        </w:rPr>
        <w:t>nergy</w:t>
      </w:r>
      <w:r w:rsidRPr="00D1185C">
        <w:rPr>
          <w:noProof/>
        </w:rPr>
        <w:t xml:space="preserve"> will be informed of the use of the budget and the establishment plan at each of its meetings during the year. </w:t>
      </w:r>
    </w:p>
    <w:p w14:paraId="29B4C08E"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rPr>
      </w:pPr>
      <w:r w:rsidRPr="00D1185C">
        <w:rPr>
          <w:noProof/>
        </w:rPr>
        <w:t xml:space="preserve">Finally, also in line with financial rules, ACER is subject to annual requirements for reporting on activities and the use of resources through the Administrative Board and its Annual Activity Report. </w:t>
      </w:r>
    </w:p>
    <w:p w14:paraId="164BC0C2" w14:textId="77777777" w:rsidR="00AF7A86" w:rsidRDefault="00AF7A86" w:rsidP="00AF7A86">
      <w:pPr>
        <w:pStyle w:val="ManualHeading2"/>
        <w:rPr>
          <w:bCs/>
          <w:noProof/>
          <w:szCs w:val="24"/>
        </w:rPr>
      </w:pPr>
      <w:r w:rsidRPr="0021790A">
        <w:rPr>
          <w:noProof/>
        </w:rPr>
        <w:t>2.2.</w:t>
      </w:r>
      <w:r w:rsidRPr="0021790A">
        <w:rPr>
          <w:noProof/>
        </w:rPr>
        <w:tab/>
      </w:r>
      <w:r>
        <w:rPr>
          <w:noProof/>
        </w:rPr>
        <w:t>Management and control system(s)</w:t>
      </w:r>
      <w:bookmarkEnd w:id="112"/>
      <w:bookmarkEnd w:id="113"/>
      <w:bookmarkEnd w:id="114"/>
      <w:bookmarkEnd w:id="115"/>
      <w:r>
        <w:rPr>
          <w:noProof/>
        </w:rPr>
        <w:t xml:space="preserve"> </w:t>
      </w:r>
    </w:p>
    <w:p w14:paraId="732E9CA7" w14:textId="77777777" w:rsidR="00AF7A86" w:rsidRPr="00721674" w:rsidRDefault="00AF7A86" w:rsidP="00AF7A86">
      <w:pPr>
        <w:pStyle w:val="ManualHeading3"/>
        <w:rPr>
          <w:noProof/>
        </w:rPr>
      </w:pPr>
      <w:bookmarkStart w:id="116" w:name="_Toc514938046"/>
      <w:bookmarkStart w:id="117" w:name="_Toc520485045"/>
      <w:bookmarkStart w:id="118" w:name="_Toc160804587"/>
      <w:bookmarkStart w:id="119" w:name="_Toc172893698"/>
      <w:r w:rsidRPr="0021790A">
        <w:rPr>
          <w:noProof/>
        </w:rPr>
        <w:t>2.2.1.</w:t>
      </w:r>
      <w:r w:rsidRPr="0021790A">
        <w:rPr>
          <w:noProof/>
        </w:rPr>
        <w:tab/>
      </w:r>
      <w:r>
        <w:rPr>
          <w:noProof/>
        </w:rPr>
        <w:t>Justification of the budget implementation method(s), the funding implementation mechanism(s), the payment modalities and the control strategy proposed</w:t>
      </w:r>
      <w:bookmarkEnd w:id="116"/>
      <w:bookmarkEnd w:id="117"/>
      <w:bookmarkEnd w:id="118"/>
      <w:bookmarkEnd w:id="119"/>
    </w:p>
    <w:p w14:paraId="5E3CAC20" w14:textId="77777777" w:rsidR="00AF7A86" w:rsidRPr="0095738B" w:rsidRDefault="00AF7A86" w:rsidP="00AF7A86">
      <w:pPr>
        <w:pStyle w:val="Text1"/>
        <w:pBdr>
          <w:top w:val="single" w:sz="4" w:space="1" w:color="auto"/>
          <w:left w:val="single" w:sz="4" w:space="4" w:color="auto"/>
          <w:bottom w:val="single" w:sz="4" w:space="1" w:color="auto"/>
          <w:right w:val="single" w:sz="4" w:space="4" w:color="auto"/>
        </w:pBdr>
        <w:rPr>
          <w:noProof/>
        </w:rPr>
      </w:pPr>
      <w:bookmarkStart w:id="120" w:name="_Toc514938047"/>
      <w:bookmarkStart w:id="121" w:name="_Toc520485046"/>
      <w:bookmarkStart w:id="122" w:name="_Toc160804588"/>
      <w:bookmarkStart w:id="123" w:name="_Toc172893699"/>
      <w:r w:rsidRPr="0095738B">
        <w:rPr>
          <w:noProof/>
        </w:rPr>
        <w:t xml:space="preserve">Requirement 1: </w:t>
      </w:r>
    </w:p>
    <w:p w14:paraId="58A43266" w14:textId="77777777" w:rsidR="00AF7A86" w:rsidRPr="0095738B" w:rsidRDefault="00AF7A86" w:rsidP="00AF7A86">
      <w:pPr>
        <w:pStyle w:val="Text1"/>
        <w:pBdr>
          <w:top w:val="single" w:sz="4" w:space="1" w:color="auto"/>
          <w:left w:val="single" w:sz="4" w:space="4" w:color="auto"/>
          <w:bottom w:val="single" w:sz="4" w:space="1" w:color="auto"/>
          <w:right w:val="single" w:sz="4" w:space="4" w:color="auto"/>
        </w:pBdr>
        <w:rPr>
          <w:noProof/>
        </w:rPr>
      </w:pPr>
      <w:r w:rsidRPr="0095738B">
        <w:rPr>
          <w:noProof/>
        </w:rPr>
        <w:t>The tasks under Requirement will be assigned to the Commis</w:t>
      </w:r>
      <w:r w:rsidR="00F84883">
        <w:rPr>
          <w:noProof/>
        </w:rPr>
        <w:t>s</w:t>
      </w:r>
      <w:r w:rsidRPr="0095738B">
        <w:rPr>
          <w:noProof/>
        </w:rPr>
        <w:t>ion.</w:t>
      </w:r>
    </w:p>
    <w:p w14:paraId="2E2E46AD" w14:textId="77777777" w:rsidR="00AF7A86" w:rsidRPr="0095738B" w:rsidRDefault="00AF7A86" w:rsidP="00AF7A86">
      <w:pPr>
        <w:pStyle w:val="Text1"/>
        <w:pBdr>
          <w:top w:val="single" w:sz="4" w:space="1" w:color="auto"/>
          <w:left w:val="single" w:sz="4" w:space="4" w:color="auto"/>
          <w:bottom w:val="single" w:sz="4" w:space="1" w:color="auto"/>
          <w:right w:val="single" w:sz="4" w:space="4" w:color="auto"/>
        </w:pBdr>
        <w:rPr>
          <w:noProof/>
        </w:rPr>
      </w:pPr>
      <w:r w:rsidRPr="0095738B">
        <w:rPr>
          <w:noProof/>
        </w:rPr>
        <w:t xml:space="preserve">Subject to decision taken during the implementation, these tasks may be carried out internally or outsourced to a service provider, via a public procurement procedure. In the case the tasks are procured from a service provider, the procurement will be implemented under direct management, in full application of the provisions of the Financial Regulation. The control strategy for procurements in DG Energy and the JRC includes specific ex-ante legal, operational and financial controls on the procurement procedure (review by the advisory committee for procurement and contracts) as well as on the signature of contracts. In addition, expenditure made to procure goods and services is subject to ex ante and, when necessary, ex-post and financial controls.  </w:t>
      </w:r>
    </w:p>
    <w:p w14:paraId="405A2999" w14:textId="77777777" w:rsidR="00AF7A86" w:rsidRPr="0095738B" w:rsidRDefault="00AF7A86" w:rsidP="00AF7A86">
      <w:pPr>
        <w:pStyle w:val="Text1"/>
        <w:pBdr>
          <w:top w:val="single" w:sz="4" w:space="1" w:color="auto"/>
          <w:left w:val="single" w:sz="4" w:space="4" w:color="auto"/>
          <w:bottom w:val="single" w:sz="4" w:space="1" w:color="auto"/>
          <w:right w:val="single" w:sz="4" w:space="4" w:color="auto"/>
        </w:pBdr>
        <w:rPr>
          <w:noProof/>
        </w:rPr>
      </w:pPr>
      <w:r w:rsidRPr="0095738B">
        <w:rPr>
          <w:noProof/>
        </w:rPr>
        <w:t>Requirements 2 &amp; 3:</w:t>
      </w:r>
    </w:p>
    <w:p w14:paraId="5DFAA8C0" w14:textId="77777777" w:rsidR="00AF7A86" w:rsidRPr="0095738B" w:rsidRDefault="00AF7A86" w:rsidP="00AF7A86">
      <w:pPr>
        <w:pStyle w:val="Text1"/>
        <w:pBdr>
          <w:top w:val="single" w:sz="4" w:space="1" w:color="auto"/>
          <w:left w:val="single" w:sz="4" w:space="4" w:color="auto"/>
          <w:bottom w:val="single" w:sz="4" w:space="1" w:color="auto"/>
          <w:right w:val="single" w:sz="4" w:space="4" w:color="auto"/>
        </w:pBdr>
        <w:rPr>
          <w:noProof/>
        </w:rPr>
      </w:pPr>
      <w:r w:rsidRPr="0095738B">
        <w:rPr>
          <w:noProof/>
        </w:rPr>
        <w:t xml:space="preserve">Due to its mandate, ACER is best placed to establish expertise related to the implementation of requirements 4 and 3. </w:t>
      </w:r>
    </w:p>
    <w:p w14:paraId="7428A33E" w14:textId="77777777" w:rsidR="00AF7A86" w:rsidRPr="006405AE" w:rsidRDefault="00AF7A86" w:rsidP="00AF7A86">
      <w:pPr>
        <w:pStyle w:val="Text1"/>
        <w:pBdr>
          <w:top w:val="single" w:sz="4" w:space="1" w:color="auto"/>
          <w:left w:val="single" w:sz="4" w:space="4" w:color="auto"/>
          <w:bottom w:val="single" w:sz="4" w:space="1" w:color="auto"/>
          <w:right w:val="single" w:sz="4" w:space="4" w:color="auto"/>
        </w:pBdr>
        <w:rPr>
          <w:rStyle w:val="Marker110000"/>
          <w:noProof/>
          <w:color w:val="000000" w:themeColor="text1"/>
        </w:rPr>
      </w:pPr>
      <w:r w:rsidRPr="0095738B">
        <w:rPr>
          <w:noProof/>
        </w:rPr>
        <w:t>DG Energy established a control strategy for managing its relations with ACER, part of the 2017 Internal Control Framework of the Commission. The Agency revised and adopted its own Internal Control Framework in December 2018.</w:t>
      </w:r>
    </w:p>
    <w:p w14:paraId="560B6507" w14:textId="77777777" w:rsidR="00AF7A86" w:rsidRDefault="00AF7A86" w:rsidP="00AF7A86">
      <w:pPr>
        <w:pStyle w:val="ManualHeading3"/>
        <w:rPr>
          <w:noProof/>
        </w:rPr>
      </w:pPr>
      <w:r w:rsidRPr="0021790A">
        <w:rPr>
          <w:noProof/>
        </w:rPr>
        <w:t>2.2.2.</w:t>
      </w:r>
      <w:r w:rsidRPr="0021790A">
        <w:rPr>
          <w:noProof/>
        </w:rPr>
        <w:tab/>
      </w:r>
      <w:bookmarkEnd w:id="120"/>
      <w:bookmarkEnd w:id="121"/>
      <w:bookmarkEnd w:id="122"/>
      <w:bookmarkEnd w:id="123"/>
      <w:r>
        <w:rPr>
          <w:noProof/>
        </w:rPr>
        <w:t>Information concerning the risks identified and the internal control system(s) set up to mitigate them</w:t>
      </w:r>
    </w:p>
    <w:p w14:paraId="0E2F9FC7" w14:textId="77777777" w:rsidR="00AF7A86" w:rsidRPr="00B62160" w:rsidRDefault="00AF7A86" w:rsidP="00AF7A86">
      <w:pPr>
        <w:pStyle w:val="Text1"/>
        <w:pBdr>
          <w:top w:val="single" w:sz="4" w:space="1" w:color="auto"/>
          <w:left w:val="single" w:sz="4" w:space="4" w:color="auto"/>
          <w:bottom w:val="single" w:sz="4" w:space="1" w:color="auto"/>
          <w:right w:val="single" w:sz="4" w:space="4" w:color="auto"/>
        </w:pBdr>
        <w:rPr>
          <w:b/>
          <w:bCs/>
          <w:noProof/>
          <w:color w:val="000000" w:themeColor="text1"/>
          <w:u w:val="single"/>
        </w:rPr>
      </w:pPr>
      <w:r>
        <w:rPr>
          <w:b/>
          <w:bCs/>
          <w:noProof/>
          <w:color w:val="000000" w:themeColor="text1"/>
          <w:u w:val="single"/>
        </w:rPr>
        <w:t>DG Energy</w:t>
      </w:r>
    </w:p>
    <w:p w14:paraId="54114DCA"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color w:val="000000" w:themeColor="text1"/>
        </w:rPr>
      </w:pPr>
      <w:r w:rsidRPr="1D62600E">
        <w:rPr>
          <w:noProof/>
          <w:color w:val="000000" w:themeColor="text1"/>
        </w:rPr>
        <w:t xml:space="preserve">The elements directly managed by DG </w:t>
      </w:r>
      <w:r>
        <w:rPr>
          <w:noProof/>
          <w:color w:val="000000" w:themeColor="text1"/>
        </w:rPr>
        <w:t xml:space="preserve">Energy </w:t>
      </w:r>
      <w:r w:rsidRPr="1D62600E">
        <w:rPr>
          <w:noProof/>
          <w:color w:val="000000" w:themeColor="text1"/>
        </w:rPr>
        <w:t>may be subject to the usual risks affecting public procurement procedures. These risks are considered low level as regards legality and regularity of the expenditure</w:t>
      </w:r>
      <w:r w:rsidRPr="0DFB4C8D">
        <w:rPr>
          <w:noProof/>
          <w:color w:val="000000" w:themeColor="text1"/>
        </w:rPr>
        <w:t>. Appropriate and effective controls</w:t>
      </w:r>
      <w:r w:rsidRPr="54BEFC80">
        <w:rPr>
          <w:noProof/>
          <w:color w:val="000000" w:themeColor="text1"/>
        </w:rPr>
        <w:t xml:space="preserve"> </w:t>
      </w:r>
      <w:r w:rsidRPr="6216A6A7">
        <w:rPr>
          <w:noProof/>
          <w:color w:val="000000" w:themeColor="text1"/>
        </w:rPr>
        <w:t xml:space="preserve">are in </w:t>
      </w:r>
      <w:r w:rsidRPr="60575969">
        <w:rPr>
          <w:noProof/>
          <w:color w:val="000000" w:themeColor="text1"/>
        </w:rPr>
        <w:t>place</w:t>
      </w:r>
      <w:r w:rsidRPr="6216A6A7">
        <w:rPr>
          <w:noProof/>
          <w:color w:val="000000" w:themeColor="text1"/>
        </w:rPr>
        <w:t xml:space="preserve"> </w:t>
      </w:r>
      <w:r w:rsidRPr="54BEFC80">
        <w:rPr>
          <w:noProof/>
          <w:color w:val="000000" w:themeColor="text1"/>
        </w:rPr>
        <w:t xml:space="preserve">at </w:t>
      </w:r>
      <w:r w:rsidRPr="60575969">
        <w:rPr>
          <w:noProof/>
          <w:color w:val="000000" w:themeColor="text1"/>
        </w:rPr>
        <w:t>corporate</w:t>
      </w:r>
      <w:r w:rsidRPr="1D62600E">
        <w:rPr>
          <w:noProof/>
          <w:color w:val="000000" w:themeColor="text1"/>
        </w:rPr>
        <w:t xml:space="preserve"> and </w:t>
      </w:r>
      <w:r w:rsidRPr="54BEFC80">
        <w:rPr>
          <w:noProof/>
          <w:color w:val="000000" w:themeColor="text1"/>
        </w:rPr>
        <w:t>DG level</w:t>
      </w:r>
      <w:r w:rsidRPr="6F4A5EF9">
        <w:rPr>
          <w:noProof/>
          <w:color w:val="000000" w:themeColor="text1"/>
        </w:rPr>
        <w:t xml:space="preserve">. </w:t>
      </w:r>
    </w:p>
    <w:p w14:paraId="36E21693"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color w:val="000000" w:themeColor="text1"/>
        </w:rPr>
      </w:pPr>
      <w:r w:rsidRPr="0AA13595">
        <w:rPr>
          <w:noProof/>
          <w:color w:val="000000" w:themeColor="text1"/>
        </w:rPr>
        <w:t>Concerning performance, the main</w:t>
      </w:r>
      <w:r w:rsidRPr="00D758B0">
        <w:rPr>
          <w:noProof/>
          <w:color w:val="000000" w:themeColor="text1"/>
        </w:rPr>
        <w:t xml:space="preserve"> risk are wrong estimates as regards the workload created by this proposal, given that it introduces new tasks. This risk needs to be accepted, since, as experience has shown, if additional resources needs are not included in the initial proposal, it is very difficult to remedy this situation later on</w:t>
      </w:r>
      <w:r>
        <w:rPr>
          <w:noProof/>
          <w:color w:val="000000" w:themeColor="text1"/>
        </w:rPr>
        <w:t>.</w:t>
      </w:r>
    </w:p>
    <w:p w14:paraId="1A88D73A" w14:textId="77777777" w:rsidR="00AF7A86" w:rsidRDefault="00AF7A86" w:rsidP="00AF7A86">
      <w:pPr>
        <w:pStyle w:val="Text1"/>
        <w:pBdr>
          <w:top w:val="single" w:sz="4" w:space="1" w:color="auto"/>
          <w:left w:val="single" w:sz="4" w:space="4" w:color="auto"/>
          <w:bottom w:val="single" w:sz="4" w:space="1" w:color="auto"/>
          <w:right w:val="single" w:sz="4" w:space="4" w:color="auto"/>
        </w:pBdr>
        <w:rPr>
          <w:b/>
          <w:bCs/>
          <w:noProof/>
          <w:u w:val="single"/>
        </w:rPr>
      </w:pPr>
      <w:r w:rsidRPr="00CA154A">
        <w:rPr>
          <w:b/>
          <w:bCs/>
          <w:noProof/>
          <w:u w:val="single"/>
        </w:rPr>
        <w:t>DG JRC</w:t>
      </w:r>
    </w:p>
    <w:p w14:paraId="0EB58D09"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color w:val="000000" w:themeColor="text1"/>
        </w:rPr>
      </w:pPr>
      <w:r w:rsidRPr="17C91780">
        <w:rPr>
          <w:noProof/>
          <w:color w:val="000000" w:themeColor="text1"/>
        </w:rPr>
        <w:t>As part of the risk assessment process for its scientific activities, the JRC identifies potential risks, evaluates their level and plans necessary mitigating actions and identifies existing controls. The key risk identified refers to a) the estimation of the related workload for the new tasks associated to this proposal (the workload for some of the tasks might be underestimated); b) insufficient quantity or quality of the data to support the various new tasks. For a) the risk needs to be accepted; mitigation measures include careful staff planning throughout the duration of the activities to ensure appropriate expertise. For b) the actions include an early participation in designing and framing the data collection processes, as well as</w:t>
      </w:r>
      <w:r>
        <w:rPr>
          <w:noProof/>
          <w:color w:val="000000" w:themeColor="text1"/>
        </w:rPr>
        <w:t xml:space="preserve"> </w:t>
      </w:r>
      <w:r w:rsidRPr="34511B8D">
        <w:rPr>
          <w:noProof/>
          <w:color w:val="000000" w:themeColor="text1"/>
        </w:rPr>
        <w:t xml:space="preserve">early identification, within each task requiring data intense activities, of the potential barriers to get access to the data of interest and early communication with DG ENER and relevant stakeholders to raise the issue of data availability. </w:t>
      </w:r>
    </w:p>
    <w:p w14:paraId="65F05840" w14:textId="77777777" w:rsidR="00AF7A86" w:rsidRPr="00B62160" w:rsidRDefault="00AF7A86" w:rsidP="00AF7A86">
      <w:pPr>
        <w:pStyle w:val="Text1"/>
        <w:pBdr>
          <w:top w:val="single" w:sz="4" w:space="1" w:color="auto"/>
          <w:left w:val="single" w:sz="4" w:space="4" w:color="auto"/>
          <w:bottom w:val="single" w:sz="4" w:space="1" w:color="auto"/>
          <w:right w:val="single" w:sz="4" w:space="4" w:color="auto"/>
        </w:pBdr>
        <w:rPr>
          <w:b/>
          <w:bCs/>
          <w:noProof/>
          <w:color w:val="008000"/>
          <w:u w:val="single"/>
        </w:rPr>
      </w:pPr>
      <w:r>
        <w:rPr>
          <w:b/>
          <w:bCs/>
          <w:noProof/>
          <w:color w:val="000000" w:themeColor="text1"/>
          <w:u w:val="single"/>
        </w:rPr>
        <w:t xml:space="preserve">ACER </w:t>
      </w:r>
    </w:p>
    <w:p w14:paraId="5076821D" w14:textId="77777777" w:rsidR="00AF7A86" w:rsidRDefault="00AF7A86" w:rsidP="00AF7A86">
      <w:pPr>
        <w:pStyle w:val="Text1"/>
        <w:pBdr>
          <w:top w:val="single" w:sz="4" w:space="1" w:color="auto"/>
          <w:left w:val="single" w:sz="4" w:space="4" w:color="auto"/>
          <w:bottom w:val="single" w:sz="4" w:space="1" w:color="auto"/>
          <w:right w:val="single" w:sz="4" w:space="4" w:color="auto"/>
        </w:pBdr>
        <w:rPr>
          <w:noProof/>
          <w:color w:val="000000" w:themeColor="text1"/>
        </w:rPr>
      </w:pPr>
      <w:r>
        <w:rPr>
          <w:noProof/>
          <w:color w:val="000000" w:themeColor="text1"/>
        </w:rPr>
        <w:t xml:space="preserve">As regards new tasks for ACER, </w:t>
      </w:r>
      <w:r w:rsidRPr="00D758B0">
        <w:rPr>
          <w:noProof/>
          <w:color w:val="000000" w:themeColor="text1"/>
        </w:rPr>
        <w:t xml:space="preserve">the proposal includes several new tasks </w:t>
      </w:r>
      <w:r>
        <w:rPr>
          <w:noProof/>
          <w:color w:val="000000" w:themeColor="text1"/>
        </w:rPr>
        <w:t xml:space="preserve">which </w:t>
      </w:r>
      <w:r w:rsidRPr="00D758B0">
        <w:rPr>
          <w:noProof/>
          <w:color w:val="000000" w:themeColor="text1"/>
        </w:rPr>
        <w:t>mitigates this risk, since while the workload of some future tasks may be underestimated, others may be overestimated, providing scope for possible future redeployment.</w:t>
      </w:r>
    </w:p>
    <w:p w14:paraId="6D6A7DD4" w14:textId="77777777" w:rsidR="00AF7A86" w:rsidRDefault="00AF7A86" w:rsidP="00AF7A86">
      <w:pPr>
        <w:pStyle w:val="ManualHeading3"/>
        <w:rPr>
          <w:noProof/>
        </w:rPr>
      </w:pPr>
      <w:bookmarkStart w:id="124" w:name="_Toc514938048"/>
      <w:bookmarkStart w:id="125" w:name="_Toc520485047"/>
      <w:bookmarkStart w:id="126" w:name="_Toc160804589"/>
      <w:bookmarkStart w:id="127" w:name="_Toc167220281"/>
      <w:bookmarkStart w:id="128" w:name="_Toc177549014"/>
      <w:r w:rsidRPr="0021790A">
        <w:rPr>
          <w:noProof/>
        </w:rPr>
        <w:t>2.2.3.</w:t>
      </w:r>
      <w:r w:rsidRPr="0021790A">
        <w:rPr>
          <w:noProof/>
        </w:rPr>
        <w:tab/>
      </w:r>
      <w:r>
        <w:rPr>
          <w:noProof/>
        </w:rPr>
        <w:t>Estimation and justification of the cost-effectiveness of the controls (ratio between the control costs  and the value of the related funds managed), and assessment of the expected levels of risk of error (at payment &amp; at closure)</w:t>
      </w:r>
      <w:bookmarkEnd w:id="124"/>
      <w:bookmarkEnd w:id="125"/>
      <w:bookmarkEnd w:id="126"/>
      <w:bookmarkEnd w:id="127"/>
      <w:bookmarkEnd w:id="128"/>
      <w:r>
        <w:rPr>
          <w:noProof/>
        </w:rPr>
        <w:t xml:space="preserve"> </w:t>
      </w:r>
    </w:p>
    <w:p w14:paraId="296A326A" w14:textId="77777777" w:rsidR="00AF7A86" w:rsidRPr="0095738B" w:rsidRDefault="00AF7A86" w:rsidP="00AF7A86">
      <w:pPr>
        <w:pStyle w:val="Text1"/>
        <w:pBdr>
          <w:top w:val="single" w:sz="4" w:space="1" w:color="auto"/>
          <w:left w:val="single" w:sz="4" w:space="4" w:color="auto"/>
          <w:bottom w:val="single" w:sz="4" w:space="1" w:color="auto"/>
          <w:right w:val="single" w:sz="4" w:space="4" w:color="auto"/>
        </w:pBdr>
        <w:rPr>
          <w:noProof/>
        </w:rPr>
      </w:pPr>
      <w:r w:rsidRPr="0095738B">
        <w:rPr>
          <w:noProof/>
        </w:rPr>
        <w:t>DG Energy</w:t>
      </w:r>
    </w:p>
    <w:p w14:paraId="6A1CE4D9" w14:textId="77777777" w:rsidR="00AF7A86" w:rsidRPr="0095738B" w:rsidRDefault="00AF7A86" w:rsidP="00AF7A86">
      <w:pPr>
        <w:pStyle w:val="Text1"/>
        <w:pBdr>
          <w:top w:val="single" w:sz="4" w:space="1" w:color="auto"/>
          <w:left w:val="single" w:sz="4" w:space="4" w:color="auto"/>
          <w:bottom w:val="single" w:sz="4" w:space="1" w:color="auto"/>
          <w:right w:val="single" w:sz="4" w:space="4" w:color="auto"/>
        </w:pBdr>
        <w:rPr>
          <w:noProof/>
        </w:rPr>
      </w:pPr>
      <w:r w:rsidRPr="0095738B">
        <w:rPr>
          <w:noProof/>
        </w:rPr>
        <w:t xml:space="preserve">The tasks assigned for DG Energy will be implemented following already existing control system and the cost of control ratio is expected to remain stable (5 to 6% of the funds managed based on recent exercises). </w:t>
      </w:r>
    </w:p>
    <w:p w14:paraId="71843896" w14:textId="77777777" w:rsidR="00AF7A86" w:rsidRPr="0095738B" w:rsidRDefault="00AF7A86" w:rsidP="00AF7A86">
      <w:pPr>
        <w:pStyle w:val="Text1"/>
        <w:pBdr>
          <w:top w:val="single" w:sz="4" w:space="1" w:color="auto"/>
          <w:left w:val="single" w:sz="4" w:space="4" w:color="auto"/>
          <w:bottom w:val="single" w:sz="4" w:space="1" w:color="auto"/>
          <w:right w:val="single" w:sz="4" w:space="4" w:color="auto"/>
        </w:pBdr>
        <w:rPr>
          <w:noProof/>
        </w:rPr>
      </w:pPr>
      <w:r w:rsidRPr="0095738B">
        <w:rPr>
          <w:noProof/>
        </w:rPr>
        <w:t xml:space="preserve">ACER </w:t>
      </w:r>
    </w:p>
    <w:p w14:paraId="787BD7F0" w14:textId="77777777" w:rsidR="00AF7A86" w:rsidRPr="00D758B0" w:rsidRDefault="00AF7A86" w:rsidP="00AF7A86">
      <w:pPr>
        <w:pStyle w:val="Text1"/>
        <w:pBdr>
          <w:top w:val="single" w:sz="4" w:space="1" w:color="auto"/>
          <w:left w:val="single" w:sz="4" w:space="4" w:color="auto"/>
          <w:bottom w:val="single" w:sz="4" w:space="1" w:color="auto"/>
          <w:right w:val="single" w:sz="4" w:space="4" w:color="auto"/>
        </w:pBdr>
        <w:rPr>
          <w:rStyle w:val="Marker110000"/>
          <w:noProof/>
          <w:color w:val="000000" w:themeColor="text1"/>
        </w:rPr>
      </w:pPr>
      <w:r w:rsidRPr="0095738B">
        <w:rPr>
          <w:noProof/>
        </w:rPr>
        <w:t>The allocation of additional tasks for the existing mandate of ACER is not expected to generate specific additional controls at Agency level, therefore, the ratio of control costs over value of funds managed will remain unaltered for ACER.</w:t>
      </w:r>
    </w:p>
    <w:p w14:paraId="4217FF5C" w14:textId="77777777" w:rsidR="00AF7A86" w:rsidRDefault="00AF7A86" w:rsidP="00AF7A86">
      <w:pPr>
        <w:pStyle w:val="ManualHeading2"/>
        <w:rPr>
          <w:bCs/>
          <w:noProof/>
          <w:szCs w:val="24"/>
        </w:rPr>
      </w:pPr>
      <w:bookmarkStart w:id="129" w:name="_Toc514938049"/>
      <w:bookmarkStart w:id="130" w:name="_Toc520485048"/>
      <w:bookmarkStart w:id="131" w:name="_Toc160804590"/>
      <w:bookmarkStart w:id="132" w:name="_Toc167220282"/>
      <w:bookmarkStart w:id="133" w:name="_Toc177549015"/>
      <w:r w:rsidRPr="0021790A">
        <w:rPr>
          <w:noProof/>
        </w:rPr>
        <w:t>2.3.</w:t>
      </w:r>
      <w:r w:rsidRPr="0021790A">
        <w:rPr>
          <w:noProof/>
        </w:rPr>
        <w:tab/>
      </w:r>
      <w:r>
        <w:rPr>
          <w:noProof/>
        </w:rPr>
        <w:t>Measures to prevent fraud and irregularities</w:t>
      </w:r>
      <w:bookmarkEnd w:id="129"/>
      <w:bookmarkEnd w:id="130"/>
      <w:bookmarkEnd w:id="131"/>
      <w:bookmarkEnd w:id="132"/>
      <w:bookmarkEnd w:id="133"/>
      <w:r>
        <w:rPr>
          <w:noProof/>
        </w:rPr>
        <w:t xml:space="preserve"> </w:t>
      </w:r>
    </w:p>
    <w:p w14:paraId="2DAC38ED" w14:textId="77777777" w:rsidR="00AF7A86" w:rsidRDefault="00AF7A86" w:rsidP="00AF7A86">
      <w:pPr>
        <w:pStyle w:val="Text1"/>
        <w:pBdr>
          <w:top w:val="single" w:sz="4" w:space="1" w:color="auto"/>
          <w:left w:val="single" w:sz="4" w:space="4" w:color="auto"/>
          <w:bottom w:val="single" w:sz="4" w:space="1" w:color="auto"/>
          <w:right w:val="single" w:sz="4" w:space="4" w:color="auto"/>
        </w:pBdr>
        <w:rPr>
          <w:b/>
          <w:noProof/>
          <w:u w:val="single"/>
        </w:rPr>
      </w:pPr>
      <w:r>
        <w:rPr>
          <w:b/>
          <w:noProof/>
          <w:u w:val="single"/>
        </w:rPr>
        <w:t>DG Energy</w:t>
      </w:r>
    </w:p>
    <w:p w14:paraId="4310A108" w14:textId="77777777" w:rsidR="00AF7A86" w:rsidRPr="0095738B" w:rsidRDefault="00AF7A86" w:rsidP="00AF7A86">
      <w:pPr>
        <w:pStyle w:val="Text1"/>
        <w:pBdr>
          <w:top w:val="single" w:sz="4" w:space="1" w:color="auto"/>
          <w:left w:val="single" w:sz="4" w:space="4" w:color="auto"/>
          <w:bottom w:val="single" w:sz="4" w:space="1" w:color="auto"/>
          <w:right w:val="single" w:sz="4" w:space="4" w:color="auto"/>
        </w:pBdr>
        <w:rPr>
          <w:noProof/>
        </w:rPr>
      </w:pPr>
      <w:r w:rsidRPr="00630AB7">
        <w:rPr>
          <w:noProof/>
        </w:rPr>
        <w:t xml:space="preserve">DG Energy adopted a revised Anti-fraud Strategy in 2020 and, in 2023, a revised action plan covering the years 2023-2025. DG Energy is </w:t>
      </w:r>
      <w:r w:rsidRPr="00716640">
        <w:rPr>
          <w:noProof/>
          <w:color w:val="000000" w:themeColor="text1"/>
        </w:rPr>
        <w:t xml:space="preserve">is currently </w:t>
      </w:r>
      <w:r w:rsidRPr="0095738B">
        <w:rPr>
          <w:noProof/>
        </w:rPr>
        <w:t>revising its AFS for the years 2026-2028, in accordance with the OLAF methodology. The Energy AFS  are based on the Commission Antifraud Strategy and on a specific risk assessment carried out internally to identify the areas most vulnerable to fraud, the controls already in place and the actions necessary to improve DG Energy’s capacity to prevent, detect and correct fraud.</w:t>
      </w:r>
    </w:p>
    <w:p w14:paraId="6FFE8DF0" w14:textId="77777777" w:rsidR="00AF7A86" w:rsidRDefault="00AF7A86" w:rsidP="00AF7A86">
      <w:pPr>
        <w:pStyle w:val="Text1"/>
        <w:pBdr>
          <w:top w:val="single" w:sz="4" w:space="1" w:color="auto"/>
          <w:left w:val="single" w:sz="4" w:space="4" w:color="auto"/>
          <w:bottom w:val="single" w:sz="4" w:space="1" w:color="auto"/>
          <w:right w:val="single" w:sz="4" w:space="4" w:color="auto"/>
        </w:pBdr>
        <w:rPr>
          <w:b/>
          <w:bCs/>
          <w:noProof/>
          <w:u w:val="single"/>
        </w:rPr>
      </w:pPr>
      <w:r w:rsidRPr="0053304A">
        <w:rPr>
          <w:b/>
          <w:bCs/>
          <w:noProof/>
          <w:u w:val="single"/>
        </w:rPr>
        <w:t>DG JRC</w:t>
      </w:r>
    </w:p>
    <w:p w14:paraId="13982ED2" w14:textId="77777777" w:rsidR="00AF7A86" w:rsidRPr="0053304A" w:rsidRDefault="00AF7A86" w:rsidP="00AF7A86">
      <w:pPr>
        <w:pStyle w:val="Text1"/>
        <w:pBdr>
          <w:top w:val="single" w:sz="4" w:space="1" w:color="auto"/>
          <w:left w:val="single" w:sz="4" w:space="4" w:color="auto"/>
          <w:bottom w:val="single" w:sz="4" w:space="1" w:color="auto"/>
          <w:right w:val="single" w:sz="4" w:space="4" w:color="auto"/>
        </w:pBdr>
        <w:rPr>
          <w:b/>
          <w:bCs/>
          <w:noProof/>
          <w:u w:val="single"/>
        </w:rPr>
      </w:pPr>
      <w:r w:rsidRPr="0095738B">
        <w:rPr>
          <w:noProof/>
        </w:rPr>
        <w:t xml:space="preserve">The JRC Anti-Fraud Strategy, along with its accompanying Action Plan, was adopted in 2020 and modified in 2024 to revise and update the plan for the period 2025-2027. The updated plan includes three new actions: an awareness-raising campaign focusing on Commission ethics issues and anti-fraud measures, with relevant examples tailored for JRC scientific staff, launched in the first half of 2025; an expanded training programme featuring thematic sessions on topics such as conflict of interest, authorship, the use of AI, whistleblowing and reporting channels, among others; updated Sharepoint pages dedicated to ethics issues and anti-fraud measures. These new actions complement the ongoing efforts from the 2021-2024 Action Plan and JRC participation in the Commission Antifraud Strategy Action Plan. The JRC values its cooperation with OLAF, the internal control team, and other stakeholders in our collective efforts to combat fraud. </w:t>
      </w:r>
    </w:p>
    <w:p w14:paraId="5048E0DD" w14:textId="77777777" w:rsidR="00AF7A86" w:rsidRDefault="00AF7A86" w:rsidP="00AF7A86">
      <w:pPr>
        <w:pStyle w:val="Text1"/>
        <w:pBdr>
          <w:top w:val="single" w:sz="4" w:space="1" w:color="auto"/>
          <w:left w:val="single" w:sz="4" w:space="4" w:color="auto"/>
          <w:bottom w:val="single" w:sz="4" w:space="1" w:color="auto"/>
          <w:right w:val="single" w:sz="4" w:space="4" w:color="auto"/>
        </w:pBdr>
        <w:rPr>
          <w:b/>
          <w:noProof/>
          <w:u w:val="single"/>
        </w:rPr>
      </w:pPr>
      <w:r>
        <w:rPr>
          <w:b/>
          <w:noProof/>
          <w:u w:val="single"/>
        </w:rPr>
        <w:t xml:space="preserve">ACER </w:t>
      </w:r>
    </w:p>
    <w:p w14:paraId="16E76F6E" w14:textId="77777777" w:rsidR="00AF7A86" w:rsidRPr="007050B8" w:rsidRDefault="00AF7A86" w:rsidP="00AF7A86">
      <w:pPr>
        <w:pStyle w:val="Text1"/>
        <w:pBdr>
          <w:top w:val="single" w:sz="4" w:space="1" w:color="auto"/>
          <w:left w:val="single" w:sz="4" w:space="4" w:color="auto"/>
          <w:bottom w:val="single" w:sz="4" w:space="1" w:color="auto"/>
          <w:right w:val="single" w:sz="4" w:space="4" w:color="auto"/>
        </w:pBdr>
        <w:rPr>
          <w:b/>
          <w:bCs/>
          <w:noProof/>
          <w:color w:val="000000" w:themeColor="text1"/>
          <w:u w:val="single"/>
        </w:rPr>
      </w:pPr>
      <w:r w:rsidRPr="0095738B">
        <w:rPr>
          <w:noProof/>
        </w:rPr>
        <w:t>ACER applies the anti-fraud principles of decentralised EU Agencies, in line with the Commission approach and the Guidelines by OLAF of 2024 for decentralised agencies and JUs. In December 2024 the Agency adopted a new Anti-Fraud Strategy, repealing Decision 15/2021 of the Administrative Board of the Agency. The new strategy, spanning the period 2025-2027, is based on the following strategic objectives: optimise existing fraud prevention measures, enhance timeliness and accuracy of existing detection systems, strengthen investigation protocols, and optimise corrective actions for swift recoveries.</w:t>
      </w:r>
    </w:p>
    <w:p w14:paraId="47AA8D14" w14:textId="77777777" w:rsidR="00AF7A86" w:rsidRPr="00830DE7" w:rsidRDefault="00AF7A86" w:rsidP="00AF7A86">
      <w:pPr>
        <w:pStyle w:val="Text1"/>
        <w:ind w:left="0"/>
        <w:rPr>
          <w:noProof/>
        </w:rPr>
        <w:sectPr w:rsidR="00AF7A86" w:rsidRPr="00830DE7" w:rsidSect="005C1364">
          <w:pgSz w:w="11907" w:h="16840" w:code="9"/>
          <w:pgMar w:top="1134" w:right="1418" w:bottom="1134" w:left="1418" w:header="709" w:footer="709" w:gutter="0"/>
          <w:cols w:space="708"/>
          <w:docGrid w:linePitch="360"/>
        </w:sectPr>
      </w:pPr>
    </w:p>
    <w:p w14:paraId="74F301FE" w14:textId="77777777" w:rsidR="00AF7A86" w:rsidRDefault="00AF7A86" w:rsidP="00AF7A86">
      <w:pPr>
        <w:pStyle w:val="ManualHeading1"/>
        <w:rPr>
          <w:bCs/>
          <w:noProof/>
          <w:szCs w:val="24"/>
        </w:rPr>
      </w:pPr>
      <w:bookmarkStart w:id="134" w:name="_Toc514938050"/>
      <w:bookmarkStart w:id="135" w:name="_Toc520485049"/>
      <w:bookmarkStart w:id="136" w:name="_Toc160804591"/>
      <w:bookmarkStart w:id="137" w:name="_Toc172893702"/>
      <w:r w:rsidRPr="0021790A">
        <w:rPr>
          <w:noProof/>
        </w:rPr>
        <w:t>3.</w:t>
      </w:r>
      <w:r w:rsidRPr="0021790A">
        <w:rPr>
          <w:noProof/>
        </w:rPr>
        <w:tab/>
      </w:r>
      <w:r>
        <w:rPr>
          <w:noProof/>
        </w:rPr>
        <w:t>ESTIMATED FINANCIAL IMPACT OF THE PROPOSAL/INITIATIVE</w:t>
      </w:r>
      <w:bookmarkEnd w:id="134"/>
      <w:bookmarkEnd w:id="135"/>
      <w:bookmarkEnd w:id="136"/>
      <w:bookmarkEnd w:id="137"/>
      <w:r>
        <w:rPr>
          <w:noProof/>
        </w:rPr>
        <w:t xml:space="preserve"> </w:t>
      </w:r>
      <w:r>
        <w:rPr>
          <w:rStyle w:val="FootnoteReference"/>
          <w:noProof/>
        </w:rPr>
        <w:footnoteReference w:id="72"/>
      </w:r>
    </w:p>
    <w:p w14:paraId="29A0634A" w14:textId="77777777" w:rsidR="00AF7A86" w:rsidRDefault="00AF7A86" w:rsidP="00AF7A86">
      <w:pPr>
        <w:pStyle w:val="ManualHeading2"/>
        <w:rPr>
          <w:noProof/>
        </w:rPr>
      </w:pPr>
      <w:bookmarkStart w:id="138" w:name="_Toc514938051"/>
      <w:bookmarkStart w:id="139" w:name="_Toc520485050"/>
      <w:bookmarkStart w:id="140" w:name="_Toc160804592"/>
      <w:bookmarkStart w:id="141" w:name="_Toc172893703"/>
      <w:r w:rsidRPr="0021790A">
        <w:rPr>
          <w:noProof/>
        </w:rPr>
        <w:t>3.1.</w:t>
      </w:r>
      <w:r w:rsidRPr="0021790A">
        <w:rPr>
          <w:noProof/>
        </w:rPr>
        <w:tab/>
      </w:r>
      <w:r>
        <w:rPr>
          <w:noProof/>
        </w:rPr>
        <w:t>Heading(s) of the multiannual financial framework and expenditure budget line(s) affected</w:t>
      </w:r>
      <w:bookmarkEnd w:id="138"/>
      <w:bookmarkEnd w:id="139"/>
      <w:bookmarkEnd w:id="140"/>
      <w:bookmarkEnd w:id="141"/>
      <w:r>
        <w:rPr>
          <w:noProof/>
        </w:rPr>
        <w:t xml:space="preserve"> </w:t>
      </w:r>
    </w:p>
    <w:p w14:paraId="090DC4A9" w14:textId="77777777" w:rsidR="00AF7A86" w:rsidRDefault="00AF7A86" w:rsidP="00AF7A86">
      <w:pPr>
        <w:pStyle w:val="ListBullet1"/>
        <w:rPr>
          <w:noProof/>
        </w:rPr>
      </w:pPr>
      <w:r>
        <w:rPr>
          <w:noProof/>
        </w:rPr>
        <w:t xml:space="preserve">Existing budget lines </w:t>
      </w:r>
    </w:p>
    <w:p w14:paraId="703E3267" w14:textId="77777777" w:rsidR="00AF7A86" w:rsidRDefault="00AF7A86" w:rsidP="00AF7A86">
      <w:pPr>
        <w:pStyle w:val="Text1"/>
        <w:rPr>
          <w:i/>
          <w:noProof/>
        </w:rPr>
      </w:pPr>
      <w:r w:rsidRPr="009B753E">
        <w:rPr>
          <w:i/>
          <w:noProof/>
          <w:u w:val="single"/>
        </w:rPr>
        <w:t>In order</w:t>
      </w:r>
      <w:r w:rsidRPr="009B753E">
        <w:rPr>
          <w:i/>
          <w:noProof/>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AF7A86" w14:paraId="2AEF183C" w14:textId="77777777">
        <w:trPr>
          <w:jc w:val="center"/>
        </w:trPr>
        <w:tc>
          <w:tcPr>
            <w:tcW w:w="1092" w:type="dxa"/>
            <w:vMerge w:val="restart"/>
            <w:vAlign w:val="center"/>
          </w:tcPr>
          <w:p w14:paraId="1D207D4D" w14:textId="77777777" w:rsidR="00AF7A86" w:rsidRPr="003A769F" w:rsidRDefault="00AF7A86">
            <w:pPr>
              <w:spacing w:before="60" w:after="60"/>
              <w:jc w:val="center"/>
              <w:rPr>
                <w:noProof/>
                <w:lang w:val="en-IE"/>
              </w:rPr>
            </w:pPr>
            <w:r w:rsidRPr="003A769F">
              <w:rPr>
                <w:noProof/>
                <w:sz w:val="18"/>
                <w:lang w:val="en-IE"/>
              </w:rPr>
              <w:t>Heading of multiannual financial framework</w:t>
            </w:r>
          </w:p>
        </w:tc>
        <w:tc>
          <w:tcPr>
            <w:tcW w:w="4002" w:type="dxa"/>
            <w:vAlign w:val="center"/>
          </w:tcPr>
          <w:p w14:paraId="0273AB66" w14:textId="77777777" w:rsidR="00AF7A86" w:rsidRDefault="00AF7A86">
            <w:pPr>
              <w:spacing w:before="60" w:after="60"/>
              <w:jc w:val="center"/>
              <w:rPr>
                <w:noProof/>
              </w:rPr>
            </w:pPr>
            <w:r>
              <w:rPr>
                <w:noProof/>
                <w:sz w:val="20"/>
              </w:rPr>
              <w:t>Budget line</w:t>
            </w:r>
          </w:p>
        </w:tc>
        <w:tc>
          <w:tcPr>
            <w:tcW w:w="1092" w:type="dxa"/>
            <w:vAlign w:val="center"/>
          </w:tcPr>
          <w:p w14:paraId="2A8312EA" w14:textId="77777777" w:rsidR="00AF7A86" w:rsidRDefault="00AF7A86">
            <w:pPr>
              <w:spacing w:before="60" w:after="60"/>
              <w:jc w:val="center"/>
              <w:rPr>
                <w:noProof/>
              </w:rPr>
            </w:pPr>
            <w:r>
              <w:rPr>
                <w:noProof/>
                <w:sz w:val="18"/>
              </w:rPr>
              <w:t>Type of expenditure</w:t>
            </w:r>
          </w:p>
        </w:tc>
        <w:tc>
          <w:tcPr>
            <w:tcW w:w="4487" w:type="dxa"/>
            <w:gridSpan w:val="4"/>
            <w:vAlign w:val="center"/>
          </w:tcPr>
          <w:p w14:paraId="017970F5" w14:textId="77777777" w:rsidR="00AF7A86" w:rsidRDefault="00AF7A86">
            <w:pPr>
              <w:spacing w:before="60" w:after="60"/>
              <w:jc w:val="center"/>
              <w:rPr>
                <w:noProof/>
              </w:rPr>
            </w:pPr>
            <w:r>
              <w:rPr>
                <w:noProof/>
                <w:sz w:val="20"/>
              </w:rPr>
              <w:t xml:space="preserve">Contribution </w:t>
            </w:r>
          </w:p>
        </w:tc>
      </w:tr>
      <w:tr w:rsidR="00AF7A86" w:rsidRPr="00FF5DD8" w14:paraId="354311DF" w14:textId="77777777">
        <w:trPr>
          <w:cantSplit/>
          <w:jc w:val="center"/>
        </w:trPr>
        <w:tc>
          <w:tcPr>
            <w:tcW w:w="1092" w:type="dxa"/>
            <w:vMerge/>
            <w:vAlign w:val="center"/>
          </w:tcPr>
          <w:p w14:paraId="3181763D" w14:textId="77777777" w:rsidR="00AF7A86" w:rsidRPr="00FF5DD8" w:rsidRDefault="00AF7A86">
            <w:pPr>
              <w:jc w:val="center"/>
              <w:rPr>
                <w:noProof/>
              </w:rPr>
            </w:pPr>
          </w:p>
        </w:tc>
        <w:tc>
          <w:tcPr>
            <w:tcW w:w="4002" w:type="dxa"/>
            <w:vAlign w:val="center"/>
          </w:tcPr>
          <w:p w14:paraId="4EA1C93B" w14:textId="77777777" w:rsidR="00AF7A86" w:rsidRPr="00FF5DD8" w:rsidRDefault="00AF7A86">
            <w:pPr>
              <w:rPr>
                <w:noProof/>
              </w:rPr>
            </w:pPr>
            <w:r w:rsidRPr="00FF5DD8">
              <w:rPr>
                <w:noProof/>
                <w:sz w:val="20"/>
              </w:rPr>
              <w:t xml:space="preserve">Number </w:t>
            </w:r>
            <w:r w:rsidRPr="00FF5DD8">
              <w:rPr>
                <w:noProof/>
                <w:sz w:val="22"/>
              </w:rPr>
              <w:br/>
            </w:r>
          </w:p>
        </w:tc>
        <w:tc>
          <w:tcPr>
            <w:tcW w:w="1092" w:type="dxa"/>
            <w:vAlign w:val="center"/>
          </w:tcPr>
          <w:p w14:paraId="2FB1AE12" w14:textId="77777777" w:rsidR="00AF7A86" w:rsidRPr="00FF5DD8" w:rsidRDefault="00AF7A86">
            <w:pPr>
              <w:jc w:val="center"/>
              <w:rPr>
                <w:noProof/>
              </w:rPr>
            </w:pPr>
            <w:r w:rsidRPr="00FF5DD8">
              <w:rPr>
                <w:noProof/>
                <w:sz w:val="18"/>
              </w:rPr>
              <w:t>Diff./Non-diff.</w:t>
            </w:r>
            <w:r w:rsidRPr="00FF5DD8">
              <w:rPr>
                <w:rStyle w:val="FootnoteReference"/>
                <w:noProof/>
                <w:sz w:val="18"/>
              </w:rPr>
              <w:footnoteReference w:id="73"/>
            </w:r>
          </w:p>
        </w:tc>
        <w:tc>
          <w:tcPr>
            <w:tcW w:w="966" w:type="dxa"/>
            <w:vAlign w:val="center"/>
          </w:tcPr>
          <w:p w14:paraId="4E6FAB3A" w14:textId="77777777" w:rsidR="00AF7A86" w:rsidRPr="00FF5DD8" w:rsidRDefault="00AF7A86">
            <w:pPr>
              <w:jc w:val="center"/>
              <w:rPr>
                <w:b/>
                <w:noProof/>
                <w:sz w:val="18"/>
              </w:rPr>
            </w:pPr>
            <w:r w:rsidRPr="00FF5DD8">
              <w:rPr>
                <w:noProof/>
                <w:sz w:val="18"/>
              </w:rPr>
              <w:t>from EFTA countries</w:t>
            </w:r>
            <w:r w:rsidRPr="00FF5DD8">
              <w:rPr>
                <w:rStyle w:val="FootnoteReference"/>
                <w:noProof/>
                <w:sz w:val="18"/>
              </w:rPr>
              <w:footnoteReference w:id="74"/>
            </w:r>
          </w:p>
        </w:tc>
        <w:tc>
          <w:tcPr>
            <w:tcW w:w="1092" w:type="dxa"/>
            <w:vAlign w:val="center"/>
          </w:tcPr>
          <w:p w14:paraId="2D089CE0" w14:textId="77777777" w:rsidR="00AF7A86" w:rsidRPr="003A769F" w:rsidRDefault="00AF7A86">
            <w:pPr>
              <w:jc w:val="center"/>
              <w:rPr>
                <w:noProof/>
                <w:sz w:val="18"/>
                <w:lang w:val="en-IE"/>
              </w:rPr>
            </w:pPr>
            <w:r w:rsidRPr="003A769F">
              <w:rPr>
                <w:noProof/>
                <w:sz w:val="18"/>
                <w:lang w:val="en-IE"/>
              </w:rPr>
              <w:t>from candidate countries and potential candidates</w:t>
            </w:r>
            <w:r w:rsidRPr="00FF5DD8">
              <w:rPr>
                <w:rStyle w:val="FootnoteReference"/>
                <w:noProof/>
                <w:sz w:val="18"/>
              </w:rPr>
              <w:footnoteReference w:id="75"/>
            </w:r>
          </w:p>
        </w:tc>
        <w:tc>
          <w:tcPr>
            <w:tcW w:w="966" w:type="dxa"/>
            <w:vAlign w:val="center"/>
          </w:tcPr>
          <w:p w14:paraId="3E76F7D2" w14:textId="77777777" w:rsidR="00AF7A86" w:rsidRPr="00FF5DD8" w:rsidRDefault="00AF7A86">
            <w:pPr>
              <w:jc w:val="center"/>
              <w:rPr>
                <w:noProof/>
                <w:sz w:val="18"/>
              </w:rPr>
            </w:pPr>
            <w:r>
              <w:rPr>
                <w:noProof/>
                <w:sz w:val="18"/>
              </w:rPr>
              <w:t>F</w:t>
            </w:r>
            <w:r w:rsidRPr="00FF5DD8">
              <w:rPr>
                <w:noProof/>
                <w:sz w:val="18"/>
              </w:rPr>
              <w:t>rom</w:t>
            </w:r>
            <w:r>
              <w:rPr>
                <w:noProof/>
                <w:sz w:val="18"/>
              </w:rPr>
              <w:t xml:space="preserve"> other </w:t>
            </w:r>
            <w:r w:rsidRPr="00FF5DD8">
              <w:rPr>
                <w:noProof/>
                <w:sz w:val="18"/>
              </w:rPr>
              <w:t>third countries</w:t>
            </w:r>
          </w:p>
        </w:tc>
        <w:tc>
          <w:tcPr>
            <w:tcW w:w="1463" w:type="dxa"/>
            <w:vAlign w:val="center"/>
          </w:tcPr>
          <w:p w14:paraId="750E00D6" w14:textId="77777777" w:rsidR="00AF7A86" w:rsidRPr="00FF5DD8" w:rsidRDefault="00AF7A86">
            <w:pPr>
              <w:jc w:val="center"/>
              <w:rPr>
                <w:noProof/>
              </w:rPr>
            </w:pPr>
            <w:r w:rsidRPr="00154373">
              <w:rPr>
                <w:noProof/>
                <w:sz w:val="18"/>
                <w:szCs w:val="18"/>
                <w:lang w:val="en-IE"/>
              </w:rPr>
              <w:t>other assigned revenue</w:t>
            </w:r>
          </w:p>
        </w:tc>
      </w:tr>
      <w:tr w:rsidR="00AF7A86" w14:paraId="2F96172A" w14:textId="77777777">
        <w:trPr>
          <w:jc w:val="center"/>
        </w:trPr>
        <w:tc>
          <w:tcPr>
            <w:tcW w:w="1092" w:type="dxa"/>
            <w:vAlign w:val="center"/>
          </w:tcPr>
          <w:p w14:paraId="691162DD" w14:textId="77777777" w:rsidR="00AF7A86" w:rsidRDefault="00AF7A86">
            <w:pPr>
              <w:jc w:val="center"/>
              <w:rPr>
                <w:noProof/>
                <w:color w:val="0000FF"/>
              </w:rPr>
            </w:pPr>
            <w:r w:rsidRPr="00F54D81">
              <w:rPr>
                <w:noProof/>
                <w:color w:val="000000" w:themeColor="text1"/>
              </w:rPr>
              <w:t>01</w:t>
            </w:r>
          </w:p>
        </w:tc>
        <w:tc>
          <w:tcPr>
            <w:tcW w:w="4002" w:type="dxa"/>
            <w:vAlign w:val="center"/>
          </w:tcPr>
          <w:p w14:paraId="5B0AA3BB" w14:textId="77777777" w:rsidR="00AF7A86" w:rsidRPr="00315595" w:rsidRDefault="00AF7A86">
            <w:pPr>
              <w:spacing w:before="60"/>
              <w:rPr>
                <w:noProof/>
                <w:sz w:val="22"/>
              </w:rPr>
            </w:pPr>
            <w:r w:rsidRPr="00315595">
              <w:rPr>
                <w:noProof/>
                <w:sz w:val="22"/>
              </w:rPr>
              <w:t xml:space="preserve">02.03.02 Connecting Europe Facility – Energy </w:t>
            </w:r>
          </w:p>
          <w:p w14:paraId="423828E8" w14:textId="77777777" w:rsidR="00AF7A86" w:rsidRDefault="00AF7A86">
            <w:pPr>
              <w:spacing w:after="60"/>
              <w:rPr>
                <w:noProof/>
              </w:rPr>
            </w:pPr>
          </w:p>
        </w:tc>
        <w:tc>
          <w:tcPr>
            <w:tcW w:w="1092" w:type="dxa"/>
            <w:vAlign w:val="center"/>
          </w:tcPr>
          <w:p w14:paraId="7F861C4D" w14:textId="77777777" w:rsidR="00AF7A86" w:rsidRDefault="00AF7A86">
            <w:pPr>
              <w:jc w:val="center"/>
              <w:rPr>
                <w:noProof/>
                <w:color w:val="0000FF"/>
              </w:rPr>
            </w:pPr>
            <w:r>
              <w:rPr>
                <w:noProof/>
                <w:sz w:val="22"/>
              </w:rPr>
              <w:t>Diff.</w:t>
            </w:r>
          </w:p>
        </w:tc>
        <w:tc>
          <w:tcPr>
            <w:tcW w:w="966" w:type="dxa"/>
            <w:vAlign w:val="center"/>
          </w:tcPr>
          <w:p w14:paraId="56F8B5E0" w14:textId="77777777" w:rsidR="00AF7A86" w:rsidRPr="008D0E8A" w:rsidRDefault="00AF7A86">
            <w:pPr>
              <w:jc w:val="center"/>
              <w:rPr>
                <w:noProof/>
                <w:sz w:val="20"/>
                <w:szCs w:val="20"/>
              </w:rPr>
            </w:pPr>
            <w:r w:rsidRPr="00814CD3">
              <w:rPr>
                <w:noProof/>
                <w:sz w:val="20"/>
                <w:szCs w:val="20"/>
              </w:rPr>
              <w:t>NO</w:t>
            </w:r>
          </w:p>
        </w:tc>
        <w:tc>
          <w:tcPr>
            <w:tcW w:w="1092" w:type="dxa"/>
            <w:vAlign w:val="center"/>
          </w:tcPr>
          <w:p w14:paraId="1E662E9D" w14:textId="77777777" w:rsidR="00AF7A86" w:rsidRPr="008D0E8A" w:rsidRDefault="00AF7A86">
            <w:pPr>
              <w:jc w:val="center"/>
              <w:rPr>
                <w:noProof/>
                <w:sz w:val="20"/>
                <w:szCs w:val="20"/>
              </w:rPr>
            </w:pPr>
            <w:r w:rsidRPr="00814CD3">
              <w:rPr>
                <w:noProof/>
                <w:sz w:val="20"/>
                <w:szCs w:val="20"/>
              </w:rPr>
              <w:t>NO</w:t>
            </w:r>
          </w:p>
        </w:tc>
        <w:tc>
          <w:tcPr>
            <w:tcW w:w="966" w:type="dxa"/>
            <w:vAlign w:val="center"/>
          </w:tcPr>
          <w:p w14:paraId="51170783" w14:textId="77777777" w:rsidR="00AF7A86" w:rsidRPr="008D0E8A" w:rsidRDefault="00AF7A86">
            <w:pPr>
              <w:jc w:val="center"/>
              <w:rPr>
                <w:noProof/>
                <w:sz w:val="20"/>
                <w:szCs w:val="20"/>
              </w:rPr>
            </w:pPr>
            <w:r w:rsidRPr="00814CD3">
              <w:rPr>
                <w:noProof/>
                <w:sz w:val="20"/>
                <w:szCs w:val="20"/>
              </w:rPr>
              <w:t>NO</w:t>
            </w:r>
          </w:p>
        </w:tc>
        <w:tc>
          <w:tcPr>
            <w:tcW w:w="1463" w:type="dxa"/>
            <w:vAlign w:val="center"/>
          </w:tcPr>
          <w:p w14:paraId="7B881B8E" w14:textId="77777777" w:rsidR="00AF7A86" w:rsidRPr="008D0E8A" w:rsidRDefault="00AF7A86">
            <w:pPr>
              <w:jc w:val="center"/>
              <w:rPr>
                <w:noProof/>
                <w:sz w:val="20"/>
                <w:szCs w:val="20"/>
              </w:rPr>
            </w:pPr>
            <w:r w:rsidRPr="00814CD3">
              <w:rPr>
                <w:noProof/>
                <w:sz w:val="20"/>
                <w:szCs w:val="20"/>
              </w:rPr>
              <w:t>NO</w:t>
            </w:r>
          </w:p>
        </w:tc>
      </w:tr>
      <w:tr w:rsidR="00AF7A86" w14:paraId="5AB40687" w14:textId="77777777">
        <w:trPr>
          <w:jc w:val="center"/>
        </w:trPr>
        <w:tc>
          <w:tcPr>
            <w:tcW w:w="1092" w:type="dxa"/>
            <w:vAlign w:val="center"/>
          </w:tcPr>
          <w:p w14:paraId="2C037469" w14:textId="77777777" w:rsidR="00AF7A86" w:rsidRPr="00F54D81" w:rsidRDefault="00AF7A86">
            <w:pPr>
              <w:jc w:val="center"/>
              <w:rPr>
                <w:noProof/>
                <w:color w:val="000000" w:themeColor="text1"/>
              </w:rPr>
            </w:pPr>
            <w:r>
              <w:rPr>
                <w:noProof/>
                <w:color w:val="000000" w:themeColor="text1"/>
              </w:rPr>
              <w:t>01</w:t>
            </w:r>
          </w:p>
        </w:tc>
        <w:tc>
          <w:tcPr>
            <w:tcW w:w="4002" w:type="dxa"/>
            <w:vAlign w:val="center"/>
          </w:tcPr>
          <w:p w14:paraId="1B95A4EE" w14:textId="77777777" w:rsidR="00AF7A86" w:rsidRPr="00315595" w:rsidRDefault="00AF7A86">
            <w:pPr>
              <w:spacing w:before="60"/>
              <w:rPr>
                <w:noProof/>
                <w:sz w:val="22"/>
              </w:rPr>
            </w:pPr>
            <w:r>
              <w:rPr>
                <w:noProof/>
                <w:sz w:val="22"/>
              </w:rPr>
              <w:t>02.01.22.01 Support expenditure for Connecting Europe Facility – Energy</w:t>
            </w:r>
          </w:p>
        </w:tc>
        <w:tc>
          <w:tcPr>
            <w:tcW w:w="1092" w:type="dxa"/>
            <w:vAlign w:val="center"/>
          </w:tcPr>
          <w:p w14:paraId="56E50E8F" w14:textId="77777777" w:rsidR="00AF7A86" w:rsidRDefault="00AF7A86">
            <w:pPr>
              <w:jc w:val="center"/>
              <w:rPr>
                <w:noProof/>
                <w:sz w:val="22"/>
              </w:rPr>
            </w:pPr>
            <w:r>
              <w:rPr>
                <w:noProof/>
                <w:sz w:val="22"/>
              </w:rPr>
              <w:t>Non-diff.</w:t>
            </w:r>
          </w:p>
        </w:tc>
        <w:tc>
          <w:tcPr>
            <w:tcW w:w="966" w:type="dxa"/>
            <w:vAlign w:val="center"/>
          </w:tcPr>
          <w:p w14:paraId="2C6C6475" w14:textId="77777777" w:rsidR="00AF7A86" w:rsidRPr="00814CD3" w:rsidRDefault="00AF7A86">
            <w:pPr>
              <w:jc w:val="center"/>
              <w:rPr>
                <w:noProof/>
                <w:sz w:val="20"/>
                <w:szCs w:val="20"/>
              </w:rPr>
            </w:pPr>
            <w:r>
              <w:rPr>
                <w:noProof/>
                <w:sz w:val="20"/>
                <w:szCs w:val="20"/>
              </w:rPr>
              <w:t>NO</w:t>
            </w:r>
          </w:p>
        </w:tc>
        <w:tc>
          <w:tcPr>
            <w:tcW w:w="1092" w:type="dxa"/>
            <w:vAlign w:val="center"/>
          </w:tcPr>
          <w:p w14:paraId="5556B48B" w14:textId="77777777" w:rsidR="00AF7A86" w:rsidRPr="00814CD3" w:rsidRDefault="00AF7A86">
            <w:pPr>
              <w:jc w:val="center"/>
              <w:rPr>
                <w:noProof/>
                <w:sz w:val="20"/>
                <w:szCs w:val="20"/>
              </w:rPr>
            </w:pPr>
            <w:r>
              <w:rPr>
                <w:noProof/>
                <w:sz w:val="20"/>
                <w:szCs w:val="20"/>
              </w:rPr>
              <w:t>NO</w:t>
            </w:r>
          </w:p>
        </w:tc>
        <w:tc>
          <w:tcPr>
            <w:tcW w:w="966" w:type="dxa"/>
            <w:vAlign w:val="center"/>
          </w:tcPr>
          <w:p w14:paraId="7A5922BE" w14:textId="77777777" w:rsidR="00AF7A86" w:rsidRPr="00814CD3" w:rsidRDefault="00AF7A86">
            <w:pPr>
              <w:jc w:val="center"/>
              <w:rPr>
                <w:noProof/>
                <w:sz w:val="20"/>
                <w:szCs w:val="20"/>
              </w:rPr>
            </w:pPr>
            <w:r>
              <w:rPr>
                <w:noProof/>
                <w:sz w:val="20"/>
                <w:szCs w:val="20"/>
              </w:rPr>
              <w:t>NO</w:t>
            </w:r>
          </w:p>
        </w:tc>
        <w:tc>
          <w:tcPr>
            <w:tcW w:w="1463" w:type="dxa"/>
            <w:vAlign w:val="center"/>
          </w:tcPr>
          <w:p w14:paraId="4896C297" w14:textId="77777777" w:rsidR="00AF7A86" w:rsidRPr="00814CD3" w:rsidRDefault="00AF7A86">
            <w:pPr>
              <w:jc w:val="center"/>
              <w:rPr>
                <w:noProof/>
                <w:sz w:val="20"/>
                <w:szCs w:val="20"/>
              </w:rPr>
            </w:pPr>
            <w:r>
              <w:rPr>
                <w:noProof/>
                <w:sz w:val="20"/>
                <w:szCs w:val="20"/>
              </w:rPr>
              <w:t>NO</w:t>
            </w:r>
          </w:p>
        </w:tc>
      </w:tr>
      <w:tr w:rsidR="00AF7A86" w14:paraId="63912A2A" w14:textId="77777777">
        <w:trPr>
          <w:jc w:val="center"/>
        </w:trPr>
        <w:tc>
          <w:tcPr>
            <w:tcW w:w="1092" w:type="dxa"/>
            <w:vAlign w:val="center"/>
          </w:tcPr>
          <w:p w14:paraId="476B438E" w14:textId="77777777" w:rsidR="00AF7A86" w:rsidRDefault="00AF7A86">
            <w:pPr>
              <w:jc w:val="center"/>
              <w:rPr>
                <w:noProof/>
                <w:color w:val="0000FF"/>
              </w:rPr>
            </w:pPr>
            <w:r w:rsidRPr="00F54D81">
              <w:rPr>
                <w:noProof/>
                <w:color w:val="000000" w:themeColor="text1"/>
              </w:rPr>
              <w:t xml:space="preserve">01 </w:t>
            </w:r>
          </w:p>
        </w:tc>
        <w:tc>
          <w:tcPr>
            <w:tcW w:w="4002" w:type="dxa"/>
            <w:vAlign w:val="center"/>
          </w:tcPr>
          <w:p w14:paraId="790B889B" w14:textId="77777777" w:rsidR="00AF7A86" w:rsidRDefault="00AF7A86">
            <w:pPr>
              <w:spacing w:before="60"/>
              <w:rPr>
                <w:noProof/>
                <w:color w:val="FF0000"/>
                <w:lang w:val="en-IE"/>
              </w:rPr>
            </w:pPr>
            <w:r>
              <w:rPr>
                <w:noProof/>
                <w:sz w:val="22"/>
                <w:lang w:val="en-IE"/>
              </w:rPr>
              <w:t xml:space="preserve">02.10.06 European Union Agency for the Cooperation of Energy Regulators </w:t>
            </w:r>
            <w:r w:rsidRPr="00FC6371">
              <w:rPr>
                <w:noProof/>
                <w:sz w:val="22"/>
                <w:lang w:val="en-IE"/>
              </w:rPr>
              <w:t xml:space="preserve"> </w:t>
            </w:r>
          </w:p>
          <w:p w14:paraId="4A84A356" w14:textId="77777777" w:rsidR="00AF7A86" w:rsidRPr="00B23AA4" w:rsidRDefault="00AF7A86">
            <w:pPr>
              <w:spacing w:before="60"/>
              <w:rPr>
                <w:noProof/>
                <w:color w:val="FF0000"/>
                <w:lang w:val="en-IE"/>
              </w:rPr>
            </w:pPr>
          </w:p>
        </w:tc>
        <w:tc>
          <w:tcPr>
            <w:tcW w:w="1092" w:type="dxa"/>
            <w:vAlign w:val="center"/>
          </w:tcPr>
          <w:p w14:paraId="5D7AEBFD" w14:textId="77777777" w:rsidR="00AF7A86" w:rsidRDefault="00AF7A86">
            <w:pPr>
              <w:jc w:val="center"/>
              <w:rPr>
                <w:noProof/>
                <w:color w:val="0000FF"/>
              </w:rPr>
            </w:pPr>
            <w:r>
              <w:rPr>
                <w:noProof/>
                <w:sz w:val="22"/>
              </w:rPr>
              <w:t>Diff.</w:t>
            </w:r>
          </w:p>
        </w:tc>
        <w:tc>
          <w:tcPr>
            <w:tcW w:w="966" w:type="dxa"/>
            <w:vAlign w:val="center"/>
          </w:tcPr>
          <w:p w14:paraId="4FBC2944" w14:textId="77777777" w:rsidR="00AF7A86" w:rsidRPr="008D0E8A" w:rsidRDefault="00AF7A86">
            <w:pPr>
              <w:jc w:val="center"/>
              <w:rPr>
                <w:noProof/>
                <w:sz w:val="20"/>
                <w:szCs w:val="20"/>
              </w:rPr>
            </w:pPr>
            <w:r w:rsidRPr="007974DD">
              <w:rPr>
                <w:noProof/>
                <w:sz w:val="20"/>
                <w:szCs w:val="20"/>
              </w:rPr>
              <w:t>YES</w:t>
            </w:r>
          </w:p>
        </w:tc>
        <w:tc>
          <w:tcPr>
            <w:tcW w:w="1092" w:type="dxa"/>
            <w:vAlign w:val="center"/>
          </w:tcPr>
          <w:p w14:paraId="0088062D" w14:textId="77777777" w:rsidR="00AF7A86" w:rsidRPr="008D0E8A" w:rsidRDefault="00AF7A86">
            <w:pPr>
              <w:jc w:val="center"/>
              <w:rPr>
                <w:noProof/>
                <w:sz w:val="20"/>
                <w:szCs w:val="20"/>
              </w:rPr>
            </w:pPr>
            <w:r w:rsidRPr="007974DD">
              <w:rPr>
                <w:noProof/>
                <w:sz w:val="20"/>
                <w:szCs w:val="20"/>
              </w:rPr>
              <w:t>NO</w:t>
            </w:r>
          </w:p>
        </w:tc>
        <w:tc>
          <w:tcPr>
            <w:tcW w:w="966" w:type="dxa"/>
            <w:vAlign w:val="center"/>
          </w:tcPr>
          <w:p w14:paraId="7D61921C" w14:textId="77777777" w:rsidR="00AF7A86" w:rsidRPr="008D0E8A" w:rsidRDefault="00AF7A86">
            <w:pPr>
              <w:jc w:val="center"/>
              <w:rPr>
                <w:noProof/>
                <w:sz w:val="20"/>
                <w:szCs w:val="20"/>
              </w:rPr>
            </w:pPr>
            <w:r w:rsidRPr="007974DD">
              <w:rPr>
                <w:noProof/>
                <w:sz w:val="20"/>
                <w:szCs w:val="20"/>
              </w:rPr>
              <w:t>NO</w:t>
            </w:r>
          </w:p>
        </w:tc>
        <w:tc>
          <w:tcPr>
            <w:tcW w:w="1463" w:type="dxa"/>
            <w:vAlign w:val="center"/>
          </w:tcPr>
          <w:p w14:paraId="232F2AFE" w14:textId="77777777" w:rsidR="00AF7A86" w:rsidRPr="008D0E8A" w:rsidRDefault="00AF7A86">
            <w:pPr>
              <w:jc w:val="center"/>
              <w:rPr>
                <w:noProof/>
                <w:sz w:val="20"/>
                <w:szCs w:val="20"/>
              </w:rPr>
            </w:pPr>
            <w:r>
              <w:rPr>
                <w:noProof/>
                <w:sz w:val="20"/>
                <w:szCs w:val="20"/>
              </w:rPr>
              <w:t>NO</w:t>
            </w:r>
          </w:p>
        </w:tc>
      </w:tr>
    </w:tbl>
    <w:p w14:paraId="530B6992" w14:textId="77777777" w:rsidR="00AF7A86" w:rsidRDefault="00AF7A86" w:rsidP="00AF7A86">
      <w:pPr>
        <w:rPr>
          <w:noProof/>
        </w:rPr>
        <w:sectPr w:rsidR="00AF7A86" w:rsidSect="005C1364">
          <w:pgSz w:w="11907" w:h="16840" w:code="1"/>
          <w:pgMar w:top="1134" w:right="1418" w:bottom="1134" w:left="1418" w:header="709" w:footer="709" w:gutter="0"/>
          <w:cols w:space="708"/>
          <w:docGrid w:linePitch="360"/>
        </w:sectPr>
      </w:pPr>
    </w:p>
    <w:p w14:paraId="77DDD77C" w14:textId="77777777" w:rsidR="00AF7A86" w:rsidRDefault="00AF7A86" w:rsidP="00AF7A86">
      <w:pPr>
        <w:pStyle w:val="ManualHeading2"/>
        <w:rPr>
          <w:bCs/>
          <w:noProof/>
          <w:szCs w:val="24"/>
        </w:rPr>
      </w:pPr>
      <w:bookmarkStart w:id="142" w:name="_Toc514938052"/>
      <w:bookmarkStart w:id="143" w:name="_Toc520485051"/>
      <w:bookmarkStart w:id="144" w:name="_Toc160804593"/>
      <w:bookmarkStart w:id="145" w:name="_Toc172893704"/>
      <w:r w:rsidRPr="0021790A">
        <w:rPr>
          <w:noProof/>
        </w:rPr>
        <w:t>3.2.</w:t>
      </w:r>
      <w:r w:rsidRPr="0021790A">
        <w:rPr>
          <w:noProof/>
        </w:rPr>
        <w:tab/>
      </w:r>
      <w:r>
        <w:rPr>
          <w:noProof/>
        </w:rPr>
        <w:t>Estimated financial impact of the proposal on appropriations</w:t>
      </w:r>
      <w:bookmarkEnd w:id="142"/>
      <w:bookmarkEnd w:id="143"/>
      <w:bookmarkEnd w:id="144"/>
      <w:bookmarkEnd w:id="145"/>
      <w:r>
        <w:rPr>
          <w:noProof/>
        </w:rPr>
        <w:t xml:space="preserve"> </w:t>
      </w:r>
    </w:p>
    <w:p w14:paraId="14A09AE6" w14:textId="77777777" w:rsidR="00AF7A86" w:rsidRPr="00406A4A" w:rsidRDefault="00AF7A86" w:rsidP="00AF7A86">
      <w:pPr>
        <w:pStyle w:val="ManualHeading3"/>
        <w:rPr>
          <w:noProof/>
          <w:color w:val="0000FF"/>
        </w:rPr>
      </w:pPr>
      <w:bookmarkStart w:id="146" w:name="_Toc514938053"/>
      <w:bookmarkStart w:id="147" w:name="_Toc520485052"/>
      <w:bookmarkStart w:id="148" w:name="_Toc160804594"/>
      <w:bookmarkStart w:id="149" w:name="_Toc172893705"/>
      <w:r w:rsidRPr="0021790A">
        <w:rPr>
          <w:noProof/>
        </w:rPr>
        <w:t>3.2.1.</w:t>
      </w:r>
      <w:r w:rsidRPr="0021790A">
        <w:rPr>
          <w:noProof/>
        </w:rPr>
        <w:tab/>
      </w:r>
      <w:r>
        <w:rPr>
          <w:noProof/>
        </w:rPr>
        <w:t>Summary of estimated impact on operational appropriations</w:t>
      </w:r>
      <w:bookmarkEnd w:id="146"/>
      <w:bookmarkEnd w:id="147"/>
      <w:bookmarkEnd w:id="148"/>
      <w:bookmarkEnd w:id="149"/>
      <w:r w:rsidR="00DC691D">
        <w:rPr>
          <w:rStyle w:val="FootnoteReference"/>
          <w:noProof/>
        </w:rPr>
        <w:footnoteReference w:id="76"/>
      </w:r>
      <w:r w:rsidRPr="00235FE8">
        <w:rPr>
          <w:rStyle w:val="Marker110000"/>
          <w:i w:val="0"/>
          <w:noProof/>
        </w:rPr>
        <w:t xml:space="preserve"> </w:t>
      </w:r>
    </w:p>
    <w:p w14:paraId="70631DED" w14:textId="77777777" w:rsidR="00AF7A86" w:rsidRDefault="00AF7A86" w:rsidP="00AF7A86">
      <w:pPr>
        <w:pStyle w:val="ListDash1"/>
        <w:rPr>
          <w:noProof/>
        </w:rPr>
      </w:pPr>
      <w:r>
        <w:rPr>
          <w:rFonts w:ascii="Wingdings" w:eastAsia="Wingdings" w:hAnsi="Wingdings" w:cs="Wingdings"/>
          <w:noProof/>
        </w:rPr>
        <w:t></w:t>
      </w:r>
      <w:r>
        <w:rPr>
          <w:noProof/>
        </w:rPr>
        <w:tab/>
        <w:t xml:space="preserve">The proposal/initiative does not require the use of operational appropriations </w:t>
      </w:r>
    </w:p>
    <w:p w14:paraId="25800C07" w14:textId="77777777" w:rsidR="00AF7A86" w:rsidRDefault="00AF7A86" w:rsidP="00AF7A86">
      <w:pPr>
        <w:pStyle w:val="ListDash1"/>
        <w:rPr>
          <w:noProof/>
        </w:rPr>
      </w:pPr>
      <w:r>
        <w:rPr>
          <w:noProof/>
        </w:rPr>
        <w:t>X The proposal/initiative requires the use of operational appropriations, as explained below</w:t>
      </w:r>
    </w:p>
    <w:p w14:paraId="3C5A36FE" w14:textId="77777777" w:rsidR="00AF7A86" w:rsidRDefault="00AF7A86" w:rsidP="00AF7A86">
      <w:pPr>
        <w:pStyle w:val="ManualHeading3"/>
        <w:rPr>
          <w:noProof/>
        </w:rPr>
      </w:pPr>
      <w:bookmarkStart w:id="150" w:name="_Toc160804595"/>
      <w:bookmarkStart w:id="151" w:name="_Toc172893706"/>
      <w:bookmarkStart w:id="152" w:name="_Hlk177487747"/>
      <w:r>
        <w:rPr>
          <w:noProof/>
        </w:rPr>
        <w:t>3.2.1.1.</w:t>
      </w:r>
      <w:r>
        <w:rPr>
          <w:noProof/>
        </w:rPr>
        <w:tab/>
        <w:t>Appropriations from voted budget</w:t>
      </w:r>
      <w:bookmarkEnd w:id="150"/>
      <w:bookmarkEnd w:id="151"/>
    </w:p>
    <w:bookmarkEnd w:id="152"/>
    <w:p w14:paraId="6BFC8EEE" w14:textId="77777777" w:rsidR="00AF7A86" w:rsidRPr="003A769F" w:rsidRDefault="00AF7A86" w:rsidP="00AF7A86">
      <w:pPr>
        <w:jc w:val="right"/>
        <w:rPr>
          <w:noProof/>
          <w:sz w:val="18"/>
          <w:szCs w:val="18"/>
          <w:lang w:val="en-IE"/>
        </w:rPr>
      </w:pPr>
      <w:r w:rsidRPr="003A769F">
        <w:rPr>
          <w:noProof/>
          <w:sz w:val="18"/>
          <w:szCs w:val="18"/>
          <w:lang w:val="en-IE"/>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AF7A86" w14:paraId="77D611D7" w14:textId="77777777">
        <w:tc>
          <w:tcPr>
            <w:tcW w:w="1739" w:type="pct"/>
            <w:shd w:val="thinDiagStripe" w:color="C0C0C0" w:fill="auto"/>
            <w:vAlign w:val="center"/>
          </w:tcPr>
          <w:p w14:paraId="53042670" w14:textId="77777777" w:rsidR="00AF7A86" w:rsidRPr="003A769F" w:rsidRDefault="00AF7A86">
            <w:pPr>
              <w:spacing w:before="60" w:after="60"/>
              <w:jc w:val="center"/>
              <w:rPr>
                <w:b/>
                <w:noProof/>
                <w:lang w:val="en-IE"/>
              </w:rPr>
            </w:pPr>
            <w:r w:rsidRPr="003A769F">
              <w:rPr>
                <w:b/>
                <w:noProof/>
                <w:sz w:val="22"/>
                <w:lang w:val="en-IE"/>
              </w:rPr>
              <w:t xml:space="preserve">Heading of multiannual financial </w:t>
            </w:r>
            <w:r>
              <w:rPr>
                <w:b/>
                <w:noProof/>
                <w:sz w:val="22"/>
                <w:lang w:val="en-IE"/>
              </w:rPr>
              <w:t xml:space="preserve"> </w:t>
            </w:r>
            <w:r w:rsidRPr="003A769F">
              <w:rPr>
                <w:b/>
                <w:noProof/>
                <w:sz w:val="22"/>
                <w:lang w:val="en-IE"/>
              </w:rPr>
              <w:t xml:space="preserve">framework </w:t>
            </w:r>
          </w:p>
        </w:tc>
        <w:tc>
          <w:tcPr>
            <w:tcW w:w="396" w:type="pct"/>
            <w:vAlign w:val="center"/>
          </w:tcPr>
          <w:p w14:paraId="614378C4" w14:textId="77777777" w:rsidR="00AF7A86" w:rsidRDefault="00AF7A86">
            <w:pPr>
              <w:spacing w:before="60" w:after="60"/>
              <w:jc w:val="center"/>
              <w:rPr>
                <w:noProof/>
              </w:rPr>
            </w:pPr>
            <w:r>
              <w:rPr>
                <w:noProof/>
                <w:sz w:val="22"/>
              </w:rPr>
              <w:t>Number</w:t>
            </w:r>
          </w:p>
        </w:tc>
        <w:tc>
          <w:tcPr>
            <w:tcW w:w="2865" w:type="pct"/>
            <w:vAlign w:val="center"/>
          </w:tcPr>
          <w:p w14:paraId="747CEE7C" w14:textId="77777777" w:rsidR="00AF7A86" w:rsidRDefault="00AF7A86">
            <w:pPr>
              <w:spacing w:before="60" w:after="60"/>
              <w:rPr>
                <w:noProof/>
              </w:rPr>
            </w:pPr>
            <w:r>
              <w:rPr>
                <w:noProof/>
              </w:rPr>
              <w:t>01</w:t>
            </w:r>
          </w:p>
        </w:tc>
      </w:tr>
    </w:tbl>
    <w:p w14:paraId="6A775C9D" w14:textId="77777777" w:rsidR="00AF7A86" w:rsidRDefault="00AF7A86" w:rsidP="00AF7A86">
      <w:pPr>
        <w:rPr>
          <w:noProof/>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5389"/>
        <w:gridCol w:w="1237"/>
        <w:gridCol w:w="796"/>
        <w:gridCol w:w="722"/>
        <w:gridCol w:w="759"/>
        <w:gridCol w:w="759"/>
        <w:gridCol w:w="717"/>
        <w:gridCol w:w="717"/>
        <w:gridCol w:w="995"/>
        <w:gridCol w:w="973"/>
      </w:tblGrid>
      <w:tr w:rsidR="00AF7A86" w:rsidRPr="00C2043F" w14:paraId="20AD20F0" w14:textId="77777777">
        <w:trPr>
          <w:trHeight w:val="420"/>
        </w:trPr>
        <w:tc>
          <w:tcPr>
            <w:tcW w:w="3015" w:type="pct"/>
            <w:gridSpan w:val="4"/>
            <w:vMerge w:val="restart"/>
            <w:vAlign w:val="center"/>
            <w:hideMark/>
          </w:tcPr>
          <w:p w14:paraId="0028E874" w14:textId="77777777" w:rsidR="00AF7A86" w:rsidRPr="00C2043F" w:rsidRDefault="00AF7A86">
            <w:pPr>
              <w:spacing w:before="0" w:after="0"/>
              <w:jc w:val="center"/>
              <w:rPr>
                <w:noProof/>
                <w:color w:val="000000"/>
                <w:sz w:val="22"/>
                <w:lang w:val="en-IE" w:eastAsia="en-IE"/>
              </w:rPr>
            </w:pPr>
            <w:r w:rsidRPr="00C2043F">
              <w:rPr>
                <w:noProof/>
                <w:color w:val="000000"/>
                <w:sz w:val="22"/>
                <w:lang w:val="en-IE" w:eastAsia="en-IE"/>
              </w:rPr>
              <w:t xml:space="preserve">DG: </w:t>
            </w:r>
            <w:r>
              <w:rPr>
                <w:noProof/>
                <w:color w:val="000000"/>
                <w:sz w:val="22"/>
                <w:lang w:val="en-IE" w:eastAsia="en-IE"/>
              </w:rPr>
              <w:t>ENER</w:t>
            </w:r>
          </w:p>
        </w:tc>
        <w:tc>
          <w:tcPr>
            <w:tcW w:w="254" w:type="pct"/>
            <w:vAlign w:val="center"/>
            <w:hideMark/>
          </w:tcPr>
          <w:p w14:paraId="3C6A4F75" w14:textId="77777777" w:rsidR="00AF7A86" w:rsidRPr="00C2043F" w:rsidRDefault="00AF7A86">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267" w:type="pct"/>
            <w:vAlign w:val="center"/>
            <w:hideMark/>
          </w:tcPr>
          <w:p w14:paraId="55770083" w14:textId="77777777" w:rsidR="00AF7A86" w:rsidRPr="00C2043F" w:rsidRDefault="00AF7A86">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267" w:type="pct"/>
            <w:vAlign w:val="center"/>
            <w:hideMark/>
          </w:tcPr>
          <w:p w14:paraId="515B94FB" w14:textId="77777777" w:rsidR="00AF7A86" w:rsidRPr="00C2043F" w:rsidRDefault="00AF7A86">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252" w:type="pct"/>
          </w:tcPr>
          <w:p w14:paraId="416F3088" w14:textId="77777777" w:rsidR="00AF7A86" w:rsidRPr="00C2043F" w:rsidRDefault="00AF7A86">
            <w:pPr>
              <w:spacing w:before="0" w:after="0"/>
              <w:jc w:val="center"/>
              <w:rPr>
                <w:noProof/>
                <w:color w:val="000000"/>
                <w:sz w:val="20"/>
                <w:szCs w:val="20"/>
                <w:lang w:val="en-IE" w:eastAsia="en-IE"/>
              </w:rPr>
            </w:pPr>
          </w:p>
        </w:tc>
        <w:tc>
          <w:tcPr>
            <w:tcW w:w="252" w:type="pct"/>
            <w:vAlign w:val="center"/>
            <w:hideMark/>
          </w:tcPr>
          <w:p w14:paraId="61A5B8F5" w14:textId="77777777" w:rsidR="00AF7A86" w:rsidRPr="00C2043F" w:rsidRDefault="00AF7A86">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350" w:type="pct"/>
            <w:vMerge w:val="restart"/>
            <w:vAlign w:val="center"/>
            <w:hideMark/>
          </w:tcPr>
          <w:p w14:paraId="2DB569E5" w14:textId="77777777" w:rsidR="00AF7A86" w:rsidRPr="00C2043F" w:rsidRDefault="00AF7A86">
            <w:pPr>
              <w:spacing w:before="0" w:after="0"/>
              <w:jc w:val="center"/>
              <w:rPr>
                <w:b/>
                <w:bCs/>
                <w:noProof/>
                <w:color w:val="000000"/>
                <w:sz w:val="20"/>
                <w:szCs w:val="20"/>
                <w:lang w:val="en-IE" w:eastAsia="en-IE"/>
              </w:rPr>
            </w:pPr>
            <w:r w:rsidRPr="00C2043F">
              <w:rPr>
                <w:b/>
                <w:bCs/>
                <w:noProof/>
                <w:color w:val="000000"/>
                <w:sz w:val="20"/>
                <w:szCs w:val="20"/>
                <w:lang w:val="en-IE" w:eastAsia="en-IE"/>
              </w:rPr>
              <w:t>TOTAL MFF</w:t>
            </w:r>
            <w:r>
              <w:rPr>
                <w:b/>
                <w:bCs/>
                <w:noProof/>
                <w:color w:val="000000"/>
                <w:sz w:val="20"/>
                <w:szCs w:val="20"/>
                <w:lang w:val="en-IE" w:eastAsia="en-IE"/>
              </w:rPr>
              <w:t xml:space="preserve"> </w:t>
            </w:r>
            <w:r w:rsidRPr="00C2043F">
              <w:rPr>
                <w:b/>
                <w:bCs/>
                <w:noProof/>
                <w:color w:val="000000"/>
                <w:sz w:val="20"/>
                <w:szCs w:val="20"/>
                <w:lang w:val="en-IE" w:eastAsia="en-IE"/>
              </w:rPr>
              <w:t>2021-2027</w:t>
            </w:r>
          </w:p>
        </w:tc>
        <w:tc>
          <w:tcPr>
            <w:tcW w:w="343" w:type="pct"/>
            <w:vMerge w:val="restart"/>
            <w:vAlign w:val="center"/>
          </w:tcPr>
          <w:p w14:paraId="23AC3655" w14:textId="77777777" w:rsidR="00AF7A86" w:rsidRDefault="00AF7A86">
            <w:pPr>
              <w:spacing w:before="0" w:after="0"/>
              <w:jc w:val="center"/>
              <w:rPr>
                <w:b/>
                <w:bCs/>
                <w:noProof/>
                <w:color w:val="000000"/>
                <w:sz w:val="20"/>
                <w:szCs w:val="20"/>
                <w:lang w:val="en-IE" w:eastAsia="en-IE"/>
              </w:rPr>
            </w:pPr>
            <w:r>
              <w:rPr>
                <w:b/>
                <w:bCs/>
                <w:noProof/>
                <w:color w:val="000000"/>
                <w:sz w:val="20"/>
                <w:szCs w:val="20"/>
                <w:lang w:val="en-IE" w:eastAsia="en-IE"/>
              </w:rPr>
              <w:t>POST 2027</w:t>
            </w:r>
          </w:p>
        </w:tc>
      </w:tr>
      <w:tr w:rsidR="00AF7A86" w:rsidRPr="00C2043F" w14:paraId="4BDC4C61" w14:textId="77777777">
        <w:trPr>
          <w:trHeight w:val="288"/>
        </w:trPr>
        <w:tc>
          <w:tcPr>
            <w:tcW w:w="3015" w:type="pct"/>
            <w:gridSpan w:val="4"/>
            <w:vMerge/>
            <w:vAlign w:val="center"/>
            <w:hideMark/>
          </w:tcPr>
          <w:p w14:paraId="2CD56AA9" w14:textId="77777777" w:rsidR="00AF7A86" w:rsidRPr="00C2043F" w:rsidRDefault="00AF7A86">
            <w:pPr>
              <w:spacing w:before="0" w:after="0"/>
              <w:jc w:val="left"/>
              <w:rPr>
                <w:noProof/>
                <w:color w:val="000000"/>
                <w:sz w:val="22"/>
                <w:lang w:val="en-IE" w:eastAsia="en-IE"/>
              </w:rPr>
            </w:pPr>
          </w:p>
        </w:tc>
        <w:tc>
          <w:tcPr>
            <w:tcW w:w="254" w:type="pct"/>
            <w:vAlign w:val="center"/>
            <w:hideMark/>
          </w:tcPr>
          <w:p w14:paraId="12699636" w14:textId="77777777" w:rsidR="00AF7A86" w:rsidRPr="00C2043F" w:rsidRDefault="00AF7A86">
            <w:pPr>
              <w:spacing w:before="0" w:after="0"/>
              <w:jc w:val="center"/>
              <w:rPr>
                <w:b/>
                <w:bCs/>
                <w:noProof/>
                <w:color w:val="000000"/>
                <w:sz w:val="20"/>
                <w:szCs w:val="20"/>
                <w:lang w:val="en-IE" w:eastAsia="en-IE"/>
              </w:rPr>
            </w:pPr>
            <w:r w:rsidRPr="00C2043F">
              <w:rPr>
                <w:b/>
                <w:bCs/>
                <w:noProof/>
                <w:color w:val="000000"/>
                <w:sz w:val="20"/>
                <w:szCs w:val="20"/>
                <w:lang w:val="en-IE" w:eastAsia="en-IE"/>
              </w:rPr>
              <w:t>2024</w:t>
            </w:r>
          </w:p>
        </w:tc>
        <w:tc>
          <w:tcPr>
            <w:tcW w:w="267" w:type="pct"/>
            <w:vAlign w:val="center"/>
            <w:hideMark/>
          </w:tcPr>
          <w:p w14:paraId="77B44DA9" w14:textId="77777777" w:rsidR="00AF7A86" w:rsidRPr="00C2043F" w:rsidRDefault="00AF7A86">
            <w:pPr>
              <w:spacing w:before="0" w:after="0"/>
              <w:jc w:val="center"/>
              <w:rPr>
                <w:b/>
                <w:bCs/>
                <w:noProof/>
                <w:color w:val="000000"/>
                <w:sz w:val="20"/>
                <w:szCs w:val="20"/>
                <w:lang w:val="en-IE" w:eastAsia="en-IE"/>
              </w:rPr>
            </w:pPr>
            <w:r w:rsidRPr="00C2043F">
              <w:rPr>
                <w:b/>
                <w:bCs/>
                <w:noProof/>
                <w:color w:val="000000"/>
                <w:sz w:val="20"/>
                <w:szCs w:val="20"/>
                <w:lang w:val="en-IE" w:eastAsia="en-IE"/>
              </w:rPr>
              <w:t>2025</w:t>
            </w:r>
          </w:p>
        </w:tc>
        <w:tc>
          <w:tcPr>
            <w:tcW w:w="267" w:type="pct"/>
            <w:vAlign w:val="center"/>
            <w:hideMark/>
          </w:tcPr>
          <w:p w14:paraId="5B144780" w14:textId="77777777" w:rsidR="00AF7A86" w:rsidRPr="00C2043F" w:rsidRDefault="00AF7A86">
            <w:pPr>
              <w:spacing w:before="0" w:after="0"/>
              <w:jc w:val="center"/>
              <w:rPr>
                <w:b/>
                <w:bCs/>
                <w:noProof/>
                <w:color w:val="000000"/>
                <w:sz w:val="20"/>
                <w:szCs w:val="20"/>
                <w:lang w:val="en-IE" w:eastAsia="en-IE"/>
              </w:rPr>
            </w:pPr>
            <w:r w:rsidRPr="00C2043F">
              <w:rPr>
                <w:b/>
                <w:bCs/>
                <w:noProof/>
                <w:color w:val="000000"/>
                <w:sz w:val="20"/>
                <w:szCs w:val="20"/>
                <w:lang w:val="en-IE" w:eastAsia="en-IE"/>
              </w:rPr>
              <w:t>2026</w:t>
            </w:r>
          </w:p>
        </w:tc>
        <w:tc>
          <w:tcPr>
            <w:tcW w:w="252" w:type="pct"/>
          </w:tcPr>
          <w:p w14:paraId="3407E420" w14:textId="77777777" w:rsidR="00AF7A86" w:rsidRPr="00C2043F" w:rsidRDefault="00AF7A86">
            <w:pPr>
              <w:spacing w:before="0" w:after="0"/>
              <w:jc w:val="center"/>
              <w:rPr>
                <w:b/>
                <w:bCs/>
                <w:noProof/>
                <w:color w:val="000000"/>
                <w:sz w:val="20"/>
                <w:szCs w:val="20"/>
                <w:lang w:val="en-IE" w:eastAsia="en-IE"/>
              </w:rPr>
            </w:pPr>
          </w:p>
        </w:tc>
        <w:tc>
          <w:tcPr>
            <w:tcW w:w="252" w:type="pct"/>
            <w:vAlign w:val="center"/>
            <w:hideMark/>
          </w:tcPr>
          <w:p w14:paraId="2DC7654F" w14:textId="77777777" w:rsidR="00AF7A86" w:rsidRPr="00C2043F" w:rsidRDefault="00AF7A86">
            <w:pPr>
              <w:spacing w:before="0" w:after="0"/>
              <w:jc w:val="center"/>
              <w:rPr>
                <w:b/>
                <w:bCs/>
                <w:noProof/>
                <w:color w:val="000000"/>
                <w:sz w:val="20"/>
                <w:szCs w:val="20"/>
                <w:lang w:val="en-IE" w:eastAsia="en-IE"/>
              </w:rPr>
            </w:pPr>
            <w:r w:rsidRPr="00C2043F">
              <w:rPr>
                <w:b/>
                <w:bCs/>
                <w:noProof/>
                <w:color w:val="000000"/>
                <w:sz w:val="20"/>
                <w:szCs w:val="20"/>
                <w:lang w:val="en-IE" w:eastAsia="en-IE"/>
              </w:rPr>
              <w:t>2027</w:t>
            </w:r>
          </w:p>
        </w:tc>
        <w:tc>
          <w:tcPr>
            <w:tcW w:w="350" w:type="pct"/>
            <w:vMerge/>
            <w:vAlign w:val="center"/>
            <w:hideMark/>
          </w:tcPr>
          <w:p w14:paraId="55865EB1" w14:textId="77777777" w:rsidR="00AF7A86" w:rsidRPr="00C2043F" w:rsidRDefault="00AF7A86">
            <w:pPr>
              <w:spacing w:before="0" w:after="0"/>
              <w:jc w:val="left"/>
              <w:rPr>
                <w:b/>
                <w:bCs/>
                <w:noProof/>
                <w:color w:val="000000"/>
                <w:sz w:val="20"/>
                <w:szCs w:val="20"/>
                <w:lang w:val="en-IE" w:eastAsia="en-IE"/>
              </w:rPr>
            </w:pPr>
          </w:p>
        </w:tc>
        <w:tc>
          <w:tcPr>
            <w:tcW w:w="343" w:type="pct"/>
            <w:vMerge/>
            <w:vAlign w:val="center"/>
          </w:tcPr>
          <w:p w14:paraId="1EEB81B9" w14:textId="77777777" w:rsidR="00AF7A86" w:rsidRPr="00C2043F" w:rsidRDefault="00AF7A86">
            <w:pPr>
              <w:spacing w:before="0" w:after="0"/>
              <w:jc w:val="center"/>
              <w:rPr>
                <w:b/>
                <w:bCs/>
                <w:noProof/>
                <w:color w:val="000000"/>
                <w:sz w:val="20"/>
                <w:szCs w:val="20"/>
                <w:lang w:val="en-IE" w:eastAsia="en-IE"/>
              </w:rPr>
            </w:pPr>
          </w:p>
        </w:tc>
      </w:tr>
      <w:tr w:rsidR="00AF7A86" w:rsidRPr="00C2043F" w14:paraId="14D028DB" w14:textId="77777777">
        <w:trPr>
          <w:trHeight w:val="300"/>
        </w:trPr>
        <w:tc>
          <w:tcPr>
            <w:tcW w:w="406" w:type="pct"/>
          </w:tcPr>
          <w:p w14:paraId="5D6B0B97" w14:textId="77777777" w:rsidR="00AF7A86" w:rsidRPr="00C2043F" w:rsidRDefault="00AF7A86">
            <w:pPr>
              <w:spacing w:before="0" w:after="0"/>
              <w:jc w:val="left"/>
              <w:rPr>
                <w:noProof/>
                <w:color w:val="000000"/>
                <w:sz w:val="21"/>
                <w:szCs w:val="21"/>
                <w:lang w:val="en-IE" w:eastAsia="en-IE"/>
              </w:rPr>
            </w:pPr>
          </w:p>
        </w:tc>
        <w:tc>
          <w:tcPr>
            <w:tcW w:w="4251" w:type="pct"/>
            <w:gridSpan w:val="9"/>
            <w:vAlign w:val="center"/>
            <w:hideMark/>
          </w:tcPr>
          <w:p w14:paraId="6EA87E56" w14:textId="77777777" w:rsidR="00AF7A86" w:rsidRPr="00C2043F" w:rsidRDefault="00AF7A86">
            <w:pPr>
              <w:spacing w:before="0" w:after="0"/>
              <w:jc w:val="left"/>
              <w:rPr>
                <w:noProof/>
                <w:color w:val="000000"/>
                <w:sz w:val="21"/>
                <w:szCs w:val="21"/>
                <w:lang w:val="en-IE" w:eastAsia="en-IE"/>
              </w:rPr>
            </w:pPr>
            <w:r w:rsidRPr="00C2043F">
              <w:rPr>
                <w:noProof/>
                <w:color w:val="000000"/>
                <w:sz w:val="21"/>
                <w:szCs w:val="21"/>
                <w:lang w:val="en-IE" w:eastAsia="en-IE"/>
              </w:rPr>
              <w:t xml:space="preserve">Operational appropriations </w:t>
            </w:r>
          </w:p>
        </w:tc>
        <w:tc>
          <w:tcPr>
            <w:tcW w:w="343" w:type="pct"/>
            <w:vAlign w:val="center"/>
          </w:tcPr>
          <w:p w14:paraId="5103AB51" w14:textId="77777777" w:rsidR="00AF7A86" w:rsidRPr="00C2043F" w:rsidRDefault="00AF7A86">
            <w:pPr>
              <w:spacing w:before="0" w:after="0"/>
              <w:jc w:val="center"/>
              <w:rPr>
                <w:noProof/>
                <w:color w:val="000000"/>
                <w:sz w:val="21"/>
                <w:szCs w:val="21"/>
                <w:lang w:val="en-IE" w:eastAsia="en-IE"/>
              </w:rPr>
            </w:pPr>
          </w:p>
        </w:tc>
      </w:tr>
      <w:tr w:rsidR="00AF7A86" w:rsidRPr="00C2043F" w14:paraId="1C7C3B78" w14:textId="77777777">
        <w:trPr>
          <w:trHeight w:val="288"/>
        </w:trPr>
        <w:tc>
          <w:tcPr>
            <w:tcW w:w="2301" w:type="pct"/>
            <w:gridSpan w:val="2"/>
            <w:vMerge w:val="restart"/>
            <w:noWrap/>
            <w:vAlign w:val="center"/>
            <w:hideMark/>
          </w:tcPr>
          <w:p w14:paraId="10BC18A7" w14:textId="77777777" w:rsidR="00AF7A86" w:rsidRPr="00C2043F" w:rsidRDefault="00AF7A86">
            <w:pPr>
              <w:spacing w:before="0" w:after="0"/>
              <w:jc w:val="left"/>
              <w:rPr>
                <w:noProof/>
                <w:color w:val="000000"/>
                <w:sz w:val="22"/>
                <w:lang w:val="en-IE" w:eastAsia="en-IE"/>
              </w:rPr>
            </w:pPr>
            <w:r w:rsidRPr="405CC573">
              <w:rPr>
                <w:noProof/>
                <w:color w:val="000000" w:themeColor="text1"/>
                <w:sz w:val="22"/>
                <w:lang w:val="en-IE" w:eastAsia="en-IE"/>
              </w:rPr>
              <w:t>Budget line</w:t>
            </w:r>
            <w:r>
              <w:rPr>
                <w:noProof/>
                <w:color w:val="000000" w:themeColor="text1"/>
                <w:sz w:val="22"/>
                <w:lang w:val="en-IE" w:eastAsia="en-IE"/>
              </w:rPr>
              <w:t xml:space="preserve">: </w:t>
            </w:r>
            <w:r w:rsidRPr="00C61379">
              <w:rPr>
                <w:noProof/>
                <w:color w:val="000000" w:themeColor="text1"/>
                <w:sz w:val="22"/>
                <w:lang w:val="en-IE" w:eastAsia="en-IE"/>
              </w:rPr>
              <w:t>02.03.02 Connecting Europe Facility – Energy</w:t>
            </w:r>
          </w:p>
        </w:tc>
        <w:tc>
          <w:tcPr>
            <w:tcW w:w="435" w:type="pct"/>
            <w:vAlign w:val="center"/>
            <w:hideMark/>
          </w:tcPr>
          <w:p w14:paraId="1B0A6FE6" w14:textId="77777777" w:rsidR="00AF7A86" w:rsidRPr="00C2043F" w:rsidRDefault="00AF7A86">
            <w:pPr>
              <w:spacing w:before="0" w:after="0"/>
              <w:rPr>
                <w:noProof/>
                <w:color w:val="000000"/>
                <w:sz w:val="18"/>
                <w:szCs w:val="18"/>
                <w:lang w:val="en-IE" w:eastAsia="en-IE"/>
              </w:rPr>
            </w:pPr>
            <w:r w:rsidRPr="00C2043F">
              <w:rPr>
                <w:noProof/>
                <w:color w:val="000000"/>
                <w:sz w:val="18"/>
                <w:szCs w:val="18"/>
                <w:lang w:val="en-IE" w:eastAsia="en-IE"/>
              </w:rPr>
              <w:t>Commitments</w:t>
            </w:r>
          </w:p>
        </w:tc>
        <w:tc>
          <w:tcPr>
            <w:tcW w:w="280" w:type="pct"/>
            <w:vAlign w:val="center"/>
            <w:hideMark/>
          </w:tcPr>
          <w:p w14:paraId="7A738AFD" w14:textId="77777777" w:rsidR="00AF7A86" w:rsidRPr="00C2043F" w:rsidRDefault="00AF7A86">
            <w:pPr>
              <w:spacing w:before="0" w:after="0"/>
              <w:jc w:val="center"/>
              <w:rPr>
                <w:noProof/>
                <w:color w:val="000000"/>
                <w:sz w:val="14"/>
                <w:szCs w:val="14"/>
                <w:lang w:val="en-IE" w:eastAsia="en-IE"/>
              </w:rPr>
            </w:pPr>
            <w:r w:rsidRPr="00C2043F">
              <w:rPr>
                <w:noProof/>
                <w:color w:val="000000"/>
                <w:sz w:val="14"/>
                <w:szCs w:val="14"/>
                <w:lang w:val="en-IE" w:eastAsia="en-IE"/>
              </w:rPr>
              <w:t>(1a)</w:t>
            </w:r>
          </w:p>
        </w:tc>
        <w:tc>
          <w:tcPr>
            <w:tcW w:w="254" w:type="pct"/>
            <w:vAlign w:val="center"/>
            <w:hideMark/>
          </w:tcPr>
          <w:p w14:paraId="3DA81435" w14:textId="77777777" w:rsidR="00AF7A86" w:rsidRPr="00C2043F" w:rsidRDefault="00AF7A86">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67" w:type="pct"/>
            <w:vAlign w:val="center"/>
            <w:hideMark/>
          </w:tcPr>
          <w:p w14:paraId="741BF850" w14:textId="77777777" w:rsidR="00AF7A86" w:rsidRPr="00C2043F" w:rsidRDefault="00AF7A86">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67" w:type="pct"/>
            <w:vAlign w:val="center"/>
            <w:hideMark/>
          </w:tcPr>
          <w:p w14:paraId="701204B4" w14:textId="77777777" w:rsidR="00AF7A86" w:rsidRPr="00C2043F" w:rsidRDefault="00AF7A86">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52" w:type="pct"/>
          </w:tcPr>
          <w:p w14:paraId="7E4B601A" w14:textId="77777777" w:rsidR="00AF7A86" w:rsidRDefault="00AF7A86">
            <w:pPr>
              <w:spacing w:before="0" w:after="0"/>
              <w:jc w:val="right"/>
              <w:rPr>
                <w:noProof/>
                <w:color w:val="000000"/>
                <w:sz w:val="20"/>
                <w:szCs w:val="20"/>
                <w:lang w:val="en-IE" w:eastAsia="en-IE"/>
              </w:rPr>
            </w:pPr>
          </w:p>
        </w:tc>
        <w:tc>
          <w:tcPr>
            <w:tcW w:w="252" w:type="pct"/>
            <w:vAlign w:val="center"/>
            <w:hideMark/>
          </w:tcPr>
          <w:p w14:paraId="2CB2C93F" w14:textId="77777777" w:rsidR="00AF7A86" w:rsidRPr="00C2043F" w:rsidRDefault="00AF7A86">
            <w:pPr>
              <w:spacing w:before="0" w:after="0"/>
              <w:jc w:val="right"/>
              <w:rPr>
                <w:noProof/>
                <w:color w:val="000000"/>
                <w:sz w:val="20"/>
                <w:szCs w:val="20"/>
                <w:lang w:val="en-IE" w:eastAsia="en-IE"/>
              </w:rPr>
            </w:pPr>
            <w:r>
              <w:rPr>
                <w:noProof/>
                <w:color w:val="000000"/>
                <w:sz w:val="20"/>
                <w:szCs w:val="20"/>
                <w:lang w:val="en-IE" w:eastAsia="en-IE"/>
              </w:rPr>
              <w:t>4.232</w:t>
            </w:r>
            <w:r w:rsidRPr="00C2043F">
              <w:rPr>
                <w:noProof/>
                <w:color w:val="000000"/>
                <w:sz w:val="20"/>
                <w:szCs w:val="20"/>
                <w:lang w:val="en-IE" w:eastAsia="en-IE"/>
              </w:rPr>
              <w:t> </w:t>
            </w:r>
          </w:p>
        </w:tc>
        <w:tc>
          <w:tcPr>
            <w:tcW w:w="350" w:type="pct"/>
            <w:shd w:val="clear" w:color="auto" w:fill="D9D9D9" w:themeFill="background1" w:themeFillShade="D9"/>
            <w:vAlign w:val="center"/>
            <w:hideMark/>
          </w:tcPr>
          <w:p w14:paraId="61DF3CD8" w14:textId="77777777" w:rsidR="00AF7A86" w:rsidRPr="00C2043F" w:rsidRDefault="00AF7A86">
            <w:pPr>
              <w:spacing w:before="0" w:after="0"/>
              <w:jc w:val="right"/>
              <w:rPr>
                <w:b/>
                <w:bCs/>
                <w:noProof/>
                <w:color w:val="000000"/>
                <w:sz w:val="20"/>
                <w:szCs w:val="20"/>
                <w:lang w:val="en-IE" w:eastAsia="en-IE"/>
              </w:rPr>
            </w:pPr>
            <w:r>
              <w:rPr>
                <w:b/>
                <w:bCs/>
                <w:noProof/>
                <w:color w:val="000000"/>
                <w:sz w:val="20"/>
                <w:szCs w:val="20"/>
                <w:lang w:val="en-IE" w:eastAsia="en-IE"/>
              </w:rPr>
              <w:t>4.232</w:t>
            </w:r>
            <w:r>
              <w:rPr>
                <w:rStyle w:val="FootnoteReference"/>
                <w:b/>
                <w:bCs/>
                <w:noProof/>
                <w:color w:val="000000"/>
                <w:sz w:val="20"/>
                <w:szCs w:val="20"/>
                <w:lang w:val="en-IE" w:eastAsia="en-IE"/>
              </w:rPr>
              <w:footnoteReference w:id="77"/>
            </w:r>
          </w:p>
        </w:tc>
        <w:tc>
          <w:tcPr>
            <w:tcW w:w="343" w:type="pct"/>
            <w:shd w:val="clear" w:color="auto" w:fill="D9D9D9" w:themeFill="background1" w:themeFillShade="D9"/>
            <w:vAlign w:val="center"/>
          </w:tcPr>
          <w:p w14:paraId="4C2E04D5" w14:textId="77777777" w:rsidR="00AF7A86" w:rsidRDefault="00AF7A86">
            <w:pPr>
              <w:spacing w:before="0" w:after="0"/>
              <w:jc w:val="center"/>
              <w:rPr>
                <w:b/>
                <w:bCs/>
                <w:noProof/>
                <w:color w:val="000000"/>
                <w:sz w:val="20"/>
                <w:szCs w:val="20"/>
                <w:lang w:val="en-IE" w:eastAsia="en-IE"/>
              </w:rPr>
            </w:pPr>
            <w:r>
              <w:rPr>
                <w:b/>
                <w:bCs/>
                <w:noProof/>
                <w:color w:val="000000"/>
                <w:sz w:val="20"/>
                <w:szCs w:val="20"/>
                <w:lang w:val="en-IE" w:eastAsia="en-IE"/>
              </w:rPr>
              <w:t>6.732</w:t>
            </w:r>
          </w:p>
        </w:tc>
      </w:tr>
      <w:tr w:rsidR="00AF7A86" w:rsidRPr="00C2043F" w14:paraId="0D01C7F7" w14:textId="77777777">
        <w:trPr>
          <w:trHeight w:val="315"/>
        </w:trPr>
        <w:tc>
          <w:tcPr>
            <w:tcW w:w="2301" w:type="pct"/>
            <w:gridSpan w:val="2"/>
            <w:vMerge/>
            <w:vAlign w:val="center"/>
            <w:hideMark/>
          </w:tcPr>
          <w:p w14:paraId="65022722" w14:textId="77777777" w:rsidR="00AF7A86" w:rsidRPr="00C2043F" w:rsidRDefault="00AF7A86">
            <w:pPr>
              <w:spacing w:before="0" w:after="0"/>
              <w:jc w:val="left"/>
              <w:rPr>
                <w:noProof/>
                <w:color w:val="000000"/>
                <w:sz w:val="22"/>
                <w:lang w:val="en-IE" w:eastAsia="en-IE"/>
              </w:rPr>
            </w:pPr>
          </w:p>
        </w:tc>
        <w:tc>
          <w:tcPr>
            <w:tcW w:w="435" w:type="pct"/>
            <w:vAlign w:val="center"/>
            <w:hideMark/>
          </w:tcPr>
          <w:p w14:paraId="1EA43A91" w14:textId="77777777" w:rsidR="00AF7A86" w:rsidRPr="00C2043F" w:rsidRDefault="00AF7A86">
            <w:pPr>
              <w:spacing w:before="0" w:after="0"/>
              <w:rPr>
                <w:noProof/>
                <w:color w:val="000000"/>
                <w:sz w:val="18"/>
                <w:szCs w:val="18"/>
                <w:lang w:val="en-IE" w:eastAsia="en-IE"/>
              </w:rPr>
            </w:pPr>
            <w:r w:rsidRPr="00C2043F">
              <w:rPr>
                <w:noProof/>
                <w:color w:val="000000"/>
                <w:sz w:val="18"/>
                <w:szCs w:val="18"/>
                <w:lang w:val="en-IE" w:eastAsia="en-IE"/>
              </w:rPr>
              <w:t>Payments</w:t>
            </w:r>
          </w:p>
        </w:tc>
        <w:tc>
          <w:tcPr>
            <w:tcW w:w="280" w:type="pct"/>
            <w:vAlign w:val="center"/>
            <w:hideMark/>
          </w:tcPr>
          <w:p w14:paraId="1D677FC8" w14:textId="77777777" w:rsidR="00AF7A86" w:rsidRPr="00C2043F" w:rsidRDefault="00AF7A86">
            <w:pPr>
              <w:spacing w:before="0" w:after="0"/>
              <w:jc w:val="center"/>
              <w:rPr>
                <w:noProof/>
                <w:color w:val="000000"/>
                <w:sz w:val="14"/>
                <w:szCs w:val="14"/>
                <w:lang w:val="en-IE" w:eastAsia="en-IE"/>
              </w:rPr>
            </w:pPr>
            <w:r w:rsidRPr="00C2043F">
              <w:rPr>
                <w:noProof/>
                <w:color w:val="000000"/>
                <w:sz w:val="14"/>
                <w:szCs w:val="14"/>
                <w:lang w:val="en-IE" w:eastAsia="en-IE"/>
              </w:rPr>
              <w:t>(2a)</w:t>
            </w:r>
          </w:p>
        </w:tc>
        <w:tc>
          <w:tcPr>
            <w:tcW w:w="254" w:type="pct"/>
            <w:vAlign w:val="center"/>
            <w:hideMark/>
          </w:tcPr>
          <w:p w14:paraId="269DCA7D" w14:textId="77777777" w:rsidR="00AF7A86" w:rsidRPr="00C2043F" w:rsidRDefault="00AF7A86">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67" w:type="pct"/>
            <w:vAlign w:val="center"/>
            <w:hideMark/>
          </w:tcPr>
          <w:p w14:paraId="0E6DE50C" w14:textId="77777777" w:rsidR="00AF7A86" w:rsidRPr="00C2043F" w:rsidRDefault="00AF7A86">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67" w:type="pct"/>
            <w:vAlign w:val="center"/>
            <w:hideMark/>
          </w:tcPr>
          <w:p w14:paraId="28F8A35A" w14:textId="77777777" w:rsidR="00AF7A86" w:rsidRPr="00C2043F" w:rsidRDefault="00AF7A86">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52" w:type="pct"/>
          </w:tcPr>
          <w:p w14:paraId="659F6AB1" w14:textId="77777777" w:rsidR="00AF7A86" w:rsidRDefault="00AF7A86">
            <w:pPr>
              <w:spacing w:before="0" w:after="0"/>
              <w:jc w:val="right"/>
              <w:rPr>
                <w:noProof/>
                <w:color w:val="000000" w:themeColor="text1"/>
                <w:sz w:val="20"/>
                <w:szCs w:val="20"/>
                <w:lang w:val="en-IE" w:eastAsia="en-IE"/>
              </w:rPr>
            </w:pPr>
          </w:p>
        </w:tc>
        <w:tc>
          <w:tcPr>
            <w:tcW w:w="252" w:type="pct"/>
            <w:vAlign w:val="center"/>
            <w:hideMark/>
          </w:tcPr>
          <w:p w14:paraId="2FCCEE94" w14:textId="77777777" w:rsidR="00AF7A86" w:rsidRPr="00C2043F" w:rsidRDefault="00AF7A86">
            <w:pPr>
              <w:spacing w:before="0" w:after="0"/>
              <w:jc w:val="right"/>
              <w:rPr>
                <w:noProof/>
                <w:color w:val="000000"/>
                <w:sz w:val="20"/>
                <w:szCs w:val="20"/>
                <w:lang w:val="en-IE" w:eastAsia="en-IE"/>
              </w:rPr>
            </w:pPr>
            <w:r>
              <w:rPr>
                <w:noProof/>
                <w:color w:val="000000" w:themeColor="text1"/>
                <w:sz w:val="20"/>
                <w:szCs w:val="20"/>
                <w:lang w:val="en-IE" w:eastAsia="en-IE"/>
              </w:rPr>
              <w:t>3.232</w:t>
            </w:r>
            <w:r w:rsidRPr="405CC573">
              <w:rPr>
                <w:noProof/>
                <w:color w:val="000000" w:themeColor="text1"/>
                <w:sz w:val="20"/>
                <w:szCs w:val="20"/>
                <w:lang w:val="en-IE" w:eastAsia="en-IE"/>
              </w:rPr>
              <w:t> </w:t>
            </w:r>
          </w:p>
        </w:tc>
        <w:tc>
          <w:tcPr>
            <w:tcW w:w="350" w:type="pct"/>
            <w:shd w:val="clear" w:color="auto" w:fill="D9D9D9" w:themeFill="background1" w:themeFillShade="D9"/>
            <w:vAlign w:val="center"/>
            <w:hideMark/>
          </w:tcPr>
          <w:p w14:paraId="63E97B48" w14:textId="77777777" w:rsidR="00AF7A86" w:rsidRPr="00C2043F" w:rsidRDefault="00AF7A86">
            <w:pPr>
              <w:spacing w:before="0" w:after="0"/>
              <w:jc w:val="right"/>
              <w:rPr>
                <w:b/>
                <w:bCs/>
                <w:noProof/>
                <w:color w:val="000000"/>
                <w:sz w:val="20"/>
                <w:szCs w:val="20"/>
                <w:lang w:val="en-IE" w:eastAsia="en-IE"/>
              </w:rPr>
            </w:pPr>
            <w:r>
              <w:rPr>
                <w:b/>
                <w:noProof/>
                <w:color w:val="000000" w:themeColor="text1"/>
                <w:sz w:val="20"/>
                <w:szCs w:val="20"/>
                <w:lang w:val="en-IE" w:eastAsia="en-IE"/>
              </w:rPr>
              <w:t>3.232</w:t>
            </w:r>
          </w:p>
        </w:tc>
        <w:tc>
          <w:tcPr>
            <w:tcW w:w="343" w:type="pct"/>
            <w:shd w:val="clear" w:color="auto" w:fill="D9D9D9" w:themeFill="background1" w:themeFillShade="D9"/>
            <w:vAlign w:val="center"/>
          </w:tcPr>
          <w:p w14:paraId="0F2B58FE" w14:textId="77777777" w:rsidR="00AF7A86" w:rsidRDefault="00AF7A86">
            <w:pPr>
              <w:spacing w:before="0" w:after="0"/>
              <w:jc w:val="center"/>
              <w:rPr>
                <w:b/>
                <w:noProof/>
                <w:color w:val="000000" w:themeColor="text1"/>
                <w:sz w:val="20"/>
                <w:szCs w:val="20"/>
                <w:lang w:val="en-IE" w:eastAsia="en-IE"/>
              </w:rPr>
            </w:pPr>
            <w:r>
              <w:rPr>
                <w:b/>
                <w:noProof/>
                <w:color w:val="000000" w:themeColor="text1"/>
                <w:sz w:val="20"/>
                <w:szCs w:val="20"/>
                <w:lang w:val="en-IE" w:eastAsia="en-IE"/>
              </w:rPr>
              <w:t>7.732</w:t>
            </w:r>
          </w:p>
        </w:tc>
      </w:tr>
      <w:tr w:rsidR="00AF7A86" w:rsidRPr="00C2043F" w14:paraId="01B1F799" w14:textId="77777777">
        <w:trPr>
          <w:trHeight w:val="288"/>
        </w:trPr>
        <w:tc>
          <w:tcPr>
            <w:tcW w:w="406" w:type="pct"/>
          </w:tcPr>
          <w:p w14:paraId="18611158" w14:textId="77777777" w:rsidR="00AF7A86" w:rsidRPr="00C2043F" w:rsidRDefault="00AF7A86">
            <w:pPr>
              <w:spacing w:before="0" w:after="0"/>
              <w:jc w:val="left"/>
              <w:rPr>
                <w:noProof/>
                <w:color w:val="000000"/>
                <w:sz w:val="22"/>
                <w:lang w:val="en-IE" w:eastAsia="en-IE"/>
              </w:rPr>
            </w:pPr>
          </w:p>
        </w:tc>
        <w:tc>
          <w:tcPr>
            <w:tcW w:w="4251" w:type="pct"/>
            <w:gridSpan w:val="9"/>
            <w:noWrap/>
            <w:vAlign w:val="bottom"/>
            <w:hideMark/>
          </w:tcPr>
          <w:p w14:paraId="5EE322CD" w14:textId="77777777" w:rsidR="00AF7A86" w:rsidRPr="00C2043F" w:rsidRDefault="00AF7A86">
            <w:pPr>
              <w:spacing w:before="0" w:after="0"/>
              <w:jc w:val="left"/>
              <w:rPr>
                <w:noProof/>
                <w:color w:val="000000"/>
                <w:sz w:val="22"/>
                <w:lang w:val="en-IE" w:eastAsia="en-IE"/>
              </w:rPr>
            </w:pPr>
            <w:r w:rsidRPr="00C2043F">
              <w:rPr>
                <w:noProof/>
                <w:color w:val="000000"/>
                <w:sz w:val="22"/>
                <w:lang w:val="en-IE" w:eastAsia="en-IE"/>
              </w:rPr>
              <w:t>Appropriations of an administrative nature financed from the envelope of specific programme</w:t>
            </w:r>
            <w:r>
              <w:rPr>
                <w:noProof/>
                <w:color w:val="000000"/>
                <w:sz w:val="22"/>
                <w:lang w:val="en-IE" w:eastAsia="en-IE"/>
              </w:rPr>
              <w:t xml:space="preserve">s </w:t>
            </w:r>
          </w:p>
        </w:tc>
        <w:tc>
          <w:tcPr>
            <w:tcW w:w="343" w:type="pct"/>
            <w:vAlign w:val="center"/>
          </w:tcPr>
          <w:p w14:paraId="4ABAF767" w14:textId="77777777" w:rsidR="00AF7A86" w:rsidRPr="00C2043F" w:rsidRDefault="00AF7A86">
            <w:pPr>
              <w:spacing w:before="0" w:after="0"/>
              <w:jc w:val="center"/>
              <w:rPr>
                <w:noProof/>
                <w:color w:val="000000"/>
                <w:sz w:val="22"/>
                <w:lang w:val="en-IE" w:eastAsia="en-IE"/>
              </w:rPr>
            </w:pPr>
          </w:p>
        </w:tc>
      </w:tr>
      <w:tr w:rsidR="00AF7A86" w:rsidRPr="00C2043F" w14:paraId="05E17C9D" w14:textId="77777777">
        <w:trPr>
          <w:trHeight w:val="288"/>
        </w:trPr>
        <w:tc>
          <w:tcPr>
            <w:tcW w:w="2301" w:type="pct"/>
            <w:gridSpan w:val="2"/>
            <w:vAlign w:val="center"/>
            <w:hideMark/>
          </w:tcPr>
          <w:p w14:paraId="23745F82" w14:textId="77777777" w:rsidR="00AF7A86" w:rsidRPr="00C2043F" w:rsidRDefault="00AF7A86">
            <w:pPr>
              <w:spacing w:before="0" w:after="0"/>
              <w:rPr>
                <w:noProof/>
                <w:color w:val="000000"/>
                <w:sz w:val="20"/>
                <w:szCs w:val="20"/>
                <w:lang w:val="en-IE" w:eastAsia="en-IE"/>
              </w:rPr>
            </w:pPr>
            <w:r w:rsidRPr="00C2043F">
              <w:rPr>
                <w:noProof/>
                <w:color w:val="000000"/>
                <w:sz w:val="20"/>
                <w:szCs w:val="20"/>
                <w:lang w:val="en-IE" w:eastAsia="en-IE"/>
              </w:rPr>
              <w:t>Budget line</w:t>
            </w:r>
            <w:r>
              <w:rPr>
                <w:noProof/>
                <w:color w:val="000000"/>
                <w:sz w:val="20"/>
                <w:szCs w:val="20"/>
                <w:lang w:val="en-IE" w:eastAsia="en-IE"/>
              </w:rPr>
              <w:t xml:space="preserve"> 02.01.22.01 Support expenditure for Connecting Europe Facility - Energy</w:t>
            </w:r>
          </w:p>
        </w:tc>
        <w:tc>
          <w:tcPr>
            <w:tcW w:w="435" w:type="pct"/>
            <w:vAlign w:val="center"/>
            <w:hideMark/>
          </w:tcPr>
          <w:p w14:paraId="4280B72D" w14:textId="77777777" w:rsidR="00AF7A86" w:rsidRPr="00C2043F" w:rsidRDefault="00AF7A86">
            <w:pPr>
              <w:spacing w:before="0" w:after="0"/>
              <w:jc w:val="right"/>
              <w:rPr>
                <w:noProof/>
                <w:color w:val="000000"/>
                <w:sz w:val="18"/>
                <w:szCs w:val="18"/>
                <w:lang w:val="en-IE" w:eastAsia="en-IE"/>
              </w:rPr>
            </w:pPr>
            <w:r w:rsidRPr="00C2043F">
              <w:rPr>
                <w:noProof/>
                <w:color w:val="000000"/>
                <w:sz w:val="18"/>
                <w:szCs w:val="18"/>
                <w:lang w:val="en-IE" w:eastAsia="en-IE"/>
              </w:rPr>
              <w:t> </w:t>
            </w:r>
          </w:p>
        </w:tc>
        <w:tc>
          <w:tcPr>
            <w:tcW w:w="280" w:type="pct"/>
            <w:vAlign w:val="center"/>
            <w:hideMark/>
          </w:tcPr>
          <w:p w14:paraId="5F0005A0" w14:textId="77777777" w:rsidR="00AF7A86" w:rsidRPr="00C2043F" w:rsidRDefault="00AF7A86">
            <w:pPr>
              <w:spacing w:before="0" w:after="0"/>
              <w:jc w:val="center"/>
              <w:rPr>
                <w:noProof/>
                <w:color w:val="000000"/>
                <w:sz w:val="14"/>
                <w:szCs w:val="14"/>
                <w:lang w:val="en-IE" w:eastAsia="en-IE"/>
              </w:rPr>
            </w:pPr>
            <w:r w:rsidRPr="00C2043F">
              <w:rPr>
                <w:noProof/>
                <w:color w:val="000000"/>
                <w:sz w:val="14"/>
                <w:szCs w:val="14"/>
                <w:lang w:val="en-IE" w:eastAsia="en-IE"/>
              </w:rPr>
              <w:t>(3)</w:t>
            </w:r>
          </w:p>
        </w:tc>
        <w:tc>
          <w:tcPr>
            <w:tcW w:w="254" w:type="pct"/>
            <w:vAlign w:val="center"/>
            <w:hideMark/>
          </w:tcPr>
          <w:p w14:paraId="1EE4A185" w14:textId="77777777" w:rsidR="00AF7A86" w:rsidRPr="00C2043F" w:rsidRDefault="00AF7A86">
            <w:pPr>
              <w:spacing w:before="0" w:after="0"/>
              <w:jc w:val="right"/>
              <w:rPr>
                <w:b/>
                <w:bCs/>
                <w:noProof/>
                <w:color w:val="000000"/>
                <w:sz w:val="20"/>
                <w:szCs w:val="20"/>
                <w:lang w:val="en-IE" w:eastAsia="en-IE"/>
              </w:rPr>
            </w:pPr>
            <w:r w:rsidRPr="00C2043F">
              <w:rPr>
                <w:b/>
                <w:bCs/>
                <w:noProof/>
                <w:color w:val="000000"/>
                <w:sz w:val="20"/>
                <w:szCs w:val="20"/>
                <w:lang w:val="en-IE" w:eastAsia="en-IE"/>
              </w:rPr>
              <w:t> </w:t>
            </w:r>
          </w:p>
        </w:tc>
        <w:tc>
          <w:tcPr>
            <w:tcW w:w="267" w:type="pct"/>
            <w:vAlign w:val="center"/>
            <w:hideMark/>
          </w:tcPr>
          <w:p w14:paraId="44152F5A" w14:textId="77777777" w:rsidR="00AF7A86" w:rsidRPr="00C2043F" w:rsidRDefault="00AF7A86">
            <w:pPr>
              <w:spacing w:before="0" w:after="0"/>
              <w:jc w:val="right"/>
              <w:rPr>
                <w:b/>
                <w:bCs/>
                <w:noProof/>
                <w:color w:val="000000"/>
                <w:sz w:val="20"/>
                <w:szCs w:val="20"/>
                <w:lang w:val="en-IE" w:eastAsia="en-IE"/>
              </w:rPr>
            </w:pPr>
            <w:r w:rsidRPr="00C2043F">
              <w:rPr>
                <w:b/>
                <w:bCs/>
                <w:noProof/>
                <w:color w:val="000000"/>
                <w:sz w:val="20"/>
                <w:szCs w:val="20"/>
                <w:lang w:val="en-IE" w:eastAsia="en-IE"/>
              </w:rPr>
              <w:t> </w:t>
            </w:r>
          </w:p>
        </w:tc>
        <w:tc>
          <w:tcPr>
            <w:tcW w:w="267" w:type="pct"/>
            <w:vAlign w:val="center"/>
            <w:hideMark/>
          </w:tcPr>
          <w:p w14:paraId="7BC666D5" w14:textId="77777777" w:rsidR="00AF7A86" w:rsidRPr="00C2043F" w:rsidRDefault="00AF7A86">
            <w:pPr>
              <w:spacing w:before="0" w:after="0"/>
              <w:jc w:val="right"/>
              <w:rPr>
                <w:b/>
                <w:bCs/>
                <w:noProof/>
                <w:color w:val="000000"/>
                <w:sz w:val="20"/>
                <w:szCs w:val="20"/>
                <w:lang w:val="en-IE" w:eastAsia="en-IE"/>
              </w:rPr>
            </w:pPr>
            <w:r w:rsidRPr="00C2043F">
              <w:rPr>
                <w:b/>
                <w:bCs/>
                <w:noProof/>
                <w:color w:val="000000"/>
                <w:sz w:val="20"/>
                <w:szCs w:val="20"/>
                <w:lang w:val="en-IE" w:eastAsia="en-IE"/>
              </w:rPr>
              <w:t> </w:t>
            </w:r>
          </w:p>
        </w:tc>
        <w:tc>
          <w:tcPr>
            <w:tcW w:w="252" w:type="pct"/>
          </w:tcPr>
          <w:p w14:paraId="0564031A" w14:textId="77777777" w:rsidR="00AF7A86" w:rsidRDefault="00AF7A86">
            <w:pPr>
              <w:spacing w:before="0" w:after="0"/>
              <w:jc w:val="right"/>
              <w:rPr>
                <w:b/>
                <w:bCs/>
                <w:noProof/>
                <w:color w:val="000000"/>
                <w:sz w:val="20"/>
                <w:szCs w:val="20"/>
                <w:lang w:val="en-IE" w:eastAsia="en-IE"/>
              </w:rPr>
            </w:pPr>
          </w:p>
        </w:tc>
        <w:tc>
          <w:tcPr>
            <w:tcW w:w="252" w:type="pct"/>
            <w:vAlign w:val="center"/>
            <w:hideMark/>
          </w:tcPr>
          <w:p w14:paraId="68D7AA86" w14:textId="77777777" w:rsidR="00AF7A86" w:rsidRPr="00C2043F" w:rsidRDefault="00AF7A86">
            <w:pPr>
              <w:spacing w:before="0" w:after="0"/>
              <w:jc w:val="right"/>
              <w:rPr>
                <w:b/>
                <w:bCs/>
                <w:noProof/>
                <w:color w:val="000000"/>
                <w:sz w:val="20"/>
                <w:szCs w:val="20"/>
                <w:lang w:val="en-IE" w:eastAsia="en-IE"/>
              </w:rPr>
            </w:pPr>
            <w:r>
              <w:rPr>
                <w:b/>
                <w:bCs/>
                <w:noProof/>
                <w:color w:val="000000"/>
                <w:sz w:val="20"/>
                <w:szCs w:val="20"/>
              </w:rPr>
              <w:t>0,428</w:t>
            </w:r>
          </w:p>
        </w:tc>
        <w:tc>
          <w:tcPr>
            <w:tcW w:w="350" w:type="pct"/>
            <w:shd w:val="clear" w:color="auto" w:fill="D9D9D9" w:themeFill="background1" w:themeFillShade="D9"/>
            <w:vAlign w:val="center"/>
            <w:hideMark/>
          </w:tcPr>
          <w:p w14:paraId="34B5CBB8" w14:textId="77777777" w:rsidR="00AF7A86" w:rsidRPr="00C2043F" w:rsidRDefault="00AF7A86">
            <w:pPr>
              <w:spacing w:before="0" w:after="0"/>
              <w:jc w:val="right"/>
              <w:rPr>
                <w:b/>
                <w:bCs/>
                <w:noProof/>
                <w:color w:val="000000"/>
                <w:sz w:val="20"/>
                <w:szCs w:val="20"/>
                <w:lang w:val="en-IE" w:eastAsia="en-IE"/>
              </w:rPr>
            </w:pPr>
            <w:r>
              <w:rPr>
                <w:b/>
                <w:bCs/>
                <w:noProof/>
                <w:color w:val="000000"/>
                <w:sz w:val="20"/>
                <w:szCs w:val="20"/>
              </w:rPr>
              <w:t>0,428</w:t>
            </w:r>
          </w:p>
        </w:tc>
        <w:tc>
          <w:tcPr>
            <w:tcW w:w="343" w:type="pct"/>
            <w:shd w:val="clear" w:color="auto" w:fill="D9D9D9" w:themeFill="background1" w:themeFillShade="D9"/>
            <w:vAlign w:val="center"/>
          </w:tcPr>
          <w:p w14:paraId="3D55210B" w14:textId="77777777" w:rsidR="00AF7A86" w:rsidRPr="00C2043F" w:rsidRDefault="00AF7A86">
            <w:pPr>
              <w:spacing w:before="0" w:after="0"/>
              <w:jc w:val="center"/>
              <w:rPr>
                <w:b/>
                <w:bCs/>
                <w:noProof/>
                <w:color w:val="000000"/>
                <w:sz w:val="20"/>
                <w:szCs w:val="20"/>
                <w:lang w:val="en-IE" w:eastAsia="en-IE"/>
              </w:rPr>
            </w:pPr>
            <w:r>
              <w:rPr>
                <w:b/>
                <w:bCs/>
                <w:noProof/>
                <w:color w:val="000000"/>
                <w:sz w:val="20"/>
                <w:szCs w:val="20"/>
                <w:lang w:val="en-IE" w:eastAsia="en-IE"/>
              </w:rPr>
              <w:t>2,996</w:t>
            </w:r>
          </w:p>
        </w:tc>
      </w:tr>
      <w:tr w:rsidR="00AF7A86" w:rsidRPr="00C2043F" w14:paraId="4784CD1C" w14:textId="77777777">
        <w:trPr>
          <w:trHeight w:val="288"/>
        </w:trPr>
        <w:tc>
          <w:tcPr>
            <w:tcW w:w="2301" w:type="pct"/>
            <w:gridSpan w:val="2"/>
            <w:vMerge w:val="restart"/>
            <w:vAlign w:val="center"/>
            <w:hideMark/>
          </w:tcPr>
          <w:p w14:paraId="36764FCE" w14:textId="77777777" w:rsidR="00AF7A86" w:rsidRPr="00C2043F" w:rsidRDefault="00AF7A86">
            <w:pPr>
              <w:spacing w:before="0" w:after="0"/>
              <w:jc w:val="center"/>
              <w:rPr>
                <w:b/>
                <w:bCs/>
                <w:noProof/>
                <w:color w:val="000000"/>
                <w:sz w:val="22"/>
                <w:lang w:val="en-IE" w:eastAsia="en-IE"/>
              </w:rPr>
            </w:pPr>
            <w:r w:rsidRPr="00C2043F">
              <w:rPr>
                <w:b/>
                <w:bCs/>
                <w:noProof/>
                <w:color w:val="000000"/>
                <w:sz w:val="22"/>
                <w:lang w:val="en-IE" w:eastAsia="en-IE"/>
              </w:rPr>
              <w:t>TOTAL appropriations</w:t>
            </w:r>
          </w:p>
          <w:p w14:paraId="73E05139" w14:textId="77777777" w:rsidR="00AF7A86" w:rsidRPr="00C2043F" w:rsidRDefault="00AF7A86">
            <w:pPr>
              <w:spacing w:before="0" w:after="0"/>
              <w:jc w:val="center"/>
              <w:rPr>
                <w:b/>
                <w:bCs/>
                <w:noProof/>
                <w:color w:val="000000"/>
                <w:sz w:val="22"/>
                <w:lang w:val="en-IE" w:eastAsia="en-IE"/>
              </w:rPr>
            </w:pPr>
            <w:r w:rsidRPr="00C2043F">
              <w:rPr>
                <w:b/>
                <w:bCs/>
                <w:noProof/>
                <w:color w:val="000000"/>
                <w:sz w:val="22"/>
                <w:lang w:val="en-IE" w:eastAsia="en-IE"/>
              </w:rPr>
              <w:t>for DG</w:t>
            </w:r>
            <w:r>
              <w:rPr>
                <w:b/>
                <w:bCs/>
                <w:noProof/>
                <w:color w:val="000000"/>
                <w:sz w:val="22"/>
                <w:lang w:val="en-IE" w:eastAsia="en-IE"/>
              </w:rPr>
              <w:t xml:space="preserve"> Energy</w:t>
            </w:r>
            <w:r>
              <w:rPr>
                <w:rStyle w:val="FootnoteReference"/>
                <w:b/>
                <w:bCs/>
                <w:noProof/>
                <w:color w:val="000000"/>
                <w:sz w:val="22"/>
                <w:lang w:val="en-IE" w:eastAsia="en-IE"/>
              </w:rPr>
              <w:footnoteReference w:id="78"/>
            </w:r>
          </w:p>
        </w:tc>
        <w:tc>
          <w:tcPr>
            <w:tcW w:w="435" w:type="pct"/>
            <w:vAlign w:val="center"/>
            <w:hideMark/>
          </w:tcPr>
          <w:p w14:paraId="7F98EB2B" w14:textId="77777777" w:rsidR="00AF7A86" w:rsidRPr="00C2043F" w:rsidRDefault="00AF7A86">
            <w:pPr>
              <w:spacing w:before="0" w:after="0"/>
              <w:rPr>
                <w:noProof/>
                <w:color w:val="000000"/>
                <w:sz w:val="18"/>
                <w:szCs w:val="18"/>
                <w:lang w:val="en-IE" w:eastAsia="en-IE"/>
              </w:rPr>
            </w:pPr>
            <w:r w:rsidRPr="00C2043F">
              <w:rPr>
                <w:noProof/>
                <w:color w:val="000000"/>
                <w:sz w:val="18"/>
                <w:szCs w:val="18"/>
                <w:lang w:val="en-IE" w:eastAsia="en-IE"/>
              </w:rPr>
              <w:t>Commitments</w:t>
            </w:r>
          </w:p>
        </w:tc>
        <w:tc>
          <w:tcPr>
            <w:tcW w:w="280" w:type="pct"/>
            <w:vAlign w:val="center"/>
            <w:hideMark/>
          </w:tcPr>
          <w:p w14:paraId="2882CD61" w14:textId="77777777" w:rsidR="00AF7A86" w:rsidRPr="00C2043F" w:rsidRDefault="00AF7A86">
            <w:pPr>
              <w:spacing w:before="0" w:after="0"/>
              <w:jc w:val="center"/>
              <w:rPr>
                <w:noProof/>
                <w:color w:val="000000"/>
                <w:sz w:val="14"/>
                <w:szCs w:val="14"/>
                <w:lang w:val="en-IE" w:eastAsia="en-IE"/>
              </w:rPr>
            </w:pPr>
            <w:r w:rsidRPr="00C2043F">
              <w:rPr>
                <w:noProof/>
                <w:color w:val="000000"/>
                <w:sz w:val="14"/>
                <w:szCs w:val="14"/>
                <w:lang w:val="en-IE" w:eastAsia="en-IE"/>
              </w:rPr>
              <w:t>=1a+1b+3</w:t>
            </w:r>
          </w:p>
        </w:tc>
        <w:tc>
          <w:tcPr>
            <w:tcW w:w="254" w:type="pct"/>
            <w:shd w:val="clear" w:color="auto" w:fill="D9D9D9" w:themeFill="background1" w:themeFillShade="D9"/>
            <w:vAlign w:val="center"/>
            <w:hideMark/>
          </w:tcPr>
          <w:p w14:paraId="3D0DC659" w14:textId="77777777" w:rsidR="00AF7A86" w:rsidRPr="00C2043F" w:rsidRDefault="00AF7A86">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67" w:type="pct"/>
            <w:shd w:val="clear" w:color="auto" w:fill="D9D9D9" w:themeFill="background1" w:themeFillShade="D9"/>
            <w:vAlign w:val="center"/>
            <w:hideMark/>
          </w:tcPr>
          <w:p w14:paraId="547F2271" w14:textId="77777777" w:rsidR="00AF7A86" w:rsidRPr="00C2043F" w:rsidRDefault="00AF7A86">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67" w:type="pct"/>
            <w:shd w:val="clear" w:color="auto" w:fill="D9D9D9" w:themeFill="background1" w:themeFillShade="D9"/>
            <w:vAlign w:val="center"/>
            <w:hideMark/>
          </w:tcPr>
          <w:p w14:paraId="2C592849" w14:textId="77777777" w:rsidR="00AF7A86" w:rsidRPr="00C2043F" w:rsidRDefault="00AF7A86">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52" w:type="pct"/>
            <w:shd w:val="clear" w:color="auto" w:fill="D9D9D9" w:themeFill="background1" w:themeFillShade="D9"/>
          </w:tcPr>
          <w:p w14:paraId="736B4D30" w14:textId="77777777" w:rsidR="00AF7A86" w:rsidRDefault="00AF7A86">
            <w:pPr>
              <w:spacing w:before="0" w:after="0"/>
              <w:jc w:val="right"/>
              <w:rPr>
                <w:b/>
                <w:bCs/>
                <w:noProof/>
                <w:color w:val="000000"/>
                <w:sz w:val="20"/>
                <w:szCs w:val="20"/>
                <w:lang w:val="en-IE" w:eastAsia="en-IE"/>
              </w:rPr>
            </w:pPr>
          </w:p>
        </w:tc>
        <w:tc>
          <w:tcPr>
            <w:tcW w:w="252" w:type="pct"/>
            <w:shd w:val="clear" w:color="auto" w:fill="D9D9D9" w:themeFill="background1" w:themeFillShade="D9"/>
            <w:vAlign w:val="center"/>
            <w:hideMark/>
          </w:tcPr>
          <w:p w14:paraId="767D0E04" w14:textId="77777777" w:rsidR="00AF7A86" w:rsidRPr="00C2043F" w:rsidRDefault="00AF7A86">
            <w:pPr>
              <w:spacing w:before="0" w:after="0"/>
              <w:jc w:val="right"/>
              <w:rPr>
                <w:b/>
                <w:bCs/>
                <w:noProof/>
                <w:color w:val="000000"/>
                <w:sz w:val="20"/>
                <w:szCs w:val="20"/>
                <w:lang w:val="en-IE" w:eastAsia="en-IE"/>
              </w:rPr>
            </w:pPr>
            <w:r>
              <w:rPr>
                <w:b/>
                <w:bCs/>
                <w:noProof/>
                <w:color w:val="000000"/>
                <w:sz w:val="20"/>
                <w:szCs w:val="20"/>
              </w:rPr>
              <w:t>4,660</w:t>
            </w:r>
          </w:p>
        </w:tc>
        <w:tc>
          <w:tcPr>
            <w:tcW w:w="350" w:type="pct"/>
            <w:shd w:val="clear" w:color="auto" w:fill="D9D9D9" w:themeFill="background1" w:themeFillShade="D9"/>
            <w:vAlign w:val="center"/>
            <w:hideMark/>
          </w:tcPr>
          <w:p w14:paraId="368F98BA" w14:textId="77777777" w:rsidR="00AF7A86" w:rsidRPr="00C2043F" w:rsidRDefault="00AF7A86">
            <w:pPr>
              <w:spacing w:before="0" w:after="0"/>
              <w:jc w:val="right"/>
              <w:rPr>
                <w:b/>
                <w:bCs/>
                <w:noProof/>
                <w:color w:val="000000"/>
                <w:sz w:val="20"/>
                <w:szCs w:val="20"/>
                <w:lang w:val="en-IE" w:eastAsia="en-IE"/>
              </w:rPr>
            </w:pPr>
            <w:r>
              <w:rPr>
                <w:b/>
                <w:bCs/>
                <w:noProof/>
                <w:color w:val="000000"/>
                <w:sz w:val="20"/>
                <w:szCs w:val="20"/>
              </w:rPr>
              <w:t>4,660</w:t>
            </w:r>
          </w:p>
        </w:tc>
        <w:tc>
          <w:tcPr>
            <w:tcW w:w="343" w:type="pct"/>
            <w:shd w:val="clear" w:color="auto" w:fill="D9D9D9" w:themeFill="background1" w:themeFillShade="D9"/>
            <w:vAlign w:val="center"/>
          </w:tcPr>
          <w:p w14:paraId="3DE2F95A" w14:textId="77777777" w:rsidR="00AF7A86" w:rsidRDefault="00AF7A86">
            <w:pPr>
              <w:spacing w:before="0" w:after="0"/>
              <w:jc w:val="center"/>
              <w:rPr>
                <w:b/>
                <w:bCs/>
                <w:noProof/>
                <w:color w:val="000000"/>
                <w:sz w:val="20"/>
                <w:szCs w:val="20"/>
                <w:lang w:val="en-IE" w:eastAsia="en-IE"/>
              </w:rPr>
            </w:pPr>
            <w:r>
              <w:rPr>
                <w:b/>
                <w:bCs/>
                <w:noProof/>
                <w:color w:val="000000"/>
                <w:sz w:val="20"/>
                <w:szCs w:val="20"/>
                <w:lang w:val="en-IE" w:eastAsia="en-IE"/>
              </w:rPr>
              <w:t>9,728</w:t>
            </w:r>
          </w:p>
        </w:tc>
      </w:tr>
      <w:tr w:rsidR="00AF7A86" w:rsidRPr="00C2043F" w14:paraId="1D7DC4D1" w14:textId="77777777">
        <w:trPr>
          <w:trHeight w:val="288"/>
        </w:trPr>
        <w:tc>
          <w:tcPr>
            <w:tcW w:w="2301" w:type="pct"/>
            <w:gridSpan w:val="2"/>
            <w:vMerge/>
            <w:vAlign w:val="center"/>
            <w:hideMark/>
          </w:tcPr>
          <w:p w14:paraId="4CBD75BA" w14:textId="77777777" w:rsidR="00AF7A86" w:rsidRPr="00C2043F" w:rsidRDefault="00AF7A86">
            <w:pPr>
              <w:spacing w:before="0" w:after="0"/>
              <w:jc w:val="center"/>
              <w:rPr>
                <w:b/>
                <w:bCs/>
                <w:noProof/>
                <w:color w:val="000000"/>
                <w:sz w:val="22"/>
                <w:lang w:val="en-IE" w:eastAsia="en-IE"/>
              </w:rPr>
            </w:pPr>
          </w:p>
        </w:tc>
        <w:tc>
          <w:tcPr>
            <w:tcW w:w="435" w:type="pct"/>
            <w:vAlign w:val="center"/>
            <w:hideMark/>
          </w:tcPr>
          <w:p w14:paraId="1B5A3026" w14:textId="77777777" w:rsidR="00AF7A86" w:rsidRPr="00C2043F" w:rsidRDefault="00AF7A86">
            <w:pPr>
              <w:spacing w:before="0" w:after="0"/>
              <w:rPr>
                <w:noProof/>
                <w:color w:val="000000"/>
                <w:sz w:val="18"/>
                <w:szCs w:val="18"/>
                <w:lang w:val="en-IE" w:eastAsia="en-IE"/>
              </w:rPr>
            </w:pPr>
            <w:r w:rsidRPr="00C2043F">
              <w:rPr>
                <w:noProof/>
                <w:color w:val="000000"/>
                <w:sz w:val="18"/>
                <w:szCs w:val="18"/>
                <w:lang w:val="en-IE" w:eastAsia="en-IE"/>
              </w:rPr>
              <w:t>Payments</w:t>
            </w:r>
          </w:p>
        </w:tc>
        <w:tc>
          <w:tcPr>
            <w:tcW w:w="280" w:type="pct"/>
            <w:vAlign w:val="center"/>
            <w:hideMark/>
          </w:tcPr>
          <w:p w14:paraId="6DF5D188" w14:textId="77777777" w:rsidR="00AF7A86" w:rsidRPr="00C2043F" w:rsidRDefault="00AF7A86">
            <w:pPr>
              <w:spacing w:before="0" w:after="0"/>
              <w:jc w:val="center"/>
              <w:rPr>
                <w:noProof/>
                <w:color w:val="000000"/>
                <w:sz w:val="14"/>
                <w:szCs w:val="14"/>
                <w:lang w:val="en-IE" w:eastAsia="en-IE"/>
              </w:rPr>
            </w:pPr>
            <w:r w:rsidRPr="00C2043F">
              <w:rPr>
                <w:noProof/>
                <w:color w:val="000000"/>
                <w:sz w:val="14"/>
                <w:szCs w:val="14"/>
                <w:lang w:val="en-IE" w:eastAsia="en-IE"/>
              </w:rPr>
              <w:t>=2a+2b+3</w:t>
            </w:r>
          </w:p>
        </w:tc>
        <w:tc>
          <w:tcPr>
            <w:tcW w:w="254" w:type="pct"/>
            <w:shd w:val="clear" w:color="auto" w:fill="D9D9D9" w:themeFill="background1" w:themeFillShade="D9"/>
            <w:vAlign w:val="center"/>
            <w:hideMark/>
          </w:tcPr>
          <w:p w14:paraId="0A74434C" w14:textId="77777777" w:rsidR="00AF7A86" w:rsidRPr="00C2043F" w:rsidRDefault="00AF7A86">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67" w:type="pct"/>
            <w:shd w:val="clear" w:color="auto" w:fill="D9D9D9" w:themeFill="background1" w:themeFillShade="D9"/>
            <w:vAlign w:val="center"/>
            <w:hideMark/>
          </w:tcPr>
          <w:p w14:paraId="29467BE0" w14:textId="77777777" w:rsidR="00AF7A86" w:rsidRPr="00C2043F" w:rsidRDefault="00AF7A86">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67" w:type="pct"/>
            <w:shd w:val="clear" w:color="auto" w:fill="D9D9D9" w:themeFill="background1" w:themeFillShade="D9"/>
            <w:vAlign w:val="center"/>
            <w:hideMark/>
          </w:tcPr>
          <w:p w14:paraId="100AFBDF" w14:textId="77777777" w:rsidR="00AF7A86" w:rsidRPr="00C2043F" w:rsidRDefault="00AF7A86">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52" w:type="pct"/>
            <w:shd w:val="clear" w:color="auto" w:fill="D9D9D9" w:themeFill="background1" w:themeFillShade="D9"/>
          </w:tcPr>
          <w:p w14:paraId="106D5608" w14:textId="77777777" w:rsidR="00AF7A86" w:rsidRDefault="00AF7A86">
            <w:pPr>
              <w:spacing w:before="0" w:after="0"/>
              <w:jc w:val="right"/>
              <w:rPr>
                <w:b/>
                <w:bCs/>
                <w:noProof/>
                <w:color w:val="000000"/>
                <w:sz w:val="20"/>
                <w:szCs w:val="20"/>
                <w:lang w:val="en-IE" w:eastAsia="en-IE"/>
              </w:rPr>
            </w:pPr>
          </w:p>
        </w:tc>
        <w:tc>
          <w:tcPr>
            <w:tcW w:w="252" w:type="pct"/>
            <w:shd w:val="clear" w:color="auto" w:fill="D9D9D9" w:themeFill="background1" w:themeFillShade="D9"/>
            <w:vAlign w:val="center"/>
            <w:hideMark/>
          </w:tcPr>
          <w:p w14:paraId="4D8A3757" w14:textId="77777777" w:rsidR="00AF7A86" w:rsidRPr="00C2043F" w:rsidRDefault="00AF7A86">
            <w:pPr>
              <w:spacing w:before="0" w:after="0"/>
              <w:jc w:val="right"/>
              <w:rPr>
                <w:b/>
                <w:bCs/>
                <w:noProof/>
                <w:color w:val="000000"/>
                <w:sz w:val="20"/>
                <w:szCs w:val="20"/>
                <w:lang w:val="en-IE" w:eastAsia="en-IE"/>
              </w:rPr>
            </w:pPr>
            <w:r>
              <w:rPr>
                <w:b/>
                <w:bCs/>
                <w:noProof/>
                <w:color w:val="000000"/>
                <w:sz w:val="20"/>
                <w:szCs w:val="20"/>
              </w:rPr>
              <w:t>3,660</w:t>
            </w:r>
          </w:p>
        </w:tc>
        <w:tc>
          <w:tcPr>
            <w:tcW w:w="350" w:type="pct"/>
            <w:shd w:val="clear" w:color="auto" w:fill="D9D9D9" w:themeFill="background1" w:themeFillShade="D9"/>
            <w:vAlign w:val="center"/>
            <w:hideMark/>
          </w:tcPr>
          <w:p w14:paraId="4A79D48E" w14:textId="77777777" w:rsidR="00AF7A86" w:rsidRPr="00C2043F" w:rsidRDefault="00AF7A86">
            <w:pPr>
              <w:spacing w:before="0" w:after="0"/>
              <w:jc w:val="right"/>
              <w:rPr>
                <w:b/>
                <w:bCs/>
                <w:noProof/>
                <w:color w:val="000000"/>
                <w:sz w:val="20"/>
                <w:szCs w:val="20"/>
                <w:lang w:val="en-IE" w:eastAsia="en-IE"/>
              </w:rPr>
            </w:pPr>
            <w:r>
              <w:rPr>
                <w:b/>
                <w:bCs/>
                <w:noProof/>
                <w:color w:val="000000"/>
                <w:sz w:val="20"/>
                <w:szCs w:val="20"/>
              </w:rPr>
              <w:t>3,660</w:t>
            </w:r>
          </w:p>
        </w:tc>
        <w:tc>
          <w:tcPr>
            <w:tcW w:w="343" w:type="pct"/>
            <w:shd w:val="clear" w:color="auto" w:fill="D9D9D9" w:themeFill="background1" w:themeFillShade="D9"/>
            <w:vAlign w:val="center"/>
          </w:tcPr>
          <w:p w14:paraId="3EDC1E28" w14:textId="77777777" w:rsidR="00AF7A86" w:rsidRDefault="00AF7A86">
            <w:pPr>
              <w:spacing w:before="0" w:after="0"/>
              <w:jc w:val="center"/>
              <w:rPr>
                <w:b/>
                <w:bCs/>
                <w:noProof/>
                <w:color w:val="000000"/>
                <w:sz w:val="20"/>
                <w:szCs w:val="20"/>
                <w:lang w:val="en-IE" w:eastAsia="en-IE"/>
              </w:rPr>
            </w:pPr>
            <w:r>
              <w:rPr>
                <w:b/>
                <w:bCs/>
                <w:noProof/>
                <w:color w:val="000000"/>
                <w:sz w:val="20"/>
                <w:szCs w:val="20"/>
                <w:lang w:val="en-IE" w:eastAsia="en-IE"/>
              </w:rPr>
              <w:t>10,728</w:t>
            </w:r>
          </w:p>
        </w:tc>
      </w:tr>
    </w:tbl>
    <w:p w14:paraId="7CF4490F" w14:textId="77777777" w:rsidR="00312641" w:rsidRDefault="00312641" w:rsidP="00AF7A86">
      <w:pPr>
        <w:ind w:right="679"/>
        <w:jc w:val="right"/>
        <w:rPr>
          <w:noProof/>
          <w:sz w:val="18"/>
          <w:szCs w:val="18"/>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5389"/>
        <w:gridCol w:w="1238"/>
        <w:gridCol w:w="797"/>
        <w:gridCol w:w="722"/>
        <w:gridCol w:w="759"/>
        <w:gridCol w:w="759"/>
        <w:gridCol w:w="717"/>
        <w:gridCol w:w="717"/>
        <w:gridCol w:w="995"/>
        <w:gridCol w:w="973"/>
      </w:tblGrid>
      <w:tr w:rsidR="00312641" w:rsidRPr="00C2043F" w14:paraId="38A22041" w14:textId="77777777" w:rsidTr="009A133F">
        <w:trPr>
          <w:trHeight w:val="420"/>
        </w:trPr>
        <w:tc>
          <w:tcPr>
            <w:tcW w:w="3016" w:type="pct"/>
            <w:gridSpan w:val="4"/>
            <w:vMerge w:val="restart"/>
            <w:vAlign w:val="center"/>
            <w:hideMark/>
          </w:tcPr>
          <w:p w14:paraId="42A3BB10" w14:textId="77777777" w:rsidR="00312641" w:rsidRPr="00C2043F" w:rsidRDefault="00312641" w:rsidP="009A133F">
            <w:pPr>
              <w:spacing w:before="0" w:after="0"/>
              <w:jc w:val="center"/>
              <w:rPr>
                <w:noProof/>
                <w:color w:val="000000"/>
                <w:sz w:val="22"/>
                <w:lang w:val="en-IE" w:eastAsia="en-IE"/>
              </w:rPr>
            </w:pPr>
            <w:r>
              <w:rPr>
                <w:noProof/>
                <w:color w:val="000000"/>
                <w:sz w:val="22"/>
                <w:lang w:val="en-IE" w:eastAsia="en-IE"/>
              </w:rPr>
              <w:t>JRC</w:t>
            </w:r>
          </w:p>
        </w:tc>
        <w:tc>
          <w:tcPr>
            <w:tcW w:w="254" w:type="pct"/>
            <w:vAlign w:val="center"/>
            <w:hideMark/>
          </w:tcPr>
          <w:p w14:paraId="1E4C1CF9" w14:textId="77777777" w:rsidR="00312641" w:rsidRPr="00C2043F" w:rsidRDefault="00312641" w:rsidP="009A133F">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267" w:type="pct"/>
            <w:vAlign w:val="center"/>
            <w:hideMark/>
          </w:tcPr>
          <w:p w14:paraId="69002CDC" w14:textId="77777777" w:rsidR="00312641" w:rsidRPr="00C2043F" w:rsidRDefault="00312641" w:rsidP="009A133F">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267" w:type="pct"/>
            <w:vAlign w:val="center"/>
            <w:hideMark/>
          </w:tcPr>
          <w:p w14:paraId="46C5DACC" w14:textId="77777777" w:rsidR="00312641" w:rsidRPr="00C2043F" w:rsidRDefault="00312641" w:rsidP="009A133F">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252" w:type="pct"/>
          </w:tcPr>
          <w:p w14:paraId="2F67AD03" w14:textId="77777777" w:rsidR="00312641" w:rsidRPr="00C2043F" w:rsidRDefault="00312641" w:rsidP="009A133F">
            <w:pPr>
              <w:spacing w:before="0" w:after="0"/>
              <w:jc w:val="center"/>
              <w:rPr>
                <w:noProof/>
                <w:color w:val="000000"/>
                <w:sz w:val="20"/>
                <w:szCs w:val="20"/>
                <w:lang w:val="en-IE" w:eastAsia="en-IE"/>
              </w:rPr>
            </w:pPr>
          </w:p>
        </w:tc>
        <w:tc>
          <w:tcPr>
            <w:tcW w:w="252" w:type="pct"/>
            <w:vAlign w:val="center"/>
            <w:hideMark/>
          </w:tcPr>
          <w:p w14:paraId="37650AF5" w14:textId="77777777" w:rsidR="00312641" w:rsidRPr="00C2043F" w:rsidRDefault="00312641" w:rsidP="009A133F">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350" w:type="pct"/>
            <w:vMerge w:val="restart"/>
            <w:vAlign w:val="center"/>
            <w:hideMark/>
          </w:tcPr>
          <w:p w14:paraId="3A621BB1" w14:textId="77777777" w:rsidR="00312641" w:rsidRPr="00C2043F" w:rsidRDefault="00312641" w:rsidP="009A133F">
            <w:pPr>
              <w:spacing w:before="0" w:after="0"/>
              <w:jc w:val="center"/>
              <w:rPr>
                <w:b/>
                <w:bCs/>
                <w:noProof/>
                <w:color w:val="000000"/>
                <w:sz w:val="20"/>
                <w:szCs w:val="20"/>
                <w:lang w:val="en-IE" w:eastAsia="en-IE"/>
              </w:rPr>
            </w:pPr>
            <w:r w:rsidRPr="00C2043F">
              <w:rPr>
                <w:b/>
                <w:bCs/>
                <w:noProof/>
                <w:color w:val="000000"/>
                <w:sz w:val="20"/>
                <w:szCs w:val="20"/>
                <w:lang w:val="en-IE" w:eastAsia="en-IE"/>
              </w:rPr>
              <w:t>TOTAL MFF</w:t>
            </w:r>
            <w:r>
              <w:rPr>
                <w:b/>
                <w:bCs/>
                <w:noProof/>
                <w:color w:val="000000"/>
                <w:sz w:val="20"/>
                <w:szCs w:val="20"/>
                <w:lang w:val="en-IE" w:eastAsia="en-IE"/>
              </w:rPr>
              <w:t xml:space="preserve"> </w:t>
            </w:r>
            <w:r w:rsidRPr="00C2043F">
              <w:rPr>
                <w:b/>
                <w:bCs/>
                <w:noProof/>
                <w:color w:val="000000"/>
                <w:sz w:val="20"/>
                <w:szCs w:val="20"/>
                <w:lang w:val="en-IE" w:eastAsia="en-IE"/>
              </w:rPr>
              <w:t>2021-2027</w:t>
            </w:r>
          </w:p>
        </w:tc>
        <w:tc>
          <w:tcPr>
            <w:tcW w:w="342" w:type="pct"/>
            <w:vMerge w:val="restart"/>
            <w:vAlign w:val="center"/>
          </w:tcPr>
          <w:p w14:paraId="60CD221A" w14:textId="77777777" w:rsidR="00312641" w:rsidRDefault="00312641" w:rsidP="009A133F">
            <w:pPr>
              <w:spacing w:before="0" w:after="0"/>
              <w:jc w:val="center"/>
              <w:rPr>
                <w:b/>
                <w:bCs/>
                <w:noProof/>
                <w:color w:val="000000"/>
                <w:sz w:val="20"/>
                <w:szCs w:val="20"/>
                <w:lang w:val="en-IE" w:eastAsia="en-IE"/>
              </w:rPr>
            </w:pPr>
            <w:r>
              <w:rPr>
                <w:b/>
                <w:bCs/>
                <w:noProof/>
                <w:color w:val="000000"/>
                <w:sz w:val="20"/>
                <w:szCs w:val="20"/>
                <w:lang w:val="en-IE" w:eastAsia="en-IE"/>
              </w:rPr>
              <w:t>POST 2027</w:t>
            </w:r>
          </w:p>
        </w:tc>
      </w:tr>
      <w:tr w:rsidR="00312641" w:rsidRPr="00C2043F" w14:paraId="69072D67" w14:textId="77777777" w:rsidTr="009A133F">
        <w:trPr>
          <w:trHeight w:val="288"/>
        </w:trPr>
        <w:tc>
          <w:tcPr>
            <w:tcW w:w="3016" w:type="pct"/>
            <w:gridSpan w:val="4"/>
            <w:vMerge/>
            <w:vAlign w:val="center"/>
            <w:hideMark/>
          </w:tcPr>
          <w:p w14:paraId="3EBC2B2A" w14:textId="77777777" w:rsidR="00312641" w:rsidRPr="00C2043F" w:rsidRDefault="00312641" w:rsidP="009A133F">
            <w:pPr>
              <w:spacing w:before="0" w:after="0"/>
              <w:jc w:val="left"/>
              <w:rPr>
                <w:noProof/>
                <w:color w:val="000000"/>
                <w:sz w:val="22"/>
                <w:lang w:val="en-IE" w:eastAsia="en-IE"/>
              </w:rPr>
            </w:pPr>
          </w:p>
        </w:tc>
        <w:tc>
          <w:tcPr>
            <w:tcW w:w="254" w:type="pct"/>
            <w:vAlign w:val="center"/>
            <w:hideMark/>
          </w:tcPr>
          <w:p w14:paraId="53D0C405" w14:textId="77777777" w:rsidR="00312641" w:rsidRPr="00C2043F" w:rsidRDefault="00312641" w:rsidP="009A133F">
            <w:pPr>
              <w:spacing w:before="0" w:after="0"/>
              <w:jc w:val="center"/>
              <w:rPr>
                <w:b/>
                <w:bCs/>
                <w:noProof/>
                <w:color w:val="000000"/>
                <w:sz w:val="20"/>
                <w:szCs w:val="20"/>
                <w:lang w:val="en-IE" w:eastAsia="en-IE"/>
              </w:rPr>
            </w:pPr>
            <w:r w:rsidRPr="00C2043F">
              <w:rPr>
                <w:b/>
                <w:bCs/>
                <w:noProof/>
                <w:color w:val="000000"/>
                <w:sz w:val="20"/>
                <w:szCs w:val="20"/>
                <w:lang w:val="en-IE" w:eastAsia="en-IE"/>
              </w:rPr>
              <w:t>2024</w:t>
            </w:r>
          </w:p>
        </w:tc>
        <w:tc>
          <w:tcPr>
            <w:tcW w:w="267" w:type="pct"/>
            <w:vAlign w:val="center"/>
            <w:hideMark/>
          </w:tcPr>
          <w:p w14:paraId="0AFCE4E3" w14:textId="77777777" w:rsidR="00312641" w:rsidRPr="00C2043F" w:rsidRDefault="00312641" w:rsidP="009A133F">
            <w:pPr>
              <w:spacing w:before="0" w:after="0"/>
              <w:jc w:val="center"/>
              <w:rPr>
                <w:b/>
                <w:bCs/>
                <w:noProof/>
                <w:color w:val="000000"/>
                <w:sz w:val="20"/>
                <w:szCs w:val="20"/>
                <w:lang w:val="en-IE" w:eastAsia="en-IE"/>
              </w:rPr>
            </w:pPr>
            <w:r w:rsidRPr="00C2043F">
              <w:rPr>
                <w:b/>
                <w:bCs/>
                <w:noProof/>
                <w:color w:val="000000"/>
                <w:sz w:val="20"/>
                <w:szCs w:val="20"/>
                <w:lang w:val="en-IE" w:eastAsia="en-IE"/>
              </w:rPr>
              <w:t>2025</w:t>
            </w:r>
          </w:p>
        </w:tc>
        <w:tc>
          <w:tcPr>
            <w:tcW w:w="267" w:type="pct"/>
            <w:vAlign w:val="center"/>
            <w:hideMark/>
          </w:tcPr>
          <w:p w14:paraId="22E58F9D" w14:textId="77777777" w:rsidR="00312641" w:rsidRPr="00C2043F" w:rsidRDefault="00312641" w:rsidP="009A133F">
            <w:pPr>
              <w:spacing w:before="0" w:after="0"/>
              <w:jc w:val="center"/>
              <w:rPr>
                <w:b/>
                <w:bCs/>
                <w:noProof/>
                <w:color w:val="000000"/>
                <w:sz w:val="20"/>
                <w:szCs w:val="20"/>
                <w:lang w:val="en-IE" w:eastAsia="en-IE"/>
              </w:rPr>
            </w:pPr>
            <w:r w:rsidRPr="00C2043F">
              <w:rPr>
                <w:b/>
                <w:bCs/>
                <w:noProof/>
                <w:color w:val="000000"/>
                <w:sz w:val="20"/>
                <w:szCs w:val="20"/>
                <w:lang w:val="en-IE" w:eastAsia="en-IE"/>
              </w:rPr>
              <w:t>2026</w:t>
            </w:r>
          </w:p>
        </w:tc>
        <w:tc>
          <w:tcPr>
            <w:tcW w:w="252" w:type="pct"/>
          </w:tcPr>
          <w:p w14:paraId="5BC347E2" w14:textId="77777777" w:rsidR="00312641" w:rsidRPr="00C2043F" w:rsidRDefault="00312641" w:rsidP="009A133F">
            <w:pPr>
              <w:spacing w:before="0" w:after="0"/>
              <w:jc w:val="center"/>
              <w:rPr>
                <w:b/>
                <w:bCs/>
                <w:noProof/>
                <w:color w:val="000000"/>
                <w:sz w:val="20"/>
                <w:szCs w:val="20"/>
                <w:lang w:val="en-IE" w:eastAsia="en-IE"/>
              </w:rPr>
            </w:pPr>
          </w:p>
        </w:tc>
        <w:tc>
          <w:tcPr>
            <w:tcW w:w="252" w:type="pct"/>
            <w:vAlign w:val="center"/>
            <w:hideMark/>
          </w:tcPr>
          <w:p w14:paraId="6DA99EBD" w14:textId="77777777" w:rsidR="00312641" w:rsidRPr="00C2043F" w:rsidRDefault="00312641" w:rsidP="009A133F">
            <w:pPr>
              <w:spacing w:before="0" w:after="0"/>
              <w:jc w:val="center"/>
              <w:rPr>
                <w:b/>
                <w:bCs/>
                <w:noProof/>
                <w:color w:val="000000"/>
                <w:sz w:val="20"/>
                <w:szCs w:val="20"/>
                <w:lang w:val="en-IE" w:eastAsia="en-IE"/>
              </w:rPr>
            </w:pPr>
            <w:r w:rsidRPr="00C2043F">
              <w:rPr>
                <w:b/>
                <w:bCs/>
                <w:noProof/>
                <w:color w:val="000000"/>
                <w:sz w:val="20"/>
                <w:szCs w:val="20"/>
                <w:lang w:val="en-IE" w:eastAsia="en-IE"/>
              </w:rPr>
              <w:t>2027</w:t>
            </w:r>
          </w:p>
        </w:tc>
        <w:tc>
          <w:tcPr>
            <w:tcW w:w="350" w:type="pct"/>
            <w:vMerge/>
            <w:vAlign w:val="center"/>
            <w:hideMark/>
          </w:tcPr>
          <w:p w14:paraId="1F3B993F" w14:textId="77777777" w:rsidR="00312641" w:rsidRPr="00C2043F" w:rsidRDefault="00312641" w:rsidP="009A133F">
            <w:pPr>
              <w:spacing w:before="0" w:after="0"/>
              <w:jc w:val="left"/>
              <w:rPr>
                <w:b/>
                <w:bCs/>
                <w:noProof/>
                <w:color w:val="000000"/>
                <w:sz w:val="20"/>
                <w:szCs w:val="20"/>
                <w:lang w:val="en-IE" w:eastAsia="en-IE"/>
              </w:rPr>
            </w:pPr>
          </w:p>
        </w:tc>
        <w:tc>
          <w:tcPr>
            <w:tcW w:w="342" w:type="pct"/>
            <w:vMerge/>
            <w:vAlign w:val="center"/>
          </w:tcPr>
          <w:p w14:paraId="4C72BE9B" w14:textId="77777777" w:rsidR="00312641" w:rsidRPr="00C2043F" w:rsidRDefault="00312641" w:rsidP="009A133F">
            <w:pPr>
              <w:spacing w:before="0" w:after="0"/>
              <w:jc w:val="center"/>
              <w:rPr>
                <w:b/>
                <w:bCs/>
                <w:noProof/>
                <w:color w:val="000000"/>
                <w:sz w:val="20"/>
                <w:szCs w:val="20"/>
                <w:lang w:val="en-IE" w:eastAsia="en-IE"/>
              </w:rPr>
            </w:pPr>
          </w:p>
        </w:tc>
      </w:tr>
      <w:tr w:rsidR="00312641" w:rsidRPr="00C2043F" w14:paraId="49DE27A1" w14:textId="77777777" w:rsidTr="009A133F">
        <w:trPr>
          <w:trHeight w:val="300"/>
        </w:trPr>
        <w:tc>
          <w:tcPr>
            <w:tcW w:w="406" w:type="pct"/>
          </w:tcPr>
          <w:p w14:paraId="5365B43D" w14:textId="77777777" w:rsidR="00312641" w:rsidRPr="00C2043F" w:rsidRDefault="00312641" w:rsidP="009A133F">
            <w:pPr>
              <w:spacing w:before="0" w:after="0"/>
              <w:jc w:val="left"/>
              <w:rPr>
                <w:noProof/>
                <w:color w:val="000000"/>
                <w:sz w:val="21"/>
                <w:szCs w:val="21"/>
                <w:lang w:val="en-IE" w:eastAsia="en-IE"/>
              </w:rPr>
            </w:pPr>
          </w:p>
        </w:tc>
        <w:tc>
          <w:tcPr>
            <w:tcW w:w="4252" w:type="pct"/>
            <w:gridSpan w:val="9"/>
            <w:vAlign w:val="center"/>
            <w:hideMark/>
          </w:tcPr>
          <w:p w14:paraId="7FC0709B" w14:textId="77777777" w:rsidR="00312641" w:rsidRPr="00C2043F" w:rsidRDefault="00312641" w:rsidP="009A133F">
            <w:pPr>
              <w:spacing w:before="0" w:after="0"/>
              <w:jc w:val="left"/>
              <w:rPr>
                <w:noProof/>
                <w:color w:val="000000"/>
                <w:sz w:val="21"/>
                <w:szCs w:val="21"/>
                <w:lang w:val="en-IE" w:eastAsia="en-IE"/>
              </w:rPr>
            </w:pPr>
            <w:r w:rsidRPr="00C2043F">
              <w:rPr>
                <w:noProof/>
                <w:color w:val="000000"/>
                <w:sz w:val="21"/>
                <w:szCs w:val="21"/>
                <w:lang w:val="en-IE" w:eastAsia="en-IE"/>
              </w:rPr>
              <w:t xml:space="preserve">Operational appropriations </w:t>
            </w:r>
          </w:p>
        </w:tc>
        <w:tc>
          <w:tcPr>
            <w:tcW w:w="342" w:type="pct"/>
            <w:vAlign w:val="center"/>
          </w:tcPr>
          <w:p w14:paraId="14ACF275" w14:textId="77777777" w:rsidR="00312641" w:rsidRPr="00C2043F" w:rsidRDefault="00312641" w:rsidP="009A133F">
            <w:pPr>
              <w:spacing w:before="0" w:after="0"/>
              <w:jc w:val="center"/>
              <w:rPr>
                <w:noProof/>
                <w:color w:val="000000"/>
                <w:sz w:val="21"/>
                <w:szCs w:val="21"/>
                <w:lang w:val="en-IE" w:eastAsia="en-IE"/>
              </w:rPr>
            </w:pPr>
          </w:p>
        </w:tc>
      </w:tr>
      <w:tr w:rsidR="00312641" w:rsidRPr="00C2043F" w14:paraId="2C98BE9C" w14:textId="77777777" w:rsidTr="009A133F">
        <w:trPr>
          <w:trHeight w:val="288"/>
        </w:trPr>
        <w:tc>
          <w:tcPr>
            <w:tcW w:w="2301" w:type="pct"/>
            <w:gridSpan w:val="2"/>
            <w:vMerge w:val="restart"/>
            <w:noWrap/>
            <w:vAlign w:val="center"/>
            <w:hideMark/>
          </w:tcPr>
          <w:p w14:paraId="6AA31D02" w14:textId="77777777" w:rsidR="00312641" w:rsidRPr="00C2043F" w:rsidRDefault="00312641" w:rsidP="009A133F">
            <w:pPr>
              <w:spacing w:before="0" w:after="0"/>
              <w:jc w:val="left"/>
              <w:rPr>
                <w:noProof/>
                <w:color w:val="000000"/>
                <w:sz w:val="22"/>
                <w:lang w:val="en-IE" w:eastAsia="en-IE"/>
              </w:rPr>
            </w:pPr>
            <w:r>
              <w:rPr>
                <w:noProof/>
                <w:color w:val="000000" w:themeColor="text1"/>
                <w:sz w:val="22"/>
                <w:lang w:val="en-IE" w:eastAsia="en-IE"/>
              </w:rPr>
              <w:t>N/A</w:t>
            </w:r>
          </w:p>
        </w:tc>
        <w:tc>
          <w:tcPr>
            <w:tcW w:w="435" w:type="pct"/>
            <w:vAlign w:val="center"/>
            <w:hideMark/>
          </w:tcPr>
          <w:p w14:paraId="0E9CC78C" w14:textId="77777777" w:rsidR="00312641" w:rsidRPr="00C2043F" w:rsidRDefault="00312641" w:rsidP="009A133F">
            <w:pPr>
              <w:spacing w:before="0" w:after="0"/>
              <w:rPr>
                <w:noProof/>
                <w:color w:val="000000"/>
                <w:sz w:val="18"/>
                <w:szCs w:val="18"/>
                <w:lang w:val="en-IE" w:eastAsia="en-IE"/>
              </w:rPr>
            </w:pPr>
            <w:r w:rsidRPr="00C2043F">
              <w:rPr>
                <w:noProof/>
                <w:color w:val="000000"/>
                <w:sz w:val="18"/>
                <w:szCs w:val="18"/>
                <w:lang w:val="en-IE" w:eastAsia="en-IE"/>
              </w:rPr>
              <w:t>Commitments</w:t>
            </w:r>
          </w:p>
        </w:tc>
        <w:tc>
          <w:tcPr>
            <w:tcW w:w="280" w:type="pct"/>
            <w:vAlign w:val="center"/>
            <w:hideMark/>
          </w:tcPr>
          <w:p w14:paraId="2F9FF5F7" w14:textId="77777777" w:rsidR="00312641" w:rsidRPr="00C2043F" w:rsidRDefault="00312641" w:rsidP="009A133F">
            <w:pPr>
              <w:spacing w:before="0" w:after="0"/>
              <w:jc w:val="center"/>
              <w:rPr>
                <w:noProof/>
                <w:color w:val="000000"/>
                <w:sz w:val="14"/>
                <w:szCs w:val="14"/>
                <w:lang w:val="en-IE" w:eastAsia="en-IE"/>
              </w:rPr>
            </w:pPr>
            <w:r w:rsidRPr="00C2043F">
              <w:rPr>
                <w:noProof/>
                <w:color w:val="000000"/>
                <w:sz w:val="14"/>
                <w:szCs w:val="14"/>
                <w:lang w:val="en-IE" w:eastAsia="en-IE"/>
              </w:rPr>
              <w:t>(1a)</w:t>
            </w:r>
          </w:p>
        </w:tc>
        <w:tc>
          <w:tcPr>
            <w:tcW w:w="254" w:type="pct"/>
            <w:vAlign w:val="center"/>
            <w:hideMark/>
          </w:tcPr>
          <w:p w14:paraId="26ABCFBC" w14:textId="77777777" w:rsidR="00312641" w:rsidRPr="00C2043F" w:rsidRDefault="00312641" w:rsidP="009A133F">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67" w:type="pct"/>
            <w:vAlign w:val="center"/>
            <w:hideMark/>
          </w:tcPr>
          <w:p w14:paraId="284D3252" w14:textId="77777777" w:rsidR="00312641" w:rsidRPr="00C2043F" w:rsidRDefault="00312641" w:rsidP="009A133F">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67" w:type="pct"/>
            <w:vAlign w:val="center"/>
            <w:hideMark/>
          </w:tcPr>
          <w:p w14:paraId="34903128" w14:textId="77777777" w:rsidR="00312641" w:rsidRPr="00C2043F" w:rsidRDefault="00312641" w:rsidP="009A133F">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52" w:type="pct"/>
          </w:tcPr>
          <w:p w14:paraId="1ABA9C4E" w14:textId="77777777" w:rsidR="00312641" w:rsidRDefault="00312641" w:rsidP="009A133F">
            <w:pPr>
              <w:spacing w:before="0" w:after="0"/>
              <w:jc w:val="right"/>
              <w:rPr>
                <w:noProof/>
                <w:color w:val="000000"/>
                <w:sz w:val="20"/>
                <w:szCs w:val="20"/>
                <w:lang w:val="en-IE" w:eastAsia="en-IE"/>
              </w:rPr>
            </w:pPr>
          </w:p>
        </w:tc>
        <w:tc>
          <w:tcPr>
            <w:tcW w:w="252" w:type="pct"/>
            <w:vAlign w:val="center"/>
            <w:hideMark/>
          </w:tcPr>
          <w:p w14:paraId="040B2ED6" w14:textId="77777777" w:rsidR="00312641" w:rsidRPr="00C2043F" w:rsidRDefault="00312641" w:rsidP="009A133F">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350" w:type="pct"/>
            <w:shd w:val="clear" w:color="auto" w:fill="D9D9D9" w:themeFill="background1" w:themeFillShade="D9"/>
            <w:vAlign w:val="center"/>
            <w:hideMark/>
          </w:tcPr>
          <w:p w14:paraId="3C107AB2" w14:textId="77777777" w:rsidR="00312641" w:rsidRPr="00C2043F" w:rsidRDefault="00312641" w:rsidP="009A133F">
            <w:pPr>
              <w:spacing w:before="0" w:after="0"/>
              <w:jc w:val="right"/>
              <w:rPr>
                <w:b/>
                <w:bCs/>
                <w:noProof/>
                <w:color w:val="000000"/>
                <w:sz w:val="20"/>
                <w:szCs w:val="20"/>
                <w:lang w:val="en-IE" w:eastAsia="en-IE"/>
              </w:rPr>
            </w:pPr>
            <w:r w:rsidRPr="00C2043F">
              <w:rPr>
                <w:noProof/>
                <w:color w:val="000000"/>
                <w:sz w:val="20"/>
                <w:szCs w:val="20"/>
                <w:lang w:val="en-IE" w:eastAsia="en-IE"/>
              </w:rPr>
              <w:t> </w:t>
            </w:r>
          </w:p>
        </w:tc>
        <w:tc>
          <w:tcPr>
            <w:tcW w:w="342" w:type="pct"/>
            <w:shd w:val="clear" w:color="auto" w:fill="D9D9D9" w:themeFill="background1" w:themeFillShade="D9"/>
            <w:vAlign w:val="center"/>
          </w:tcPr>
          <w:p w14:paraId="5F3FC5EB" w14:textId="77777777" w:rsidR="00312641" w:rsidRPr="009559C1" w:rsidRDefault="00312641" w:rsidP="009A133F">
            <w:pPr>
              <w:spacing w:before="0" w:after="0"/>
              <w:jc w:val="right"/>
              <w:rPr>
                <w:b/>
                <w:bCs/>
                <w:noProof/>
                <w:color w:val="000000"/>
                <w:sz w:val="20"/>
                <w:szCs w:val="20"/>
                <w:lang w:val="en-IE" w:eastAsia="en-IE"/>
              </w:rPr>
            </w:pPr>
            <w:r w:rsidRPr="009559C1">
              <w:rPr>
                <w:b/>
                <w:bCs/>
                <w:noProof/>
                <w:color w:val="000000"/>
                <w:sz w:val="20"/>
                <w:szCs w:val="20"/>
                <w:lang w:val="en-IE" w:eastAsia="en-IE"/>
              </w:rPr>
              <w:t> </w:t>
            </w:r>
          </w:p>
        </w:tc>
      </w:tr>
      <w:tr w:rsidR="00312641" w:rsidRPr="00C2043F" w14:paraId="618FDE2E" w14:textId="77777777" w:rsidTr="009A133F">
        <w:trPr>
          <w:trHeight w:val="315"/>
        </w:trPr>
        <w:tc>
          <w:tcPr>
            <w:tcW w:w="2301" w:type="pct"/>
            <w:gridSpan w:val="2"/>
            <w:vMerge/>
            <w:vAlign w:val="center"/>
            <w:hideMark/>
          </w:tcPr>
          <w:p w14:paraId="7AD53245" w14:textId="77777777" w:rsidR="00312641" w:rsidRPr="00C2043F" w:rsidRDefault="00312641" w:rsidP="009A133F">
            <w:pPr>
              <w:spacing w:before="0" w:after="0"/>
              <w:jc w:val="left"/>
              <w:rPr>
                <w:noProof/>
                <w:color w:val="000000"/>
                <w:sz w:val="22"/>
                <w:lang w:val="en-IE" w:eastAsia="en-IE"/>
              </w:rPr>
            </w:pPr>
          </w:p>
        </w:tc>
        <w:tc>
          <w:tcPr>
            <w:tcW w:w="435" w:type="pct"/>
            <w:vAlign w:val="center"/>
            <w:hideMark/>
          </w:tcPr>
          <w:p w14:paraId="5FF68BD5" w14:textId="77777777" w:rsidR="00312641" w:rsidRPr="00C2043F" w:rsidRDefault="00312641" w:rsidP="009A133F">
            <w:pPr>
              <w:spacing w:before="0" w:after="0"/>
              <w:rPr>
                <w:noProof/>
                <w:color w:val="000000"/>
                <w:sz w:val="18"/>
                <w:szCs w:val="18"/>
                <w:lang w:val="en-IE" w:eastAsia="en-IE"/>
              </w:rPr>
            </w:pPr>
            <w:r w:rsidRPr="00C2043F">
              <w:rPr>
                <w:noProof/>
                <w:color w:val="000000"/>
                <w:sz w:val="18"/>
                <w:szCs w:val="18"/>
                <w:lang w:val="en-IE" w:eastAsia="en-IE"/>
              </w:rPr>
              <w:t>Payments</w:t>
            </w:r>
          </w:p>
        </w:tc>
        <w:tc>
          <w:tcPr>
            <w:tcW w:w="280" w:type="pct"/>
            <w:vAlign w:val="center"/>
            <w:hideMark/>
          </w:tcPr>
          <w:p w14:paraId="105F5382" w14:textId="77777777" w:rsidR="00312641" w:rsidRPr="00C2043F" w:rsidRDefault="00312641" w:rsidP="009A133F">
            <w:pPr>
              <w:spacing w:before="0" w:after="0"/>
              <w:jc w:val="center"/>
              <w:rPr>
                <w:noProof/>
                <w:color w:val="000000"/>
                <w:sz w:val="14"/>
                <w:szCs w:val="14"/>
                <w:lang w:val="en-IE" w:eastAsia="en-IE"/>
              </w:rPr>
            </w:pPr>
            <w:r w:rsidRPr="00C2043F">
              <w:rPr>
                <w:noProof/>
                <w:color w:val="000000"/>
                <w:sz w:val="14"/>
                <w:szCs w:val="14"/>
                <w:lang w:val="en-IE" w:eastAsia="en-IE"/>
              </w:rPr>
              <w:t>(2a)</w:t>
            </w:r>
          </w:p>
        </w:tc>
        <w:tc>
          <w:tcPr>
            <w:tcW w:w="254" w:type="pct"/>
            <w:vAlign w:val="center"/>
            <w:hideMark/>
          </w:tcPr>
          <w:p w14:paraId="34134FA2" w14:textId="77777777" w:rsidR="00312641" w:rsidRPr="00C2043F" w:rsidRDefault="00312641" w:rsidP="009A133F">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67" w:type="pct"/>
            <w:vAlign w:val="center"/>
            <w:hideMark/>
          </w:tcPr>
          <w:p w14:paraId="63E2D689" w14:textId="77777777" w:rsidR="00312641" w:rsidRPr="00C2043F" w:rsidRDefault="00312641" w:rsidP="009A133F">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67" w:type="pct"/>
            <w:vAlign w:val="center"/>
            <w:hideMark/>
          </w:tcPr>
          <w:p w14:paraId="104D3A10" w14:textId="77777777" w:rsidR="00312641" w:rsidRPr="00C2043F" w:rsidRDefault="00312641" w:rsidP="009A133F">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252" w:type="pct"/>
          </w:tcPr>
          <w:p w14:paraId="7DB927B0" w14:textId="77777777" w:rsidR="00312641" w:rsidRDefault="00312641" w:rsidP="009A133F">
            <w:pPr>
              <w:spacing w:before="0" w:after="0"/>
              <w:jc w:val="right"/>
              <w:rPr>
                <w:noProof/>
                <w:color w:val="000000" w:themeColor="text1"/>
                <w:sz w:val="20"/>
                <w:szCs w:val="20"/>
                <w:lang w:val="en-IE" w:eastAsia="en-IE"/>
              </w:rPr>
            </w:pPr>
          </w:p>
        </w:tc>
        <w:tc>
          <w:tcPr>
            <w:tcW w:w="252" w:type="pct"/>
            <w:vAlign w:val="center"/>
            <w:hideMark/>
          </w:tcPr>
          <w:p w14:paraId="43348DC3" w14:textId="77777777" w:rsidR="00312641" w:rsidRPr="00C2043F" w:rsidRDefault="00312641" w:rsidP="009A133F">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350" w:type="pct"/>
            <w:shd w:val="clear" w:color="auto" w:fill="D9D9D9" w:themeFill="background1" w:themeFillShade="D9"/>
            <w:vAlign w:val="center"/>
            <w:hideMark/>
          </w:tcPr>
          <w:p w14:paraId="522F515F" w14:textId="77777777" w:rsidR="00312641" w:rsidRPr="00C2043F" w:rsidRDefault="00312641" w:rsidP="009A133F">
            <w:pPr>
              <w:spacing w:before="0" w:after="0"/>
              <w:jc w:val="right"/>
              <w:rPr>
                <w:b/>
                <w:bCs/>
                <w:noProof/>
                <w:color w:val="000000"/>
                <w:sz w:val="20"/>
                <w:szCs w:val="20"/>
                <w:lang w:val="en-IE" w:eastAsia="en-IE"/>
              </w:rPr>
            </w:pPr>
            <w:r w:rsidRPr="00C2043F">
              <w:rPr>
                <w:noProof/>
                <w:color w:val="000000"/>
                <w:sz w:val="20"/>
                <w:szCs w:val="20"/>
                <w:lang w:val="en-IE" w:eastAsia="en-IE"/>
              </w:rPr>
              <w:t> </w:t>
            </w:r>
          </w:p>
        </w:tc>
        <w:tc>
          <w:tcPr>
            <w:tcW w:w="342" w:type="pct"/>
            <w:shd w:val="clear" w:color="auto" w:fill="D9D9D9" w:themeFill="background1" w:themeFillShade="D9"/>
            <w:vAlign w:val="center"/>
          </w:tcPr>
          <w:p w14:paraId="7C519A0D" w14:textId="77777777" w:rsidR="00312641" w:rsidRPr="009559C1" w:rsidRDefault="00312641" w:rsidP="009A133F">
            <w:pPr>
              <w:spacing w:before="0" w:after="0"/>
              <w:jc w:val="right"/>
              <w:rPr>
                <w:b/>
                <w:bCs/>
                <w:noProof/>
                <w:color w:val="000000"/>
                <w:sz w:val="20"/>
                <w:szCs w:val="20"/>
                <w:lang w:val="en-IE" w:eastAsia="en-IE"/>
              </w:rPr>
            </w:pPr>
            <w:r w:rsidRPr="009559C1">
              <w:rPr>
                <w:b/>
                <w:bCs/>
                <w:noProof/>
                <w:color w:val="000000"/>
                <w:sz w:val="20"/>
                <w:szCs w:val="20"/>
                <w:lang w:val="en-IE" w:eastAsia="en-IE"/>
              </w:rPr>
              <w:t> </w:t>
            </w:r>
          </w:p>
        </w:tc>
      </w:tr>
      <w:tr w:rsidR="00312641" w:rsidRPr="00C2043F" w14:paraId="26CA282E" w14:textId="77777777" w:rsidTr="009A133F">
        <w:trPr>
          <w:trHeight w:val="288"/>
        </w:trPr>
        <w:tc>
          <w:tcPr>
            <w:tcW w:w="406" w:type="pct"/>
          </w:tcPr>
          <w:p w14:paraId="674B757B" w14:textId="77777777" w:rsidR="00312641" w:rsidRPr="00C2043F" w:rsidRDefault="00312641" w:rsidP="009A133F">
            <w:pPr>
              <w:spacing w:before="0" w:after="0"/>
              <w:jc w:val="left"/>
              <w:rPr>
                <w:noProof/>
                <w:color w:val="000000"/>
                <w:sz w:val="22"/>
                <w:lang w:val="en-IE" w:eastAsia="en-IE"/>
              </w:rPr>
            </w:pPr>
          </w:p>
        </w:tc>
        <w:tc>
          <w:tcPr>
            <w:tcW w:w="4252" w:type="pct"/>
            <w:gridSpan w:val="9"/>
            <w:noWrap/>
            <w:vAlign w:val="bottom"/>
            <w:hideMark/>
          </w:tcPr>
          <w:p w14:paraId="54E6E9AA" w14:textId="77777777" w:rsidR="00312641" w:rsidRPr="00C2043F" w:rsidRDefault="00312641" w:rsidP="009A133F">
            <w:pPr>
              <w:spacing w:before="0" w:after="0"/>
              <w:jc w:val="left"/>
              <w:rPr>
                <w:noProof/>
                <w:color w:val="000000"/>
                <w:sz w:val="22"/>
                <w:lang w:val="en-IE" w:eastAsia="en-IE"/>
              </w:rPr>
            </w:pPr>
            <w:r w:rsidRPr="00C2043F">
              <w:rPr>
                <w:noProof/>
                <w:color w:val="000000"/>
                <w:sz w:val="22"/>
                <w:lang w:val="en-IE" w:eastAsia="en-IE"/>
              </w:rPr>
              <w:t>Appropriations of an administrative nature financed from the envelope of specific programme</w:t>
            </w:r>
            <w:r>
              <w:rPr>
                <w:noProof/>
                <w:color w:val="000000"/>
                <w:sz w:val="22"/>
                <w:lang w:val="en-IE" w:eastAsia="en-IE"/>
              </w:rPr>
              <w:t xml:space="preserve">s </w:t>
            </w:r>
          </w:p>
        </w:tc>
        <w:tc>
          <w:tcPr>
            <w:tcW w:w="342" w:type="pct"/>
            <w:vAlign w:val="center"/>
          </w:tcPr>
          <w:p w14:paraId="399F13DF" w14:textId="77777777" w:rsidR="00312641" w:rsidRPr="00C2043F" w:rsidRDefault="00312641" w:rsidP="009A133F">
            <w:pPr>
              <w:spacing w:before="0" w:after="0"/>
              <w:jc w:val="center"/>
              <w:rPr>
                <w:noProof/>
                <w:color w:val="000000"/>
                <w:sz w:val="22"/>
                <w:lang w:val="en-IE" w:eastAsia="en-IE"/>
              </w:rPr>
            </w:pPr>
          </w:p>
        </w:tc>
      </w:tr>
      <w:tr w:rsidR="00312641" w:rsidRPr="00C2043F" w14:paraId="5771943C" w14:textId="77777777" w:rsidTr="009A133F">
        <w:trPr>
          <w:trHeight w:val="288"/>
        </w:trPr>
        <w:tc>
          <w:tcPr>
            <w:tcW w:w="2301" w:type="pct"/>
            <w:gridSpan w:val="2"/>
            <w:vAlign w:val="center"/>
            <w:hideMark/>
          </w:tcPr>
          <w:p w14:paraId="34744235" w14:textId="77777777" w:rsidR="00312641" w:rsidRPr="00C2043F" w:rsidRDefault="00312641" w:rsidP="009A133F">
            <w:pPr>
              <w:spacing w:before="0" w:after="0"/>
              <w:rPr>
                <w:noProof/>
                <w:color w:val="000000"/>
                <w:sz w:val="20"/>
                <w:szCs w:val="20"/>
                <w:lang w:val="en-IE" w:eastAsia="en-IE"/>
              </w:rPr>
            </w:pPr>
            <w:r w:rsidRPr="00C2043F">
              <w:rPr>
                <w:noProof/>
                <w:color w:val="000000"/>
                <w:sz w:val="20"/>
                <w:szCs w:val="20"/>
                <w:lang w:val="en-IE" w:eastAsia="en-IE"/>
              </w:rPr>
              <w:t>Budget line</w:t>
            </w:r>
            <w:r>
              <w:rPr>
                <w:noProof/>
                <w:color w:val="000000"/>
                <w:sz w:val="20"/>
                <w:szCs w:val="20"/>
                <w:lang w:val="en-IE" w:eastAsia="en-IE"/>
              </w:rPr>
              <w:t xml:space="preserve"> 01 01 01 11 </w:t>
            </w:r>
            <w:r w:rsidRPr="00EB18BA">
              <w:rPr>
                <w:noProof/>
                <w:color w:val="000000"/>
                <w:sz w:val="20"/>
                <w:szCs w:val="20"/>
                <w:lang w:val="en-IE" w:eastAsia="en-IE"/>
              </w:rPr>
              <w:t>Expenditure related to officials and temporary staff implementing Horizon Europe — Direct research</w:t>
            </w:r>
          </w:p>
        </w:tc>
        <w:tc>
          <w:tcPr>
            <w:tcW w:w="435" w:type="pct"/>
            <w:vAlign w:val="center"/>
            <w:hideMark/>
          </w:tcPr>
          <w:p w14:paraId="6B1CA865" w14:textId="77777777" w:rsidR="00312641" w:rsidRPr="00C2043F" w:rsidRDefault="00312641" w:rsidP="009A133F">
            <w:pPr>
              <w:spacing w:before="0" w:after="0"/>
              <w:jc w:val="right"/>
              <w:rPr>
                <w:noProof/>
                <w:color w:val="000000"/>
                <w:sz w:val="18"/>
                <w:szCs w:val="18"/>
                <w:lang w:val="en-IE" w:eastAsia="en-IE"/>
              </w:rPr>
            </w:pPr>
            <w:r w:rsidRPr="00C2043F">
              <w:rPr>
                <w:noProof/>
                <w:color w:val="000000"/>
                <w:sz w:val="18"/>
                <w:szCs w:val="18"/>
                <w:lang w:val="en-IE" w:eastAsia="en-IE"/>
              </w:rPr>
              <w:t> </w:t>
            </w:r>
          </w:p>
        </w:tc>
        <w:tc>
          <w:tcPr>
            <w:tcW w:w="280" w:type="pct"/>
            <w:vAlign w:val="center"/>
            <w:hideMark/>
          </w:tcPr>
          <w:p w14:paraId="45750CEC" w14:textId="77777777" w:rsidR="00312641" w:rsidRPr="00C2043F" w:rsidRDefault="00312641" w:rsidP="009A133F">
            <w:pPr>
              <w:spacing w:before="0" w:after="0"/>
              <w:jc w:val="center"/>
              <w:rPr>
                <w:noProof/>
                <w:color w:val="000000"/>
                <w:sz w:val="14"/>
                <w:szCs w:val="14"/>
                <w:lang w:val="en-IE" w:eastAsia="en-IE"/>
              </w:rPr>
            </w:pPr>
            <w:r w:rsidRPr="00C2043F">
              <w:rPr>
                <w:noProof/>
                <w:color w:val="000000"/>
                <w:sz w:val="14"/>
                <w:szCs w:val="14"/>
                <w:lang w:val="en-IE" w:eastAsia="en-IE"/>
              </w:rPr>
              <w:t>(3)</w:t>
            </w:r>
          </w:p>
        </w:tc>
        <w:tc>
          <w:tcPr>
            <w:tcW w:w="254" w:type="pct"/>
            <w:vAlign w:val="center"/>
            <w:hideMark/>
          </w:tcPr>
          <w:p w14:paraId="367D98AB" w14:textId="77777777" w:rsidR="00312641" w:rsidRPr="00C2043F" w:rsidRDefault="00312641" w:rsidP="009A133F">
            <w:pPr>
              <w:spacing w:before="0" w:after="0"/>
              <w:jc w:val="right"/>
              <w:rPr>
                <w:b/>
                <w:bCs/>
                <w:noProof/>
                <w:color w:val="000000"/>
                <w:sz w:val="20"/>
                <w:szCs w:val="20"/>
                <w:lang w:val="en-IE" w:eastAsia="en-IE"/>
              </w:rPr>
            </w:pPr>
            <w:r w:rsidRPr="00C2043F">
              <w:rPr>
                <w:b/>
                <w:bCs/>
                <w:noProof/>
                <w:color w:val="000000"/>
                <w:sz w:val="20"/>
                <w:szCs w:val="20"/>
                <w:lang w:val="en-IE" w:eastAsia="en-IE"/>
              </w:rPr>
              <w:t> </w:t>
            </w:r>
          </w:p>
        </w:tc>
        <w:tc>
          <w:tcPr>
            <w:tcW w:w="267" w:type="pct"/>
            <w:vAlign w:val="center"/>
            <w:hideMark/>
          </w:tcPr>
          <w:p w14:paraId="0B56B749" w14:textId="77777777" w:rsidR="00312641" w:rsidRPr="00C2043F" w:rsidRDefault="00312641" w:rsidP="009A133F">
            <w:pPr>
              <w:spacing w:before="0" w:after="0"/>
              <w:jc w:val="right"/>
              <w:rPr>
                <w:b/>
                <w:bCs/>
                <w:noProof/>
                <w:color w:val="000000"/>
                <w:sz w:val="20"/>
                <w:szCs w:val="20"/>
                <w:lang w:val="en-IE" w:eastAsia="en-IE"/>
              </w:rPr>
            </w:pPr>
            <w:r w:rsidRPr="00C2043F">
              <w:rPr>
                <w:b/>
                <w:bCs/>
                <w:noProof/>
                <w:color w:val="000000"/>
                <w:sz w:val="20"/>
                <w:szCs w:val="20"/>
                <w:lang w:val="en-IE" w:eastAsia="en-IE"/>
              </w:rPr>
              <w:t> </w:t>
            </w:r>
          </w:p>
        </w:tc>
        <w:tc>
          <w:tcPr>
            <w:tcW w:w="267" w:type="pct"/>
            <w:vAlign w:val="center"/>
            <w:hideMark/>
          </w:tcPr>
          <w:p w14:paraId="18C212DC" w14:textId="77777777" w:rsidR="00312641" w:rsidRPr="00C2043F" w:rsidRDefault="00312641" w:rsidP="009A133F">
            <w:pPr>
              <w:spacing w:before="0" w:after="0"/>
              <w:jc w:val="right"/>
              <w:rPr>
                <w:b/>
                <w:bCs/>
                <w:noProof/>
                <w:color w:val="000000"/>
                <w:sz w:val="20"/>
                <w:szCs w:val="20"/>
                <w:lang w:val="en-IE" w:eastAsia="en-IE"/>
              </w:rPr>
            </w:pPr>
            <w:r w:rsidRPr="00C2043F">
              <w:rPr>
                <w:b/>
                <w:bCs/>
                <w:noProof/>
                <w:color w:val="000000"/>
                <w:sz w:val="20"/>
                <w:szCs w:val="20"/>
                <w:lang w:val="en-IE" w:eastAsia="en-IE"/>
              </w:rPr>
              <w:t> </w:t>
            </w:r>
          </w:p>
        </w:tc>
        <w:tc>
          <w:tcPr>
            <w:tcW w:w="252" w:type="pct"/>
          </w:tcPr>
          <w:p w14:paraId="685A4342" w14:textId="77777777" w:rsidR="00312641" w:rsidRDefault="00312641" w:rsidP="009A133F">
            <w:pPr>
              <w:spacing w:before="0" w:after="0"/>
              <w:jc w:val="right"/>
              <w:rPr>
                <w:b/>
                <w:bCs/>
                <w:noProof/>
                <w:color w:val="000000"/>
                <w:sz w:val="20"/>
                <w:szCs w:val="20"/>
                <w:lang w:val="en-IE" w:eastAsia="en-IE"/>
              </w:rPr>
            </w:pPr>
          </w:p>
        </w:tc>
        <w:tc>
          <w:tcPr>
            <w:tcW w:w="252" w:type="pct"/>
            <w:vAlign w:val="center"/>
            <w:hideMark/>
          </w:tcPr>
          <w:p w14:paraId="69D323CD" w14:textId="77777777" w:rsidR="00312641" w:rsidRPr="00C2043F" w:rsidRDefault="00312641" w:rsidP="009A133F">
            <w:pPr>
              <w:spacing w:before="0" w:after="0"/>
              <w:jc w:val="right"/>
              <w:rPr>
                <w:b/>
                <w:bCs/>
                <w:noProof/>
                <w:color w:val="000000"/>
                <w:sz w:val="20"/>
                <w:szCs w:val="20"/>
                <w:lang w:val="en-IE" w:eastAsia="en-IE"/>
              </w:rPr>
            </w:pPr>
            <w:r>
              <w:rPr>
                <w:b/>
                <w:bCs/>
                <w:noProof/>
                <w:color w:val="000000"/>
                <w:sz w:val="20"/>
                <w:szCs w:val="20"/>
              </w:rPr>
              <w:t>0,754</w:t>
            </w:r>
          </w:p>
        </w:tc>
        <w:tc>
          <w:tcPr>
            <w:tcW w:w="350" w:type="pct"/>
            <w:shd w:val="clear" w:color="auto" w:fill="D9D9D9" w:themeFill="background1" w:themeFillShade="D9"/>
            <w:vAlign w:val="center"/>
            <w:hideMark/>
          </w:tcPr>
          <w:p w14:paraId="64114DBB" w14:textId="77777777" w:rsidR="00312641" w:rsidRPr="00C2043F" w:rsidRDefault="00312641" w:rsidP="009A133F">
            <w:pPr>
              <w:spacing w:before="0" w:after="0"/>
              <w:jc w:val="right"/>
              <w:rPr>
                <w:b/>
                <w:bCs/>
                <w:noProof/>
                <w:color w:val="000000"/>
                <w:sz w:val="20"/>
                <w:szCs w:val="20"/>
                <w:lang w:val="en-IE" w:eastAsia="en-IE"/>
              </w:rPr>
            </w:pPr>
            <w:r>
              <w:rPr>
                <w:b/>
                <w:bCs/>
                <w:noProof/>
                <w:color w:val="000000"/>
                <w:sz w:val="20"/>
                <w:szCs w:val="20"/>
              </w:rPr>
              <w:t>0,754</w:t>
            </w:r>
          </w:p>
        </w:tc>
        <w:tc>
          <w:tcPr>
            <w:tcW w:w="342" w:type="pct"/>
            <w:shd w:val="clear" w:color="auto" w:fill="D9D9D9" w:themeFill="background1" w:themeFillShade="D9"/>
            <w:vAlign w:val="center"/>
          </w:tcPr>
          <w:p w14:paraId="06DFEC1C" w14:textId="77777777" w:rsidR="00312641" w:rsidRPr="00C2043F" w:rsidRDefault="00312641" w:rsidP="009A133F">
            <w:pPr>
              <w:spacing w:before="0" w:after="0"/>
              <w:jc w:val="center"/>
              <w:rPr>
                <w:b/>
                <w:bCs/>
                <w:noProof/>
                <w:color w:val="000000"/>
                <w:sz w:val="20"/>
                <w:szCs w:val="20"/>
                <w:lang w:val="en-IE" w:eastAsia="en-IE"/>
              </w:rPr>
            </w:pPr>
            <w:r>
              <w:rPr>
                <w:b/>
                <w:bCs/>
                <w:noProof/>
                <w:color w:val="000000"/>
                <w:sz w:val="20"/>
                <w:szCs w:val="20"/>
                <w:lang w:val="en-IE" w:eastAsia="en-IE"/>
              </w:rPr>
              <w:t>5,278</w:t>
            </w:r>
          </w:p>
        </w:tc>
      </w:tr>
      <w:tr w:rsidR="00312641" w:rsidRPr="00C2043F" w14:paraId="7675B353" w14:textId="77777777" w:rsidTr="009A133F">
        <w:trPr>
          <w:trHeight w:val="288"/>
        </w:trPr>
        <w:tc>
          <w:tcPr>
            <w:tcW w:w="2301" w:type="pct"/>
            <w:gridSpan w:val="2"/>
            <w:vMerge w:val="restart"/>
            <w:vAlign w:val="center"/>
            <w:hideMark/>
          </w:tcPr>
          <w:p w14:paraId="3B50A620" w14:textId="77777777" w:rsidR="00312641" w:rsidRPr="00C2043F" w:rsidRDefault="00312641" w:rsidP="009A133F">
            <w:pPr>
              <w:spacing w:before="0" w:after="0"/>
              <w:jc w:val="center"/>
              <w:rPr>
                <w:b/>
                <w:bCs/>
                <w:noProof/>
                <w:color w:val="000000"/>
                <w:sz w:val="22"/>
                <w:lang w:val="en-IE" w:eastAsia="en-IE"/>
              </w:rPr>
            </w:pPr>
            <w:r w:rsidRPr="00C2043F">
              <w:rPr>
                <w:b/>
                <w:bCs/>
                <w:noProof/>
                <w:color w:val="000000"/>
                <w:sz w:val="22"/>
                <w:lang w:val="en-IE" w:eastAsia="en-IE"/>
              </w:rPr>
              <w:t>TOTAL appropriations</w:t>
            </w:r>
          </w:p>
          <w:p w14:paraId="2001FBC9" w14:textId="77777777" w:rsidR="00312641" w:rsidRPr="00C2043F" w:rsidRDefault="00312641" w:rsidP="009A133F">
            <w:pPr>
              <w:spacing w:before="0" w:after="0"/>
              <w:jc w:val="center"/>
              <w:rPr>
                <w:b/>
                <w:bCs/>
                <w:noProof/>
                <w:color w:val="000000"/>
                <w:sz w:val="22"/>
                <w:lang w:val="en-IE" w:eastAsia="en-IE"/>
              </w:rPr>
            </w:pPr>
            <w:r w:rsidRPr="00C2043F">
              <w:rPr>
                <w:b/>
                <w:bCs/>
                <w:noProof/>
                <w:color w:val="000000"/>
                <w:sz w:val="22"/>
                <w:lang w:val="en-IE" w:eastAsia="en-IE"/>
              </w:rPr>
              <w:t xml:space="preserve">for </w:t>
            </w:r>
            <w:r>
              <w:rPr>
                <w:b/>
                <w:bCs/>
                <w:noProof/>
                <w:color w:val="000000"/>
                <w:sz w:val="22"/>
                <w:lang w:val="en-IE" w:eastAsia="en-IE"/>
              </w:rPr>
              <w:t>JRC</w:t>
            </w:r>
            <w:r>
              <w:rPr>
                <w:rStyle w:val="FootnoteReference"/>
                <w:b/>
                <w:bCs/>
                <w:noProof/>
                <w:color w:val="000000"/>
                <w:sz w:val="22"/>
                <w:lang w:val="en-IE" w:eastAsia="en-IE"/>
              </w:rPr>
              <w:footnoteReference w:id="79"/>
            </w:r>
          </w:p>
        </w:tc>
        <w:tc>
          <w:tcPr>
            <w:tcW w:w="435" w:type="pct"/>
            <w:vAlign w:val="center"/>
            <w:hideMark/>
          </w:tcPr>
          <w:p w14:paraId="0724FF8D" w14:textId="77777777" w:rsidR="00312641" w:rsidRPr="00C2043F" w:rsidRDefault="00312641" w:rsidP="009A133F">
            <w:pPr>
              <w:spacing w:before="0" w:after="0"/>
              <w:rPr>
                <w:noProof/>
                <w:color w:val="000000"/>
                <w:sz w:val="18"/>
                <w:szCs w:val="18"/>
                <w:lang w:val="en-IE" w:eastAsia="en-IE"/>
              </w:rPr>
            </w:pPr>
            <w:r w:rsidRPr="00C2043F">
              <w:rPr>
                <w:noProof/>
                <w:color w:val="000000"/>
                <w:sz w:val="18"/>
                <w:szCs w:val="18"/>
                <w:lang w:val="en-IE" w:eastAsia="en-IE"/>
              </w:rPr>
              <w:t>Commitments</w:t>
            </w:r>
          </w:p>
        </w:tc>
        <w:tc>
          <w:tcPr>
            <w:tcW w:w="280" w:type="pct"/>
            <w:vAlign w:val="center"/>
            <w:hideMark/>
          </w:tcPr>
          <w:p w14:paraId="316C7A2C" w14:textId="77777777" w:rsidR="00312641" w:rsidRPr="00C2043F" w:rsidRDefault="00312641" w:rsidP="009A133F">
            <w:pPr>
              <w:spacing w:before="0" w:after="0"/>
              <w:jc w:val="center"/>
              <w:rPr>
                <w:noProof/>
                <w:color w:val="000000"/>
                <w:sz w:val="14"/>
                <w:szCs w:val="14"/>
                <w:lang w:val="en-IE" w:eastAsia="en-IE"/>
              </w:rPr>
            </w:pPr>
            <w:r w:rsidRPr="00C2043F">
              <w:rPr>
                <w:noProof/>
                <w:color w:val="000000"/>
                <w:sz w:val="14"/>
                <w:szCs w:val="14"/>
                <w:lang w:val="en-IE" w:eastAsia="en-IE"/>
              </w:rPr>
              <w:t>=1a+1b+3</w:t>
            </w:r>
          </w:p>
        </w:tc>
        <w:tc>
          <w:tcPr>
            <w:tcW w:w="254" w:type="pct"/>
            <w:shd w:val="clear" w:color="auto" w:fill="D9D9D9" w:themeFill="background1" w:themeFillShade="D9"/>
            <w:vAlign w:val="center"/>
            <w:hideMark/>
          </w:tcPr>
          <w:p w14:paraId="2997BB6F" w14:textId="77777777" w:rsidR="00312641" w:rsidRPr="00C2043F" w:rsidRDefault="00312641" w:rsidP="009A133F">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67" w:type="pct"/>
            <w:shd w:val="clear" w:color="auto" w:fill="D9D9D9" w:themeFill="background1" w:themeFillShade="D9"/>
            <w:vAlign w:val="center"/>
            <w:hideMark/>
          </w:tcPr>
          <w:p w14:paraId="3CFE55CF" w14:textId="77777777" w:rsidR="00312641" w:rsidRPr="00C2043F" w:rsidRDefault="00312641" w:rsidP="009A133F">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67" w:type="pct"/>
            <w:shd w:val="clear" w:color="auto" w:fill="D9D9D9" w:themeFill="background1" w:themeFillShade="D9"/>
            <w:vAlign w:val="center"/>
            <w:hideMark/>
          </w:tcPr>
          <w:p w14:paraId="042EC0CB" w14:textId="77777777" w:rsidR="00312641" w:rsidRPr="00C2043F" w:rsidRDefault="00312641" w:rsidP="009A133F">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52" w:type="pct"/>
            <w:shd w:val="clear" w:color="auto" w:fill="D9D9D9" w:themeFill="background1" w:themeFillShade="D9"/>
          </w:tcPr>
          <w:p w14:paraId="10A6D004" w14:textId="77777777" w:rsidR="00312641" w:rsidRDefault="00312641" w:rsidP="009A133F">
            <w:pPr>
              <w:spacing w:before="0" w:after="0"/>
              <w:jc w:val="right"/>
              <w:rPr>
                <w:b/>
                <w:bCs/>
                <w:noProof/>
                <w:color w:val="000000"/>
                <w:sz w:val="20"/>
                <w:szCs w:val="20"/>
                <w:lang w:val="en-IE" w:eastAsia="en-IE"/>
              </w:rPr>
            </w:pPr>
          </w:p>
        </w:tc>
        <w:tc>
          <w:tcPr>
            <w:tcW w:w="252" w:type="pct"/>
            <w:shd w:val="clear" w:color="auto" w:fill="D9D9D9" w:themeFill="background1" w:themeFillShade="D9"/>
            <w:vAlign w:val="center"/>
            <w:hideMark/>
          </w:tcPr>
          <w:p w14:paraId="6A86D9A1" w14:textId="77777777" w:rsidR="00312641" w:rsidRPr="00C2043F" w:rsidRDefault="00312641" w:rsidP="009A133F">
            <w:pPr>
              <w:spacing w:before="0" w:after="0"/>
              <w:jc w:val="right"/>
              <w:rPr>
                <w:b/>
                <w:bCs/>
                <w:noProof/>
                <w:color w:val="000000"/>
                <w:sz w:val="20"/>
                <w:szCs w:val="20"/>
                <w:lang w:val="en-IE" w:eastAsia="en-IE"/>
              </w:rPr>
            </w:pPr>
            <w:r>
              <w:rPr>
                <w:b/>
                <w:bCs/>
                <w:noProof/>
                <w:color w:val="000000"/>
                <w:sz w:val="20"/>
                <w:szCs w:val="20"/>
              </w:rPr>
              <w:t>0,754</w:t>
            </w:r>
          </w:p>
        </w:tc>
        <w:tc>
          <w:tcPr>
            <w:tcW w:w="350" w:type="pct"/>
            <w:shd w:val="clear" w:color="auto" w:fill="D9D9D9" w:themeFill="background1" w:themeFillShade="D9"/>
            <w:vAlign w:val="center"/>
            <w:hideMark/>
          </w:tcPr>
          <w:p w14:paraId="5257EDD3" w14:textId="77777777" w:rsidR="00312641" w:rsidRPr="00C2043F" w:rsidRDefault="00312641" w:rsidP="009A133F">
            <w:pPr>
              <w:spacing w:before="0" w:after="0"/>
              <w:jc w:val="right"/>
              <w:rPr>
                <w:b/>
                <w:bCs/>
                <w:noProof/>
                <w:color w:val="000000"/>
                <w:sz w:val="20"/>
                <w:szCs w:val="20"/>
                <w:lang w:val="en-IE" w:eastAsia="en-IE"/>
              </w:rPr>
            </w:pPr>
            <w:r>
              <w:rPr>
                <w:b/>
                <w:bCs/>
                <w:noProof/>
                <w:color w:val="000000"/>
                <w:sz w:val="20"/>
                <w:szCs w:val="20"/>
              </w:rPr>
              <w:t>0,754</w:t>
            </w:r>
          </w:p>
        </w:tc>
        <w:tc>
          <w:tcPr>
            <w:tcW w:w="342" w:type="pct"/>
            <w:shd w:val="clear" w:color="auto" w:fill="D9D9D9" w:themeFill="background1" w:themeFillShade="D9"/>
            <w:vAlign w:val="center"/>
          </w:tcPr>
          <w:p w14:paraId="124B868E" w14:textId="77777777" w:rsidR="00312641" w:rsidRDefault="00312641" w:rsidP="009A133F">
            <w:pPr>
              <w:spacing w:before="0" w:after="0"/>
              <w:jc w:val="center"/>
              <w:rPr>
                <w:b/>
                <w:bCs/>
                <w:noProof/>
                <w:color w:val="000000"/>
                <w:sz w:val="20"/>
                <w:szCs w:val="20"/>
                <w:lang w:val="en-IE" w:eastAsia="en-IE"/>
              </w:rPr>
            </w:pPr>
            <w:r>
              <w:rPr>
                <w:b/>
                <w:bCs/>
                <w:noProof/>
                <w:color w:val="000000"/>
                <w:sz w:val="20"/>
                <w:szCs w:val="20"/>
                <w:lang w:val="en-IE" w:eastAsia="en-IE"/>
              </w:rPr>
              <w:t>5,278</w:t>
            </w:r>
          </w:p>
        </w:tc>
      </w:tr>
      <w:tr w:rsidR="00312641" w:rsidRPr="00C2043F" w14:paraId="3E1DA3A1" w14:textId="77777777" w:rsidTr="009A133F">
        <w:trPr>
          <w:trHeight w:val="288"/>
        </w:trPr>
        <w:tc>
          <w:tcPr>
            <w:tcW w:w="2301" w:type="pct"/>
            <w:gridSpan w:val="2"/>
            <w:vMerge/>
            <w:vAlign w:val="center"/>
            <w:hideMark/>
          </w:tcPr>
          <w:p w14:paraId="1C6D6AC5" w14:textId="77777777" w:rsidR="00312641" w:rsidRPr="00C2043F" w:rsidRDefault="00312641" w:rsidP="009A133F">
            <w:pPr>
              <w:spacing w:before="0" w:after="0"/>
              <w:jc w:val="center"/>
              <w:rPr>
                <w:b/>
                <w:bCs/>
                <w:noProof/>
                <w:color w:val="000000"/>
                <w:sz w:val="22"/>
                <w:lang w:val="en-IE" w:eastAsia="en-IE"/>
              </w:rPr>
            </w:pPr>
          </w:p>
        </w:tc>
        <w:tc>
          <w:tcPr>
            <w:tcW w:w="435" w:type="pct"/>
            <w:vAlign w:val="center"/>
            <w:hideMark/>
          </w:tcPr>
          <w:p w14:paraId="2CA5C589" w14:textId="77777777" w:rsidR="00312641" w:rsidRPr="00C2043F" w:rsidRDefault="00312641" w:rsidP="009A133F">
            <w:pPr>
              <w:spacing w:before="0" w:after="0"/>
              <w:rPr>
                <w:noProof/>
                <w:color w:val="000000"/>
                <w:sz w:val="18"/>
                <w:szCs w:val="18"/>
                <w:lang w:val="en-IE" w:eastAsia="en-IE"/>
              </w:rPr>
            </w:pPr>
            <w:r w:rsidRPr="00C2043F">
              <w:rPr>
                <w:noProof/>
                <w:color w:val="000000"/>
                <w:sz w:val="18"/>
                <w:szCs w:val="18"/>
                <w:lang w:val="en-IE" w:eastAsia="en-IE"/>
              </w:rPr>
              <w:t>Payments</w:t>
            </w:r>
          </w:p>
        </w:tc>
        <w:tc>
          <w:tcPr>
            <w:tcW w:w="280" w:type="pct"/>
            <w:vAlign w:val="center"/>
            <w:hideMark/>
          </w:tcPr>
          <w:p w14:paraId="6E97D48F" w14:textId="77777777" w:rsidR="00312641" w:rsidRPr="00C2043F" w:rsidRDefault="00312641" w:rsidP="009A133F">
            <w:pPr>
              <w:spacing w:before="0" w:after="0"/>
              <w:jc w:val="center"/>
              <w:rPr>
                <w:noProof/>
                <w:color w:val="000000"/>
                <w:sz w:val="14"/>
                <w:szCs w:val="14"/>
                <w:lang w:val="en-IE" w:eastAsia="en-IE"/>
              </w:rPr>
            </w:pPr>
            <w:r w:rsidRPr="00C2043F">
              <w:rPr>
                <w:noProof/>
                <w:color w:val="000000"/>
                <w:sz w:val="14"/>
                <w:szCs w:val="14"/>
                <w:lang w:val="en-IE" w:eastAsia="en-IE"/>
              </w:rPr>
              <w:t>=2a+2b+3</w:t>
            </w:r>
          </w:p>
        </w:tc>
        <w:tc>
          <w:tcPr>
            <w:tcW w:w="254" w:type="pct"/>
            <w:shd w:val="clear" w:color="auto" w:fill="D9D9D9" w:themeFill="background1" w:themeFillShade="D9"/>
            <w:vAlign w:val="center"/>
            <w:hideMark/>
          </w:tcPr>
          <w:p w14:paraId="51C27034" w14:textId="77777777" w:rsidR="00312641" w:rsidRPr="00C2043F" w:rsidRDefault="00312641" w:rsidP="009A133F">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67" w:type="pct"/>
            <w:shd w:val="clear" w:color="auto" w:fill="D9D9D9" w:themeFill="background1" w:themeFillShade="D9"/>
            <w:vAlign w:val="center"/>
            <w:hideMark/>
          </w:tcPr>
          <w:p w14:paraId="2B575747" w14:textId="77777777" w:rsidR="00312641" w:rsidRPr="00C2043F" w:rsidRDefault="00312641" w:rsidP="009A133F">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67" w:type="pct"/>
            <w:shd w:val="clear" w:color="auto" w:fill="D9D9D9" w:themeFill="background1" w:themeFillShade="D9"/>
            <w:vAlign w:val="center"/>
            <w:hideMark/>
          </w:tcPr>
          <w:p w14:paraId="50BC1735" w14:textId="77777777" w:rsidR="00312641" w:rsidRPr="00C2043F" w:rsidRDefault="00312641" w:rsidP="009A133F">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252" w:type="pct"/>
            <w:shd w:val="clear" w:color="auto" w:fill="D9D9D9" w:themeFill="background1" w:themeFillShade="D9"/>
          </w:tcPr>
          <w:p w14:paraId="5AD332FB" w14:textId="77777777" w:rsidR="00312641" w:rsidRDefault="00312641" w:rsidP="009A133F">
            <w:pPr>
              <w:spacing w:before="0" w:after="0"/>
              <w:jc w:val="right"/>
              <w:rPr>
                <w:b/>
                <w:bCs/>
                <w:noProof/>
                <w:color w:val="000000"/>
                <w:sz w:val="20"/>
                <w:szCs w:val="20"/>
                <w:lang w:val="en-IE" w:eastAsia="en-IE"/>
              </w:rPr>
            </w:pPr>
          </w:p>
        </w:tc>
        <w:tc>
          <w:tcPr>
            <w:tcW w:w="252" w:type="pct"/>
            <w:shd w:val="clear" w:color="auto" w:fill="D9D9D9" w:themeFill="background1" w:themeFillShade="D9"/>
            <w:vAlign w:val="center"/>
            <w:hideMark/>
          </w:tcPr>
          <w:p w14:paraId="7357A225" w14:textId="77777777" w:rsidR="00312641" w:rsidRPr="00C2043F" w:rsidRDefault="00312641" w:rsidP="009A133F">
            <w:pPr>
              <w:spacing w:before="0" w:after="0"/>
              <w:jc w:val="right"/>
              <w:rPr>
                <w:b/>
                <w:bCs/>
                <w:noProof/>
                <w:color w:val="000000"/>
                <w:sz w:val="20"/>
                <w:szCs w:val="20"/>
                <w:lang w:val="en-IE" w:eastAsia="en-IE"/>
              </w:rPr>
            </w:pPr>
            <w:r>
              <w:rPr>
                <w:b/>
                <w:bCs/>
                <w:noProof/>
                <w:color w:val="000000"/>
                <w:sz w:val="20"/>
                <w:szCs w:val="20"/>
              </w:rPr>
              <w:t>0,754</w:t>
            </w:r>
          </w:p>
        </w:tc>
        <w:tc>
          <w:tcPr>
            <w:tcW w:w="350" w:type="pct"/>
            <w:shd w:val="clear" w:color="auto" w:fill="D9D9D9" w:themeFill="background1" w:themeFillShade="D9"/>
            <w:vAlign w:val="center"/>
            <w:hideMark/>
          </w:tcPr>
          <w:p w14:paraId="03F452EA" w14:textId="77777777" w:rsidR="00312641" w:rsidRPr="00C2043F" w:rsidRDefault="00312641" w:rsidP="009A133F">
            <w:pPr>
              <w:spacing w:before="0" w:after="0"/>
              <w:jc w:val="right"/>
              <w:rPr>
                <w:b/>
                <w:bCs/>
                <w:noProof/>
                <w:color w:val="000000"/>
                <w:sz w:val="20"/>
                <w:szCs w:val="20"/>
                <w:lang w:val="en-IE" w:eastAsia="en-IE"/>
              </w:rPr>
            </w:pPr>
            <w:r>
              <w:rPr>
                <w:b/>
                <w:bCs/>
                <w:noProof/>
                <w:color w:val="000000"/>
                <w:sz w:val="20"/>
                <w:szCs w:val="20"/>
              </w:rPr>
              <w:t>0,754</w:t>
            </w:r>
          </w:p>
        </w:tc>
        <w:tc>
          <w:tcPr>
            <w:tcW w:w="342" w:type="pct"/>
            <w:shd w:val="clear" w:color="auto" w:fill="D9D9D9" w:themeFill="background1" w:themeFillShade="D9"/>
            <w:vAlign w:val="center"/>
          </w:tcPr>
          <w:p w14:paraId="4F1D9D05" w14:textId="77777777" w:rsidR="00312641" w:rsidRDefault="00312641" w:rsidP="009A133F">
            <w:pPr>
              <w:spacing w:before="0" w:after="0"/>
              <w:jc w:val="center"/>
              <w:rPr>
                <w:b/>
                <w:bCs/>
                <w:noProof/>
                <w:color w:val="000000"/>
                <w:sz w:val="20"/>
                <w:szCs w:val="20"/>
                <w:lang w:val="en-IE" w:eastAsia="en-IE"/>
              </w:rPr>
            </w:pPr>
            <w:r>
              <w:rPr>
                <w:b/>
                <w:bCs/>
                <w:noProof/>
                <w:color w:val="000000"/>
                <w:sz w:val="20"/>
                <w:szCs w:val="20"/>
                <w:lang w:val="en-IE" w:eastAsia="en-IE"/>
              </w:rPr>
              <w:t>5,278</w:t>
            </w:r>
          </w:p>
        </w:tc>
      </w:tr>
    </w:tbl>
    <w:p w14:paraId="121B3706" w14:textId="77777777" w:rsidR="00312641" w:rsidRDefault="00312641" w:rsidP="00AF7A86">
      <w:pPr>
        <w:ind w:right="679"/>
        <w:jc w:val="right"/>
        <w:rPr>
          <w:noProof/>
          <w:sz w:val="18"/>
          <w:szCs w:val="18"/>
          <w:lang w:val="en-IE"/>
        </w:rPr>
      </w:pPr>
    </w:p>
    <w:p w14:paraId="391AAB5C" w14:textId="77777777" w:rsidR="00AF7A86" w:rsidRPr="00FA6E14" w:rsidRDefault="00AF7A86" w:rsidP="00AF7A86">
      <w:pPr>
        <w:ind w:right="679"/>
        <w:jc w:val="right"/>
        <w:rPr>
          <w:noProof/>
          <w:sz w:val="18"/>
          <w:szCs w:val="18"/>
          <w:lang w:val="en-IE"/>
        </w:rPr>
      </w:pPr>
      <w:r w:rsidRPr="003A769F">
        <w:rPr>
          <w:noProof/>
          <w:sz w:val="18"/>
          <w:szCs w:val="18"/>
          <w:lang w:val="en-IE"/>
        </w:rPr>
        <w:t>EUR million (to three decimal places)</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157"/>
        <w:gridCol w:w="1158"/>
        <w:gridCol w:w="1157"/>
        <w:gridCol w:w="1158"/>
        <w:gridCol w:w="1157"/>
        <w:gridCol w:w="1158"/>
      </w:tblGrid>
      <w:tr w:rsidR="00AF7A86" w:rsidRPr="00C82AE0" w14:paraId="7EB26EAB" w14:textId="77777777">
        <w:trPr>
          <w:trHeight w:val="715"/>
        </w:trPr>
        <w:tc>
          <w:tcPr>
            <w:tcW w:w="7230" w:type="dxa"/>
            <w:vAlign w:val="center"/>
          </w:tcPr>
          <w:p w14:paraId="4F2CBB84" w14:textId="77777777" w:rsidR="00AF7A86" w:rsidRPr="002D73DA" w:rsidRDefault="00AF7A86">
            <w:pPr>
              <w:jc w:val="center"/>
              <w:rPr>
                <w:noProof/>
                <w:sz w:val="20"/>
                <w:szCs w:val="20"/>
              </w:rPr>
            </w:pPr>
            <w:r w:rsidRPr="002D73DA">
              <w:rPr>
                <w:noProof/>
                <w:sz w:val="20"/>
                <w:szCs w:val="20"/>
              </w:rPr>
              <w:t xml:space="preserve">[Agency]: </w:t>
            </w:r>
            <w:r>
              <w:rPr>
                <w:noProof/>
                <w:sz w:val="20"/>
                <w:szCs w:val="20"/>
              </w:rPr>
              <w:t>European Union Agency for the Cooperation of Energy Regulators (ACER)</w:t>
            </w:r>
          </w:p>
        </w:tc>
        <w:tc>
          <w:tcPr>
            <w:tcW w:w="1157" w:type="dxa"/>
            <w:vAlign w:val="center"/>
          </w:tcPr>
          <w:p w14:paraId="0222A1A8" w14:textId="77777777" w:rsidR="00AF7A86" w:rsidRDefault="00AF7A86">
            <w:pPr>
              <w:jc w:val="center"/>
              <w:rPr>
                <w:noProof/>
                <w:color w:val="000000"/>
                <w:sz w:val="20"/>
                <w:szCs w:val="20"/>
                <w:lang w:val="en-IE" w:eastAsia="en-IE"/>
              </w:rPr>
            </w:pPr>
            <w:r w:rsidRPr="00170721">
              <w:rPr>
                <w:noProof/>
                <w:color w:val="000000"/>
                <w:sz w:val="20"/>
                <w:szCs w:val="20"/>
                <w:lang w:val="en-IE" w:eastAsia="en-IE"/>
              </w:rPr>
              <w:t>Year</w:t>
            </w:r>
          </w:p>
          <w:p w14:paraId="05A05053" w14:textId="77777777" w:rsidR="00AF7A86" w:rsidRPr="008F13F1" w:rsidRDefault="00AF7A86">
            <w:pPr>
              <w:jc w:val="center"/>
              <w:rPr>
                <w:b/>
                <w:bCs/>
                <w:noProof/>
                <w:sz w:val="20"/>
                <w:szCs w:val="20"/>
              </w:rPr>
            </w:pPr>
            <w:r w:rsidRPr="008F13F1">
              <w:rPr>
                <w:b/>
                <w:bCs/>
                <w:noProof/>
                <w:color w:val="000000"/>
                <w:sz w:val="20"/>
                <w:szCs w:val="20"/>
                <w:lang w:val="en-IE" w:eastAsia="en-IE"/>
              </w:rPr>
              <w:t>2024</w:t>
            </w:r>
          </w:p>
        </w:tc>
        <w:tc>
          <w:tcPr>
            <w:tcW w:w="1158" w:type="dxa"/>
            <w:vAlign w:val="center"/>
          </w:tcPr>
          <w:p w14:paraId="72362CA9" w14:textId="77777777" w:rsidR="00AF7A86" w:rsidRDefault="00AF7A86">
            <w:pPr>
              <w:jc w:val="center"/>
              <w:rPr>
                <w:noProof/>
                <w:color w:val="000000"/>
                <w:sz w:val="20"/>
                <w:szCs w:val="20"/>
                <w:lang w:val="en-IE" w:eastAsia="en-IE"/>
              </w:rPr>
            </w:pPr>
            <w:r w:rsidRPr="00170721">
              <w:rPr>
                <w:noProof/>
                <w:color w:val="000000"/>
                <w:sz w:val="20"/>
                <w:szCs w:val="20"/>
                <w:lang w:val="en-IE" w:eastAsia="en-IE"/>
              </w:rPr>
              <w:t>Year</w:t>
            </w:r>
          </w:p>
          <w:p w14:paraId="235C3C2F" w14:textId="77777777" w:rsidR="00AF7A86" w:rsidRPr="008F13F1" w:rsidRDefault="00AF7A86">
            <w:pPr>
              <w:jc w:val="center"/>
              <w:rPr>
                <w:b/>
                <w:bCs/>
                <w:noProof/>
                <w:sz w:val="20"/>
                <w:szCs w:val="20"/>
              </w:rPr>
            </w:pPr>
            <w:r w:rsidRPr="008F13F1">
              <w:rPr>
                <w:b/>
                <w:bCs/>
                <w:noProof/>
                <w:color w:val="000000"/>
                <w:sz w:val="20"/>
                <w:szCs w:val="20"/>
                <w:lang w:val="en-IE" w:eastAsia="en-IE"/>
              </w:rPr>
              <w:t>2025</w:t>
            </w:r>
          </w:p>
        </w:tc>
        <w:tc>
          <w:tcPr>
            <w:tcW w:w="1157" w:type="dxa"/>
            <w:vAlign w:val="center"/>
          </w:tcPr>
          <w:p w14:paraId="247D97E4" w14:textId="77777777" w:rsidR="00AF7A86" w:rsidRDefault="00AF7A86">
            <w:pPr>
              <w:jc w:val="center"/>
              <w:rPr>
                <w:noProof/>
                <w:color w:val="000000"/>
                <w:sz w:val="20"/>
                <w:szCs w:val="20"/>
                <w:lang w:val="en-IE" w:eastAsia="en-IE"/>
              </w:rPr>
            </w:pPr>
            <w:r w:rsidRPr="00170721">
              <w:rPr>
                <w:noProof/>
                <w:color w:val="000000"/>
                <w:sz w:val="20"/>
                <w:szCs w:val="20"/>
                <w:lang w:val="en-IE" w:eastAsia="en-IE"/>
              </w:rPr>
              <w:t>Year</w:t>
            </w:r>
          </w:p>
          <w:p w14:paraId="0138BDE1" w14:textId="77777777" w:rsidR="00AF7A86" w:rsidRPr="008F13F1" w:rsidRDefault="00AF7A86">
            <w:pPr>
              <w:jc w:val="center"/>
              <w:rPr>
                <w:b/>
                <w:bCs/>
                <w:noProof/>
                <w:sz w:val="20"/>
                <w:szCs w:val="20"/>
              </w:rPr>
            </w:pPr>
            <w:r w:rsidRPr="008F13F1">
              <w:rPr>
                <w:b/>
                <w:bCs/>
                <w:noProof/>
                <w:color w:val="000000"/>
                <w:sz w:val="20"/>
                <w:szCs w:val="20"/>
                <w:lang w:val="en-IE" w:eastAsia="en-IE"/>
              </w:rPr>
              <w:t>2026</w:t>
            </w:r>
          </w:p>
        </w:tc>
        <w:tc>
          <w:tcPr>
            <w:tcW w:w="1158" w:type="dxa"/>
            <w:vAlign w:val="center"/>
          </w:tcPr>
          <w:p w14:paraId="78D90F1E" w14:textId="77777777" w:rsidR="00AF7A86" w:rsidRDefault="00AF7A86">
            <w:pPr>
              <w:jc w:val="center"/>
              <w:rPr>
                <w:noProof/>
                <w:color w:val="000000"/>
                <w:sz w:val="20"/>
                <w:szCs w:val="20"/>
                <w:lang w:val="en-IE" w:eastAsia="en-IE"/>
              </w:rPr>
            </w:pPr>
            <w:r w:rsidRPr="00170721">
              <w:rPr>
                <w:noProof/>
                <w:color w:val="000000"/>
                <w:sz w:val="20"/>
                <w:szCs w:val="20"/>
                <w:lang w:val="en-IE" w:eastAsia="en-IE"/>
              </w:rPr>
              <w:t>Year</w:t>
            </w:r>
          </w:p>
          <w:p w14:paraId="3A25DC73" w14:textId="77777777" w:rsidR="00AF7A86" w:rsidRPr="008F13F1" w:rsidRDefault="00AF7A86">
            <w:pPr>
              <w:jc w:val="center"/>
              <w:rPr>
                <w:b/>
                <w:bCs/>
                <w:noProof/>
                <w:sz w:val="20"/>
                <w:szCs w:val="20"/>
              </w:rPr>
            </w:pPr>
            <w:r w:rsidRPr="008F13F1">
              <w:rPr>
                <w:b/>
                <w:bCs/>
                <w:noProof/>
                <w:color w:val="000000"/>
                <w:sz w:val="20"/>
                <w:szCs w:val="20"/>
                <w:lang w:val="en-IE" w:eastAsia="en-IE"/>
              </w:rPr>
              <w:t>2027</w:t>
            </w:r>
          </w:p>
        </w:tc>
        <w:tc>
          <w:tcPr>
            <w:tcW w:w="1157" w:type="dxa"/>
            <w:vAlign w:val="center"/>
          </w:tcPr>
          <w:p w14:paraId="5986F208" w14:textId="77777777" w:rsidR="00AF7A86" w:rsidRPr="00C82AE0" w:rsidRDefault="00AF7A86">
            <w:pPr>
              <w:jc w:val="center"/>
              <w:rPr>
                <w:b/>
                <w:noProof/>
                <w:sz w:val="20"/>
                <w:szCs w:val="20"/>
              </w:rPr>
            </w:pPr>
            <w:r w:rsidRPr="007E6ACF">
              <w:rPr>
                <w:b/>
                <w:bCs/>
                <w:noProof/>
                <w:color w:val="000000"/>
                <w:sz w:val="20"/>
                <w:szCs w:val="20"/>
                <w:lang w:val="en-IE" w:eastAsia="en-IE"/>
              </w:rPr>
              <w:t>TOTAL MFF</w:t>
            </w:r>
            <w:r>
              <w:rPr>
                <w:b/>
                <w:bCs/>
                <w:noProof/>
                <w:color w:val="000000"/>
                <w:sz w:val="20"/>
                <w:szCs w:val="20"/>
                <w:lang w:val="en-IE" w:eastAsia="en-IE"/>
              </w:rPr>
              <w:t xml:space="preserve"> </w:t>
            </w:r>
            <w:r w:rsidRPr="007E6ACF">
              <w:rPr>
                <w:b/>
                <w:bCs/>
                <w:noProof/>
                <w:color w:val="000000"/>
                <w:sz w:val="20"/>
                <w:szCs w:val="20"/>
                <w:lang w:val="en-IE" w:eastAsia="en-IE"/>
              </w:rPr>
              <w:t>2021-2027</w:t>
            </w:r>
          </w:p>
        </w:tc>
        <w:tc>
          <w:tcPr>
            <w:tcW w:w="1158" w:type="dxa"/>
            <w:vAlign w:val="center"/>
          </w:tcPr>
          <w:p w14:paraId="28FFF6F9" w14:textId="77777777" w:rsidR="00AF7A86" w:rsidRDefault="00AF7A86">
            <w:pPr>
              <w:jc w:val="center"/>
              <w:rPr>
                <w:b/>
                <w:bCs/>
                <w:noProof/>
                <w:color w:val="000000"/>
                <w:sz w:val="20"/>
                <w:szCs w:val="20"/>
                <w:lang w:val="en-IE" w:eastAsia="en-IE"/>
              </w:rPr>
            </w:pPr>
            <w:r>
              <w:rPr>
                <w:b/>
                <w:bCs/>
                <w:noProof/>
                <w:color w:val="000000"/>
                <w:sz w:val="20"/>
                <w:szCs w:val="20"/>
                <w:lang w:val="en-IE" w:eastAsia="en-IE"/>
              </w:rPr>
              <w:t>Post 2027</w:t>
            </w:r>
          </w:p>
        </w:tc>
      </w:tr>
      <w:tr w:rsidR="00AF7A86" w:rsidRPr="00C82AE0" w14:paraId="56E82BF9" w14:textId="77777777">
        <w:tc>
          <w:tcPr>
            <w:tcW w:w="7230" w:type="dxa"/>
            <w:vAlign w:val="center"/>
          </w:tcPr>
          <w:p w14:paraId="1E4C8983" w14:textId="77777777" w:rsidR="00AF7A86" w:rsidRPr="00402EC2" w:rsidRDefault="00AF7A86">
            <w:pPr>
              <w:spacing w:before="60"/>
              <w:rPr>
                <w:noProof/>
                <w:color w:val="FF0000"/>
                <w:lang w:val="en-IE"/>
              </w:rPr>
            </w:pPr>
            <w:r w:rsidRPr="008F13F1">
              <w:rPr>
                <w:bCs/>
                <w:noProof/>
                <w:sz w:val="20"/>
                <w:szCs w:val="20"/>
              </w:rPr>
              <w:t>Budget line</w:t>
            </w:r>
            <w:r>
              <w:rPr>
                <w:bCs/>
                <w:noProof/>
                <w:sz w:val="20"/>
                <w:szCs w:val="20"/>
              </w:rPr>
              <w:t>:</w:t>
            </w:r>
            <w:r w:rsidRPr="002D73DA">
              <w:rPr>
                <w:noProof/>
                <w:sz w:val="20"/>
                <w:szCs w:val="20"/>
              </w:rPr>
              <w:t xml:space="preserve"> </w:t>
            </w:r>
            <w:r w:rsidRPr="00402EC2">
              <w:rPr>
                <w:noProof/>
                <w:sz w:val="20"/>
                <w:szCs w:val="20"/>
                <w:lang w:val="en-IE"/>
              </w:rPr>
              <w:t xml:space="preserve">02.10.06 European Union Agency for the Cooperation of Energy Regulators </w:t>
            </w:r>
            <w:r>
              <w:rPr>
                <w:bCs/>
                <w:noProof/>
                <w:sz w:val="20"/>
                <w:szCs w:val="20"/>
              </w:rPr>
              <w:t>/</w:t>
            </w:r>
            <w:r w:rsidRPr="008F13F1">
              <w:rPr>
                <w:bCs/>
                <w:noProof/>
                <w:sz w:val="20"/>
                <w:szCs w:val="20"/>
              </w:rPr>
              <w:t xml:space="preserve"> EU Budget contribution to the agency</w:t>
            </w:r>
          </w:p>
        </w:tc>
        <w:tc>
          <w:tcPr>
            <w:tcW w:w="1157" w:type="dxa"/>
            <w:vAlign w:val="center"/>
          </w:tcPr>
          <w:p w14:paraId="794435F0" w14:textId="77777777" w:rsidR="00AF7A86" w:rsidRPr="00C82AE0" w:rsidRDefault="00AF7A86">
            <w:pPr>
              <w:spacing w:before="20" w:after="20"/>
              <w:jc w:val="right"/>
              <w:rPr>
                <w:noProof/>
                <w:sz w:val="20"/>
                <w:szCs w:val="20"/>
              </w:rPr>
            </w:pPr>
          </w:p>
        </w:tc>
        <w:tc>
          <w:tcPr>
            <w:tcW w:w="1158" w:type="dxa"/>
            <w:vAlign w:val="center"/>
          </w:tcPr>
          <w:p w14:paraId="48D61FBD" w14:textId="77777777" w:rsidR="00AF7A86" w:rsidRPr="00C82AE0" w:rsidRDefault="00AF7A86">
            <w:pPr>
              <w:spacing w:before="20" w:after="20"/>
              <w:jc w:val="right"/>
              <w:rPr>
                <w:noProof/>
                <w:sz w:val="20"/>
                <w:szCs w:val="20"/>
              </w:rPr>
            </w:pPr>
          </w:p>
        </w:tc>
        <w:tc>
          <w:tcPr>
            <w:tcW w:w="1157" w:type="dxa"/>
            <w:vAlign w:val="center"/>
          </w:tcPr>
          <w:p w14:paraId="598C70B2" w14:textId="77777777" w:rsidR="00AF7A86" w:rsidRPr="00C82AE0" w:rsidRDefault="00AF7A86">
            <w:pPr>
              <w:spacing w:before="20" w:after="20"/>
              <w:jc w:val="right"/>
              <w:rPr>
                <w:noProof/>
                <w:sz w:val="20"/>
                <w:szCs w:val="20"/>
              </w:rPr>
            </w:pPr>
          </w:p>
        </w:tc>
        <w:tc>
          <w:tcPr>
            <w:tcW w:w="1158" w:type="dxa"/>
            <w:vAlign w:val="center"/>
          </w:tcPr>
          <w:p w14:paraId="7BCC5119" w14:textId="77777777" w:rsidR="00AF7A86" w:rsidRPr="00C82AE0" w:rsidRDefault="00AF7A86">
            <w:pPr>
              <w:spacing w:before="20" w:after="20"/>
              <w:jc w:val="right"/>
              <w:rPr>
                <w:noProof/>
                <w:sz w:val="20"/>
                <w:szCs w:val="20"/>
              </w:rPr>
            </w:pPr>
            <w:r>
              <w:rPr>
                <w:noProof/>
                <w:sz w:val="20"/>
                <w:szCs w:val="20"/>
              </w:rPr>
              <w:t>0.327</w:t>
            </w:r>
          </w:p>
        </w:tc>
        <w:tc>
          <w:tcPr>
            <w:tcW w:w="1157" w:type="dxa"/>
            <w:shd w:val="clear" w:color="auto" w:fill="D9D9D9" w:themeFill="background1" w:themeFillShade="D9"/>
            <w:vAlign w:val="center"/>
          </w:tcPr>
          <w:p w14:paraId="6850369F" w14:textId="77777777" w:rsidR="00AF7A86" w:rsidRPr="00C82AE0" w:rsidRDefault="00AF7A86">
            <w:pPr>
              <w:spacing w:before="20" w:after="20"/>
              <w:jc w:val="right"/>
              <w:rPr>
                <w:b/>
                <w:noProof/>
                <w:sz w:val="20"/>
                <w:szCs w:val="20"/>
              </w:rPr>
            </w:pPr>
            <w:r>
              <w:rPr>
                <w:b/>
                <w:bCs/>
                <w:noProof/>
                <w:color w:val="000000"/>
                <w:sz w:val="20"/>
                <w:szCs w:val="20"/>
                <w:lang w:val="en-IE" w:eastAsia="en-IE"/>
              </w:rPr>
              <w:t>0.327</w:t>
            </w:r>
          </w:p>
        </w:tc>
        <w:tc>
          <w:tcPr>
            <w:tcW w:w="1158" w:type="dxa"/>
            <w:shd w:val="clear" w:color="auto" w:fill="D9D9D9" w:themeFill="background1" w:themeFillShade="D9"/>
            <w:vAlign w:val="center"/>
          </w:tcPr>
          <w:p w14:paraId="684C6C6B" w14:textId="77777777" w:rsidR="00AF7A86" w:rsidRDefault="00AF7A86">
            <w:pPr>
              <w:spacing w:before="20" w:after="20"/>
              <w:jc w:val="center"/>
              <w:rPr>
                <w:b/>
                <w:bCs/>
                <w:noProof/>
                <w:color w:val="000000"/>
                <w:sz w:val="20"/>
                <w:szCs w:val="20"/>
                <w:lang w:val="en-IE" w:eastAsia="en-IE"/>
              </w:rPr>
            </w:pPr>
            <w:r>
              <w:rPr>
                <w:b/>
                <w:bCs/>
                <w:noProof/>
                <w:color w:val="000000"/>
                <w:sz w:val="20"/>
                <w:szCs w:val="20"/>
                <w:lang w:val="en-IE" w:eastAsia="en-IE"/>
              </w:rPr>
              <w:t>3.320</w:t>
            </w:r>
          </w:p>
        </w:tc>
      </w:tr>
    </w:tbl>
    <w:p w14:paraId="23EBC6E6" w14:textId="77777777" w:rsidR="00AF7A86" w:rsidRDefault="00AF7A86" w:rsidP="00AF7A86">
      <w:pPr>
        <w:spacing w:after="0"/>
        <w:ind w:left="142" w:right="822"/>
        <w:rPr>
          <w:noProof/>
          <w:szCs w:val="24"/>
        </w:rPr>
      </w:pPr>
      <w:r w:rsidRPr="00070628">
        <w:rPr>
          <w:noProof/>
        </w:rPr>
        <w:t>The appropriations</w:t>
      </w:r>
      <w:r>
        <w:rPr>
          <w:noProof/>
        </w:rPr>
        <w:t xml:space="preserve"> </w:t>
      </w:r>
      <w:r w:rsidRPr="00070628">
        <w:rPr>
          <w:noProof/>
        </w:rPr>
        <w:t>/</w:t>
      </w:r>
      <w:r>
        <w:rPr>
          <w:noProof/>
        </w:rPr>
        <w:t xml:space="preserve"> </w:t>
      </w:r>
      <w:r w:rsidRPr="00070628">
        <w:rPr>
          <w:noProof/>
        </w:rPr>
        <w:t xml:space="preserve">EU </w:t>
      </w:r>
      <w:r w:rsidRPr="00F57A1D">
        <w:rPr>
          <w:noProof/>
          <w:szCs w:val="24"/>
        </w:rPr>
        <w:t xml:space="preserve">budget contribution to the agency will be compensated by a reduction of the envelope of the following programme </w:t>
      </w:r>
      <w:r w:rsidRPr="00F57A1D">
        <w:rPr>
          <w:noProof/>
          <w:color w:val="000000" w:themeColor="text1"/>
          <w:szCs w:val="24"/>
          <w:lang w:val="en-IE" w:eastAsia="en-IE"/>
        </w:rPr>
        <w:t>Connecting Europe Facility - Energy</w:t>
      </w:r>
      <w:r w:rsidRPr="00F57A1D">
        <w:rPr>
          <w:noProof/>
          <w:szCs w:val="24"/>
        </w:rPr>
        <w:t xml:space="preserve">/ budget line:  </w:t>
      </w:r>
      <w:r w:rsidRPr="00F57A1D">
        <w:rPr>
          <w:noProof/>
          <w:color w:val="000000" w:themeColor="text1"/>
          <w:szCs w:val="24"/>
          <w:lang w:val="en-IE" w:eastAsia="en-IE"/>
        </w:rPr>
        <w:t>02.03.02</w:t>
      </w:r>
      <w:r w:rsidRPr="00F57A1D">
        <w:rPr>
          <w:noProof/>
          <w:szCs w:val="24"/>
        </w:rPr>
        <w:t xml:space="preserve"> / in the year(s): 2027</w:t>
      </w:r>
      <w:r w:rsidRPr="009436E5">
        <w:rPr>
          <w:noProof/>
          <w:szCs w:val="24"/>
        </w:rPr>
        <w:t xml:space="preserve">. </w:t>
      </w:r>
    </w:p>
    <w:p w14:paraId="273A3E6C" w14:textId="77777777" w:rsidR="00AF7A86" w:rsidRPr="00877598" w:rsidRDefault="00AF7A86" w:rsidP="00AF7A86">
      <w:pPr>
        <w:spacing w:after="0"/>
        <w:ind w:left="142" w:right="822"/>
        <w:rPr>
          <w:rStyle w:val="Marker110000"/>
          <w:noProof/>
          <w:sz w:val="20"/>
          <w:szCs w:val="20"/>
        </w:rPr>
      </w:pPr>
      <w:r>
        <w:rPr>
          <w:noProof/>
          <w:szCs w:val="24"/>
        </w:rPr>
        <w:t>The appropriations allocated in the next MFF should be integrated in</w:t>
      </w:r>
      <w:r w:rsidRPr="009436E5">
        <w:rPr>
          <w:rFonts w:eastAsia="Aptos"/>
          <w:noProof/>
        </w:rPr>
        <w:t>to the Agency</w:t>
      </w:r>
      <w:r>
        <w:rPr>
          <w:rFonts w:eastAsia="Aptos"/>
          <w:noProof/>
        </w:rPr>
        <w:t xml:space="preserve">’s subsidy due </w:t>
      </w:r>
      <w:r w:rsidRPr="006D442E">
        <w:rPr>
          <w:rFonts w:eastAsia="Aptos"/>
          <w:noProof/>
        </w:rPr>
        <w:t>to the permanent nature of the tasks allocated by this proposa</w:t>
      </w:r>
      <w:r>
        <w:rPr>
          <w:rFonts w:eastAsia="Aptos"/>
          <w:noProof/>
        </w:rPr>
        <w:t xml:space="preserve">l and will be compensated, </w:t>
      </w:r>
      <w:r w:rsidRPr="00877598">
        <w:rPr>
          <w:rFonts w:eastAsia="Aptos"/>
          <w:noProof/>
        </w:rPr>
        <w:t>if relevant,</w:t>
      </w:r>
      <w:r>
        <w:rPr>
          <w:rFonts w:eastAsia="Aptos"/>
          <w:b/>
          <w:bCs/>
          <w:noProof/>
        </w:rPr>
        <w:t xml:space="preserve"> </w:t>
      </w:r>
      <w:r>
        <w:rPr>
          <w:rFonts w:eastAsia="Aptos"/>
          <w:noProof/>
        </w:rPr>
        <w:t>by an equivalent reduction of a relevant programme envelope under the same MFF heading, without prejudice to its future agreement.</w:t>
      </w:r>
      <w:r w:rsidRPr="009436E5">
        <w:rPr>
          <w:rFonts w:eastAsia="Aptos"/>
          <w:noProof/>
        </w:rPr>
        <w:t xml:space="preserve"> If a compensatory reduction is needed, the resources allocated to the Agency will need to be revised</w:t>
      </w:r>
      <w:r>
        <w:rPr>
          <w:rStyle w:val="Marker110000"/>
          <w:noProof/>
          <w:sz w:val="20"/>
          <w:szCs w:val="20"/>
        </w:rPr>
        <w:t>.</w:t>
      </w:r>
    </w:p>
    <w:tbl>
      <w:tblPr>
        <w:tblW w:w="14220" w:type="dxa"/>
        <w:tblLook w:val="04A0" w:firstRow="1" w:lastRow="0" w:firstColumn="1" w:lastColumn="0" w:noHBand="0" w:noVBand="1"/>
      </w:tblPr>
      <w:tblGrid>
        <w:gridCol w:w="4305"/>
        <w:gridCol w:w="1339"/>
        <w:gridCol w:w="1032"/>
        <w:gridCol w:w="518"/>
        <w:gridCol w:w="1101"/>
        <w:gridCol w:w="848"/>
        <w:gridCol w:w="848"/>
        <w:gridCol w:w="1129"/>
        <w:gridCol w:w="1408"/>
        <w:gridCol w:w="1692"/>
      </w:tblGrid>
      <w:tr w:rsidR="00612204" w:rsidRPr="003268F2" w14:paraId="4F835C82" w14:textId="77777777" w:rsidTr="00612204">
        <w:trPr>
          <w:trHeight w:val="288"/>
        </w:trPr>
        <w:tc>
          <w:tcPr>
            <w:tcW w:w="4305" w:type="dxa"/>
            <w:tcBorders>
              <w:top w:val="nil"/>
              <w:left w:val="nil"/>
              <w:bottom w:val="nil"/>
              <w:right w:val="nil"/>
            </w:tcBorders>
            <w:noWrap/>
            <w:vAlign w:val="bottom"/>
            <w:hideMark/>
          </w:tcPr>
          <w:p w14:paraId="0079790C" w14:textId="77777777" w:rsidR="00612204" w:rsidRPr="003268F2" w:rsidRDefault="00612204" w:rsidP="008D2D9F">
            <w:pPr>
              <w:spacing w:before="0" w:after="200" w:line="276" w:lineRule="auto"/>
              <w:jc w:val="left"/>
              <w:rPr>
                <w:noProof/>
                <w:sz w:val="20"/>
                <w:szCs w:val="24"/>
                <w:lang w:val="en-IE" w:eastAsia="en-IE"/>
              </w:rPr>
            </w:pPr>
          </w:p>
        </w:tc>
        <w:tc>
          <w:tcPr>
            <w:tcW w:w="1339" w:type="dxa"/>
            <w:tcBorders>
              <w:top w:val="nil"/>
              <w:left w:val="nil"/>
              <w:bottom w:val="nil"/>
              <w:right w:val="nil"/>
            </w:tcBorders>
            <w:noWrap/>
            <w:vAlign w:val="bottom"/>
            <w:hideMark/>
          </w:tcPr>
          <w:p w14:paraId="4F258398" w14:textId="77777777" w:rsidR="00612204" w:rsidRPr="003268F2" w:rsidRDefault="00612204" w:rsidP="009A133F">
            <w:pPr>
              <w:spacing w:before="0" w:after="0"/>
              <w:jc w:val="left"/>
              <w:rPr>
                <w:noProof/>
                <w:sz w:val="20"/>
                <w:szCs w:val="20"/>
                <w:lang w:val="en-IE" w:eastAsia="en-IE"/>
              </w:rPr>
            </w:pPr>
          </w:p>
        </w:tc>
        <w:tc>
          <w:tcPr>
            <w:tcW w:w="1032" w:type="dxa"/>
            <w:tcBorders>
              <w:top w:val="nil"/>
              <w:left w:val="nil"/>
              <w:bottom w:val="nil"/>
              <w:right w:val="nil"/>
            </w:tcBorders>
            <w:noWrap/>
            <w:vAlign w:val="bottom"/>
            <w:hideMark/>
          </w:tcPr>
          <w:p w14:paraId="6D364DF0" w14:textId="77777777" w:rsidR="00612204" w:rsidRPr="003268F2" w:rsidRDefault="00612204" w:rsidP="009A133F">
            <w:pPr>
              <w:spacing w:before="0" w:after="0"/>
              <w:jc w:val="left"/>
              <w:rPr>
                <w:noProof/>
                <w:sz w:val="20"/>
                <w:szCs w:val="20"/>
                <w:lang w:val="en-IE" w:eastAsia="en-IE"/>
              </w:rPr>
            </w:pPr>
          </w:p>
        </w:tc>
        <w:tc>
          <w:tcPr>
            <w:tcW w:w="518" w:type="dxa"/>
            <w:tcBorders>
              <w:top w:val="nil"/>
              <w:left w:val="nil"/>
              <w:bottom w:val="nil"/>
              <w:right w:val="single" w:sz="4" w:space="0" w:color="auto"/>
            </w:tcBorders>
            <w:noWrap/>
            <w:vAlign w:val="bottom"/>
            <w:hideMark/>
          </w:tcPr>
          <w:p w14:paraId="5758CED2" w14:textId="77777777" w:rsidR="00612204" w:rsidRPr="003268F2" w:rsidRDefault="00612204" w:rsidP="009A133F">
            <w:pPr>
              <w:spacing w:before="0" w:after="0"/>
              <w:jc w:val="left"/>
              <w:rPr>
                <w:noProof/>
                <w:sz w:val="20"/>
                <w:szCs w:val="20"/>
                <w:lang w:val="en-IE" w:eastAsia="en-IE"/>
              </w:rPr>
            </w:pPr>
          </w:p>
        </w:tc>
        <w:tc>
          <w:tcPr>
            <w:tcW w:w="1101" w:type="dxa"/>
            <w:tcBorders>
              <w:top w:val="single" w:sz="8" w:space="0" w:color="auto"/>
              <w:left w:val="single" w:sz="4" w:space="0" w:color="auto"/>
              <w:bottom w:val="nil"/>
              <w:right w:val="single" w:sz="8" w:space="0" w:color="auto"/>
            </w:tcBorders>
            <w:vAlign w:val="center"/>
            <w:hideMark/>
          </w:tcPr>
          <w:p w14:paraId="05033804" w14:textId="77777777" w:rsidR="00612204" w:rsidRPr="003268F2" w:rsidRDefault="00612204" w:rsidP="009A133F">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848" w:type="dxa"/>
            <w:tcBorders>
              <w:top w:val="single" w:sz="8" w:space="0" w:color="auto"/>
              <w:left w:val="nil"/>
              <w:bottom w:val="nil"/>
              <w:right w:val="single" w:sz="8" w:space="0" w:color="auto"/>
            </w:tcBorders>
            <w:vAlign w:val="center"/>
            <w:hideMark/>
          </w:tcPr>
          <w:p w14:paraId="6788B03E" w14:textId="77777777" w:rsidR="00612204" w:rsidRPr="003268F2" w:rsidRDefault="00612204" w:rsidP="009A133F">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848" w:type="dxa"/>
            <w:tcBorders>
              <w:top w:val="single" w:sz="8" w:space="0" w:color="auto"/>
              <w:left w:val="nil"/>
              <w:bottom w:val="nil"/>
              <w:right w:val="single" w:sz="8" w:space="0" w:color="auto"/>
            </w:tcBorders>
            <w:vAlign w:val="center"/>
            <w:hideMark/>
          </w:tcPr>
          <w:p w14:paraId="01DE1C9C" w14:textId="77777777" w:rsidR="00612204" w:rsidRPr="003268F2" w:rsidRDefault="00612204" w:rsidP="009A133F">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1129" w:type="dxa"/>
            <w:tcBorders>
              <w:top w:val="single" w:sz="8" w:space="0" w:color="auto"/>
              <w:left w:val="nil"/>
              <w:bottom w:val="nil"/>
              <w:right w:val="single" w:sz="8" w:space="0" w:color="auto"/>
            </w:tcBorders>
            <w:vAlign w:val="center"/>
            <w:hideMark/>
          </w:tcPr>
          <w:p w14:paraId="40FC373B" w14:textId="77777777" w:rsidR="00612204" w:rsidRPr="003268F2" w:rsidRDefault="00612204" w:rsidP="009A133F">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1408" w:type="dxa"/>
            <w:vMerge w:val="restart"/>
            <w:tcBorders>
              <w:top w:val="single" w:sz="8" w:space="0" w:color="auto"/>
              <w:left w:val="single" w:sz="8" w:space="0" w:color="auto"/>
              <w:bottom w:val="single" w:sz="8" w:space="0" w:color="000000"/>
              <w:right w:val="single" w:sz="8" w:space="0" w:color="auto"/>
            </w:tcBorders>
            <w:vAlign w:val="center"/>
            <w:hideMark/>
          </w:tcPr>
          <w:p w14:paraId="26DFB2DF" w14:textId="77777777" w:rsidR="00612204" w:rsidRPr="003268F2" w:rsidRDefault="00612204" w:rsidP="009A133F">
            <w:pPr>
              <w:spacing w:before="0" w:after="0"/>
              <w:jc w:val="center"/>
              <w:rPr>
                <w:b/>
                <w:bCs/>
                <w:noProof/>
                <w:color w:val="000000"/>
                <w:sz w:val="20"/>
                <w:szCs w:val="20"/>
                <w:lang w:val="en-IE" w:eastAsia="en-IE"/>
              </w:rPr>
            </w:pPr>
            <w:r w:rsidRPr="003268F2">
              <w:rPr>
                <w:b/>
                <w:bCs/>
                <w:noProof/>
                <w:color w:val="000000"/>
                <w:sz w:val="20"/>
                <w:szCs w:val="20"/>
                <w:lang w:val="en-IE" w:eastAsia="en-IE"/>
              </w:rPr>
              <w:t>TOTAL MFF</w:t>
            </w:r>
            <w:r>
              <w:rPr>
                <w:b/>
                <w:bCs/>
                <w:noProof/>
                <w:color w:val="000000"/>
                <w:sz w:val="20"/>
                <w:szCs w:val="20"/>
                <w:lang w:val="en-IE" w:eastAsia="en-IE"/>
              </w:rPr>
              <w:t xml:space="preserve"> </w:t>
            </w:r>
            <w:r w:rsidRPr="003268F2">
              <w:rPr>
                <w:b/>
                <w:bCs/>
                <w:noProof/>
                <w:color w:val="000000"/>
                <w:sz w:val="20"/>
                <w:szCs w:val="20"/>
                <w:lang w:val="en-IE" w:eastAsia="en-IE"/>
              </w:rPr>
              <w:t>2021-2027</w:t>
            </w:r>
          </w:p>
        </w:tc>
        <w:tc>
          <w:tcPr>
            <w:tcW w:w="1692" w:type="dxa"/>
            <w:vMerge w:val="restart"/>
            <w:tcBorders>
              <w:top w:val="single" w:sz="8" w:space="0" w:color="auto"/>
              <w:left w:val="single" w:sz="8" w:space="0" w:color="auto"/>
              <w:right w:val="single" w:sz="8" w:space="0" w:color="auto"/>
            </w:tcBorders>
          </w:tcPr>
          <w:p w14:paraId="6EDDD6B9" w14:textId="77777777" w:rsidR="00612204" w:rsidRDefault="00612204" w:rsidP="009A133F">
            <w:pPr>
              <w:spacing w:before="0" w:after="0"/>
              <w:jc w:val="center"/>
              <w:rPr>
                <w:b/>
                <w:bCs/>
                <w:noProof/>
                <w:color w:val="000000"/>
                <w:sz w:val="20"/>
                <w:szCs w:val="20"/>
                <w:lang w:val="en-IE" w:eastAsia="en-IE"/>
              </w:rPr>
            </w:pPr>
            <w:r>
              <w:rPr>
                <w:b/>
                <w:bCs/>
                <w:noProof/>
                <w:color w:val="000000"/>
                <w:sz w:val="20"/>
                <w:szCs w:val="20"/>
                <w:lang w:val="en-IE" w:eastAsia="en-IE"/>
              </w:rPr>
              <w:t>POST 2027</w:t>
            </w:r>
          </w:p>
        </w:tc>
      </w:tr>
      <w:tr w:rsidR="00612204" w:rsidRPr="003268F2" w14:paraId="5AE93318" w14:textId="77777777" w:rsidTr="00612204">
        <w:trPr>
          <w:trHeight w:val="300"/>
        </w:trPr>
        <w:tc>
          <w:tcPr>
            <w:tcW w:w="4305" w:type="dxa"/>
            <w:tcBorders>
              <w:top w:val="nil"/>
              <w:left w:val="nil"/>
              <w:bottom w:val="nil"/>
              <w:right w:val="nil"/>
            </w:tcBorders>
            <w:noWrap/>
            <w:vAlign w:val="bottom"/>
            <w:hideMark/>
          </w:tcPr>
          <w:p w14:paraId="7D80D73E" w14:textId="77777777" w:rsidR="00612204" w:rsidRPr="003268F2" w:rsidRDefault="00612204" w:rsidP="009A133F">
            <w:pPr>
              <w:spacing w:before="0" w:after="0"/>
              <w:jc w:val="center"/>
              <w:rPr>
                <w:b/>
                <w:bCs/>
                <w:noProof/>
                <w:color w:val="000000"/>
                <w:sz w:val="20"/>
                <w:szCs w:val="20"/>
                <w:lang w:val="en-IE" w:eastAsia="en-IE"/>
              </w:rPr>
            </w:pPr>
          </w:p>
        </w:tc>
        <w:tc>
          <w:tcPr>
            <w:tcW w:w="1339" w:type="dxa"/>
            <w:tcBorders>
              <w:top w:val="nil"/>
              <w:left w:val="nil"/>
              <w:bottom w:val="nil"/>
              <w:right w:val="nil"/>
            </w:tcBorders>
            <w:noWrap/>
            <w:vAlign w:val="bottom"/>
            <w:hideMark/>
          </w:tcPr>
          <w:p w14:paraId="52CE5491" w14:textId="77777777" w:rsidR="00612204" w:rsidRPr="003268F2" w:rsidRDefault="00612204" w:rsidP="009A133F">
            <w:pPr>
              <w:spacing w:before="0" w:after="0"/>
              <w:jc w:val="left"/>
              <w:rPr>
                <w:noProof/>
                <w:sz w:val="20"/>
                <w:szCs w:val="20"/>
                <w:lang w:val="en-IE" w:eastAsia="en-IE"/>
              </w:rPr>
            </w:pPr>
          </w:p>
        </w:tc>
        <w:tc>
          <w:tcPr>
            <w:tcW w:w="1032" w:type="dxa"/>
            <w:tcBorders>
              <w:top w:val="nil"/>
              <w:left w:val="nil"/>
              <w:bottom w:val="nil"/>
              <w:right w:val="nil"/>
            </w:tcBorders>
            <w:noWrap/>
            <w:vAlign w:val="bottom"/>
            <w:hideMark/>
          </w:tcPr>
          <w:p w14:paraId="508F2002" w14:textId="77777777" w:rsidR="00612204" w:rsidRPr="003268F2" w:rsidRDefault="00612204" w:rsidP="009A133F">
            <w:pPr>
              <w:spacing w:before="0" w:after="0"/>
              <w:jc w:val="left"/>
              <w:rPr>
                <w:noProof/>
                <w:sz w:val="20"/>
                <w:szCs w:val="20"/>
                <w:lang w:val="en-IE" w:eastAsia="en-IE"/>
              </w:rPr>
            </w:pPr>
          </w:p>
        </w:tc>
        <w:tc>
          <w:tcPr>
            <w:tcW w:w="518" w:type="dxa"/>
            <w:tcBorders>
              <w:top w:val="nil"/>
              <w:left w:val="nil"/>
              <w:bottom w:val="nil"/>
              <w:right w:val="single" w:sz="4" w:space="0" w:color="auto"/>
            </w:tcBorders>
            <w:noWrap/>
            <w:vAlign w:val="bottom"/>
            <w:hideMark/>
          </w:tcPr>
          <w:p w14:paraId="1DCBC4B2" w14:textId="77777777" w:rsidR="00612204" w:rsidRPr="003268F2" w:rsidRDefault="00612204" w:rsidP="009A133F">
            <w:pPr>
              <w:spacing w:before="0" w:after="0"/>
              <w:jc w:val="left"/>
              <w:rPr>
                <w:noProof/>
                <w:sz w:val="20"/>
                <w:szCs w:val="20"/>
                <w:lang w:val="en-IE" w:eastAsia="en-IE"/>
              </w:rPr>
            </w:pPr>
          </w:p>
        </w:tc>
        <w:tc>
          <w:tcPr>
            <w:tcW w:w="1101" w:type="dxa"/>
            <w:tcBorders>
              <w:top w:val="nil"/>
              <w:left w:val="single" w:sz="4" w:space="0" w:color="auto"/>
              <w:bottom w:val="single" w:sz="8" w:space="0" w:color="auto"/>
              <w:right w:val="single" w:sz="8" w:space="0" w:color="auto"/>
            </w:tcBorders>
            <w:vAlign w:val="center"/>
            <w:hideMark/>
          </w:tcPr>
          <w:p w14:paraId="2D459D95" w14:textId="77777777" w:rsidR="00612204" w:rsidRPr="003268F2" w:rsidRDefault="00612204" w:rsidP="009A133F">
            <w:pPr>
              <w:spacing w:before="0" w:after="0"/>
              <w:jc w:val="center"/>
              <w:rPr>
                <w:b/>
                <w:bCs/>
                <w:noProof/>
                <w:color w:val="000000"/>
                <w:sz w:val="20"/>
                <w:szCs w:val="20"/>
                <w:lang w:val="en-IE" w:eastAsia="en-IE"/>
              </w:rPr>
            </w:pPr>
            <w:r w:rsidRPr="003268F2">
              <w:rPr>
                <w:b/>
                <w:bCs/>
                <w:noProof/>
                <w:color w:val="000000"/>
                <w:sz w:val="20"/>
                <w:szCs w:val="20"/>
                <w:lang w:val="en-IE" w:eastAsia="en-IE"/>
              </w:rPr>
              <w:t>2024</w:t>
            </w:r>
          </w:p>
        </w:tc>
        <w:tc>
          <w:tcPr>
            <w:tcW w:w="848" w:type="dxa"/>
            <w:tcBorders>
              <w:top w:val="nil"/>
              <w:left w:val="nil"/>
              <w:bottom w:val="single" w:sz="8" w:space="0" w:color="auto"/>
              <w:right w:val="single" w:sz="8" w:space="0" w:color="auto"/>
            </w:tcBorders>
            <w:vAlign w:val="center"/>
            <w:hideMark/>
          </w:tcPr>
          <w:p w14:paraId="62BB2A74" w14:textId="77777777" w:rsidR="00612204" w:rsidRPr="003268F2" w:rsidRDefault="00612204" w:rsidP="009A133F">
            <w:pPr>
              <w:spacing w:before="0" w:after="0"/>
              <w:jc w:val="center"/>
              <w:rPr>
                <w:b/>
                <w:bCs/>
                <w:noProof/>
                <w:color w:val="000000"/>
                <w:sz w:val="20"/>
                <w:szCs w:val="20"/>
                <w:lang w:val="en-IE" w:eastAsia="en-IE"/>
              </w:rPr>
            </w:pPr>
            <w:r w:rsidRPr="003268F2">
              <w:rPr>
                <w:b/>
                <w:bCs/>
                <w:noProof/>
                <w:color w:val="000000"/>
                <w:sz w:val="20"/>
                <w:szCs w:val="20"/>
                <w:lang w:val="en-IE" w:eastAsia="en-IE"/>
              </w:rPr>
              <w:t>2025</w:t>
            </w:r>
          </w:p>
        </w:tc>
        <w:tc>
          <w:tcPr>
            <w:tcW w:w="848" w:type="dxa"/>
            <w:tcBorders>
              <w:top w:val="nil"/>
              <w:left w:val="nil"/>
              <w:bottom w:val="single" w:sz="8" w:space="0" w:color="auto"/>
              <w:right w:val="single" w:sz="8" w:space="0" w:color="auto"/>
            </w:tcBorders>
            <w:vAlign w:val="center"/>
            <w:hideMark/>
          </w:tcPr>
          <w:p w14:paraId="41588F5D" w14:textId="77777777" w:rsidR="00612204" w:rsidRPr="003268F2" w:rsidRDefault="00612204" w:rsidP="009A133F">
            <w:pPr>
              <w:spacing w:before="0" w:after="0"/>
              <w:jc w:val="center"/>
              <w:rPr>
                <w:b/>
                <w:bCs/>
                <w:noProof/>
                <w:color w:val="000000"/>
                <w:sz w:val="20"/>
                <w:szCs w:val="20"/>
                <w:lang w:val="en-IE" w:eastAsia="en-IE"/>
              </w:rPr>
            </w:pPr>
            <w:r w:rsidRPr="003268F2">
              <w:rPr>
                <w:b/>
                <w:bCs/>
                <w:noProof/>
                <w:color w:val="000000"/>
                <w:sz w:val="20"/>
                <w:szCs w:val="20"/>
                <w:lang w:val="en-IE" w:eastAsia="en-IE"/>
              </w:rPr>
              <w:t>2026</w:t>
            </w:r>
          </w:p>
        </w:tc>
        <w:tc>
          <w:tcPr>
            <w:tcW w:w="1129" w:type="dxa"/>
            <w:tcBorders>
              <w:top w:val="nil"/>
              <w:left w:val="nil"/>
              <w:bottom w:val="single" w:sz="8" w:space="0" w:color="auto"/>
              <w:right w:val="single" w:sz="8" w:space="0" w:color="auto"/>
            </w:tcBorders>
            <w:vAlign w:val="center"/>
            <w:hideMark/>
          </w:tcPr>
          <w:p w14:paraId="7D80B9D9" w14:textId="77777777" w:rsidR="00612204" w:rsidRPr="003268F2" w:rsidRDefault="00612204" w:rsidP="009A133F">
            <w:pPr>
              <w:spacing w:before="0" w:after="0"/>
              <w:jc w:val="center"/>
              <w:rPr>
                <w:b/>
                <w:bCs/>
                <w:noProof/>
                <w:color w:val="000000"/>
                <w:sz w:val="20"/>
                <w:szCs w:val="20"/>
                <w:lang w:val="en-IE" w:eastAsia="en-IE"/>
              </w:rPr>
            </w:pPr>
            <w:r w:rsidRPr="003268F2">
              <w:rPr>
                <w:b/>
                <w:bCs/>
                <w:noProof/>
                <w:color w:val="000000"/>
                <w:sz w:val="20"/>
                <w:szCs w:val="20"/>
                <w:lang w:val="en-IE" w:eastAsia="en-IE"/>
              </w:rPr>
              <w:t>2027</w:t>
            </w:r>
          </w:p>
        </w:tc>
        <w:tc>
          <w:tcPr>
            <w:tcW w:w="1408" w:type="dxa"/>
            <w:vMerge/>
            <w:tcBorders>
              <w:top w:val="single" w:sz="8" w:space="0" w:color="auto"/>
              <w:left w:val="single" w:sz="8" w:space="0" w:color="auto"/>
              <w:bottom w:val="single" w:sz="8" w:space="0" w:color="000000"/>
              <w:right w:val="single" w:sz="8" w:space="0" w:color="auto"/>
            </w:tcBorders>
            <w:vAlign w:val="center"/>
            <w:hideMark/>
          </w:tcPr>
          <w:p w14:paraId="4E66BC95" w14:textId="77777777" w:rsidR="00612204" w:rsidRPr="003268F2" w:rsidRDefault="00612204" w:rsidP="009A133F">
            <w:pPr>
              <w:spacing w:before="0" w:after="0"/>
              <w:jc w:val="left"/>
              <w:rPr>
                <w:b/>
                <w:bCs/>
                <w:noProof/>
                <w:color w:val="000000"/>
                <w:sz w:val="20"/>
                <w:szCs w:val="20"/>
                <w:lang w:val="en-IE" w:eastAsia="en-IE"/>
              </w:rPr>
            </w:pPr>
          </w:p>
        </w:tc>
        <w:tc>
          <w:tcPr>
            <w:tcW w:w="1692" w:type="dxa"/>
            <w:vMerge/>
            <w:tcBorders>
              <w:left w:val="single" w:sz="8" w:space="0" w:color="auto"/>
              <w:bottom w:val="single" w:sz="8" w:space="0" w:color="000000"/>
              <w:right w:val="single" w:sz="8" w:space="0" w:color="auto"/>
            </w:tcBorders>
          </w:tcPr>
          <w:p w14:paraId="565D789E" w14:textId="77777777" w:rsidR="00612204" w:rsidRPr="003268F2" w:rsidRDefault="00612204" w:rsidP="009A133F">
            <w:pPr>
              <w:spacing w:before="0" w:after="0"/>
              <w:jc w:val="left"/>
              <w:rPr>
                <w:b/>
                <w:bCs/>
                <w:noProof/>
                <w:color w:val="000000"/>
                <w:sz w:val="20"/>
                <w:szCs w:val="20"/>
                <w:lang w:val="en-IE" w:eastAsia="en-IE"/>
              </w:rPr>
            </w:pPr>
          </w:p>
        </w:tc>
      </w:tr>
      <w:tr w:rsidR="00612204" w:rsidRPr="003268F2" w14:paraId="255BE4A4" w14:textId="77777777" w:rsidTr="00612204">
        <w:trPr>
          <w:trHeight w:val="300"/>
        </w:trPr>
        <w:tc>
          <w:tcPr>
            <w:tcW w:w="4305" w:type="dxa"/>
            <w:vMerge w:val="restart"/>
            <w:tcBorders>
              <w:top w:val="single" w:sz="8" w:space="0" w:color="auto"/>
              <w:left w:val="single" w:sz="8" w:space="0" w:color="auto"/>
              <w:bottom w:val="single" w:sz="8" w:space="0" w:color="auto"/>
              <w:right w:val="single" w:sz="8" w:space="0" w:color="auto"/>
            </w:tcBorders>
            <w:vAlign w:val="center"/>
            <w:hideMark/>
          </w:tcPr>
          <w:p w14:paraId="3F59F690" w14:textId="77777777" w:rsidR="00612204" w:rsidRPr="003268F2" w:rsidRDefault="00612204" w:rsidP="009A133F">
            <w:pPr>
              <w:spacing w:before="0" w:after="0"/>
              <w:rPr>
                <w:noProof/>
                <w:color w:val="000000"/>
                <w:sz w:val="21"/>
                <w:szCs w:val="21"/>
                <w:lang w:val="en-IE" w:eastAsia="en-IE"/>
              </w:rPr>
            </w:pPr>
            <w:r w:rsidRPr="003268F2">
              <w:rPr>
                <w:rFonts w:ascii="Calibri" w:hAnsi="Calibri" w:cs="Calibri"/>
                <w:noProof/>
                <w:color w:val="000000"/>
                <w:sz w:val="21"/>
                <w:szCs w:val="21"/>
                <w:lang w:val="en-IE" w:eastAsia="en-IE"/>
              </w:rPr>
              <w:t xml:space="preserve">• </w:t>
            </w:r>
            <w:r w:rsidRPr="003268F2">
              <w:rPr>
                <w:noProof/>
                <w:color w:val="000000"/>
                <w:sz w:val="21"/>
                <w:szCs w:val="21"/>
                <w:lang w:val="en-IE" w:eastAsia="en-IE"/>
              </w:rPr>
              <w:t>TOTAL operational appropriations (all operational headings)</w:t>
            </w:r>
          </w:p>
        </w:tc>
        <w:tc>
          <w:tcPr>
            <w:tcW w:w="1339" w:type="dxa"/>
            <w:tcBorders>
              <w:top w:val="single" w:sz="8" w:space="0" w:color="auto"/>
              <w:left w:val="nil"/>
              <w:bottom w:val="single" w:sz="8" w:space="0" w:color="auto"/>
              <w:right w:val="single" w:sz="8" w:space="0" w:color="auto"/>
            </w:tcBorders>
            <w:vAlign w:val="center"/>
            <w:hideMark/>
          </w:tcPr>
          <w:p w14:paraId="7954B9CA" w14:textId="77777777" w:rsidR="00612204" w:rsidRPr="003268F2" w:rsidRDefault="00612204" w:rsidP="009A133F">
            <w:pPr>
              <w:spacing w:before="0" w:after="0"/>
              <w:rPr>
                <w:noProof/>
                <w:color w:val="000000"/>
                <w:sz w:val="18"/>
                <w:szCs w:val="18"/>
                <w:lang w:val="en-IE" w:eastAsia="en-IE"/>
              </w:rPr>
            </w:pPr>
            <w:r w:rsidRPr="003268F2">
              <w:rPr>
                <w:noProof/>
                <w:color w:val="000000"/>
                <w:sz w:val="18"/>
                <w:szCs w:val="18"/>
                <w:lang w:val="en-IE" w:eastAsia="en-IE"/>
              </w:rPr>
              <w:t>Commitments</w:t>
            </w:r>
          </w:p>
        </w:tc>
        <w:tc>
          <w:tcPr>
            <w:tcW w:w="1550" w:type="dxa"/>
            <w:gridSpan w:val="2"/>
            <w:tcBorders>
              <w:top w:val="single" w:sz="8" w:space="0" w:color="auto"/>
              <w:left w:val="nil"/>
              <w:bottom w:val="single" w:sz="8" w:space="0" w:color="auto"/>
              <w:right w:val="single" w:sz="8" w:space="0" w:color="000000"/>
            </w:tcBorders>
            <w:vAlign w:val="center"/>
            <w:hideMark/>
          </w:tcPr>
          <w:p w14:paraId="42688586" w14:textId="77777777" w:rsidR="00612204" w:rsidRPr="003268F2" w:rsidRDefault="00612204" w:rsidP="009A133F">
            <w:pPr>
              <w:spacing w:before="0" w:after="0"/>
              <w:jc w:val="center"/>
              <w:rPr>
                <w:noProof/>
                <w:color w:val="000000"/>
                <w:sz w:val="14"/>
                <w:szCs w:val="14"/>
                <w:lang w:val="en-IE" w:eastAsia="en-IE"/>
              </w:rPr>
            </w:pPr>
            <w:r w:rsidRPr="003268F2">
              <w:rPr>
                <w:noProof/>
                <w:color w:val="000000"/>
                <w:sz w:val="14"/>
                <w:szCs w:val="14"/>
                <w:lang w:val="en-IE" w:eastAsia="en-IE"/>
              </w:rPr>
              <w:t>(4)</w:t>
            </w:r>
          </w:p>
        </w:tc>
        <w:tc>
          <w:tcPr>
            <w:tcW w:w="1101" w:type="dxa"/>
            <w:tcBorders>
              <w:top w:val="nil"/>
              <w:left w:val="nil"/>
              <w:bottom w:val="single" w:sz="8" w:space="0" w:color="auto"/>
              <w:right w:val="single" w:sz="8" w:space="0" w:color="auto"/>
            </w:tcBorders>
            <w:shd w:val="clear" w:color="000000" w:fill="D9D9D9"/>
            <w:vAlign w:val="center"/>
            <w:hideMark/>
          </w:tcPr>
          <w:p w14:paraId="3ED74B5C" w14:textId="77777777" w:rsidR="00612204" w:rsidRPr="003268F2" w:rsidRDefault="00612204" w:rsidP="009A133F">
            <w:pPr>
              <w:spacing w:before="0" w:after="0"/>
              <w:jc w:val="right"/>
              <w:rPr>
                <w:noProof/>
                <w:color w:val="000000"/>
                <w:sz w:val="20"/>
                <w:szCs w:val="20"/>
                <w:lang w:val="en-IE" w:eastAsia="en-IE"/>
              </w:rPr>
            </w:pPr>
            <w:r>
              <w:rPr>
                <w:noProof/>
                <w:color w:val="000000"/>
                <w:sz w:val="20"/>
                <w:szCs w:val="20"/>
              </w:rPr>
              <w:t>0,000</w:t>
            </w:r>
          </w:p>
        </w:tc>
        <w:tc>
          <w:tcPr>
            <w:tcW w:w="848" w:type="dxa"/>
            <w:tcBorders>
              <w:top w:val="nil"/>
              <w:left w:val="nil"/>
              <w:bottom w:val="single" w:sz="8" w:space="0" w:color="auto"/>
              <w:right w:val="single" w:sz="8" w:space="0" w:color="auto"/>
            </w:tcBorders>
            <w:shd w:val="clear" w:color="000000" w:fill="D9D9D9"/>
            <w:vAlign w:val="center"/>
            <w:hideMark/>
          </w:tcPr>
          <w:p w14:paraId="6472CE8E" w14:textId="77777777" w:rsidR="00612204" w:rsidRPr="003268F2" w:rsidRDefault="00612204" w:rsidP="009A133F">
            <w:pPr>
              <w:spacing w:before="0" w:after="0"/>
              <w:jc w:val="right"/>
              <w:rPr>
                <w:noProof/>
                <w:color w:val="000000"/>
                <w:sz w:val="20"/>
                <w:szCs w:val="20"/>
                <w:lang w:val="en-IE" w:eastAsia="en-IE"/>
              </w:rPr>
            </w:pPr>
            <w:r>
              <w:rPr>
                <w:noProof/>
                <w:color w:val="000000"/>
                <w:sz w:val="20"/>
                <w:szCs w:val="20"/>
              </w:rPr>
              <w:t>0,000</w:t>
            </w:r>
          </w:p>
        </w:tc>
        <w:tc>
          <w:tcPr>
            <w:tcW w:w="848" w:type="dxa"/>
            <w:tcBorders>
              <w:top w:val="nil"/>
              <w:left w:val="nil"/>
              <w:bottom w:val="single" w:sz="8" w:space="0" w:color="auto"/>
              <w:right w:val="single" w:sz="8" w:space="0" w:color="auto"/>
            </w:tcBorders>
            <w:shd w:val="clear" w:color="000000" w:fill="D9D9D9"/>
            <w:vAlign w:val="center"/>
            <w:hideMark/>
          </w:tcPr>
          <w:p w14:paraId="236AF807" w14:textId="77777777" w:rsidR="00612204" w:rsidRPr="003268F2" w:rsidRDefault="00612204" w:rsidP="009A133F">
            <w:pPr>
              <w:spacing w:before="0" w:after="0"/>
              <w:jc w:val="right"/>
              <w:rPr>
                <w:noProof/>
                <w:color w:val="000000"/>
                <w:sz w:val="20"/>
                <w:szCs w:val="20"/>
                <w:lang w:val="en-IE" w:eastAsia="en-IE"/>
              </w:rPr>
            </w:pPr>
            <w:r>
              <w:rPr>
                <w:noProof/>
                <w:color w:val="000000"/>
                <w:sz w:val="20"/>
                <w:szCs w:val="20"/>
              </w:rPr>
              <w:t>0,000</w:t>
            </w:r>
          </w:p>
        </w:tc>
        <w:tc>
          <w:tcPr>
            <w:tcW w:w="1129" w:type="dxa"/>
            <w:tcBorders>
              <w:top w:val="nil"/>
              <w:left w:val="nil"/>
              <w:bottom w:val="single" w:sz="8" w:space="0" w:color="auto"/>
              <w:right w:val="single" w:sz="8" w:space="0" w:color="auto"/>
            </w:tcBorders>
            <w:shd w:val="clear" w:color="000000" w:fill="D9D9D9"/>
            <w:vAlign w:val="center"/>
            <w:hideMark/>
          </w:tcPr>
          <w:p w14:paraId="59B9E13C" w14:textId="77777777" w:rsidR="00612204" w:rsidRPr="003268F2" w:rsidRDefault="00612204" w:rsidP="009A133F">
            <w:pPr>
              <w:spacing w:before="0" w:after="0"/>
              <w:jc w:val="right"/>
              <w:rPr>
                <w:noProof/>
                <w:color w:val="000000"/>
                <w:sz w:val="20"/>
                <w:szCs w:val="20"/>
                <w:lang w:val="en-IE" w:eastAsia="en-IE"/>
              </w:rPr>
            </w:pPr>
            <w:r>
              <w:rPr>
                <w:noProof/>
                <w:color w:val="000000"/>
                <w:sz w:val="20"/>
                <w:szCs w:val="20"/>
              </w:rPr>
              <w:t>4,559</w:t>
            </w:r>
          </w:p>
        </w:tc>
        <w:tc>
          <w:tcPr>
            <w:tcW w:w="1408" w:type="dxa"/>
            <w:tcBorders>
              <w:top w:val="nil"/>
              <w:left w:val="nil"/>
              <w:bottom w:val="single" w:sz="8" w:space="0" w:color="auto"/>
              <w:right w:val="single" w:sz="8" w:space="0" w:color="auto"/>
            </w:tcBorders>
            <w:shd w:val="clear" w:color="000000" w:fill="D9D9D9"/>
            <w:vAlign w:val="center"/>
            <w:hideMark/>
          </w:tcPr>
          <w:p w14:paraId="4B029995" w14:textId="77777777" w:rsidR="00612204" w:rsidRPr="003268F2" w:rsidRDefault="00612204" w:rsidP="009A133F">
            <w:pPr>
              <w:spacing w:before="0" w:after="0"/>
              <w:jc w:val="right"/>
              <w:rPr>
                <w:b/>
                <w:bCs/>
                <w:noProof/>
                <w:color w:val="000000"/>
                <w:sz w:val="20"/>
                <w:szCs w:val="20"/>
                <w:lang w:val="en-IE" w:eastAsia="en-IE"/>
              </w:rPr>
            </w:pPr>
            <w:r w:rsidRPr="009436E5">
              <w:rPr>
                <w:b/>
                <w:bCs/>
                <w:noProof/>
                <w:color w:val="000000"/>
                <w:sz w:val="20"/>
                <w:szCs w:val="20"/>
              </w:rPr>
              <w:t>4,559</w:t>
            </w:r>
          </w:p>
        </w:tc>
        <w:tc>
          <w:tcPr>
            <w:tcW w:w="1692" w:type="dxa"/>
            <w:tcBorders>
              <w:top w:val="nil"/>
              <w:left w:val="nil"/>
              <w:bottom w:val="single" w:sz="8" w:space="0" w:color="auto"/>
              <w:right w:val="single" w:sz="8" w:space="0" w:color="auto"/>
            </w:tcBorders>
            <w:shd w:val="clear" w:color="000000" w:fill="D9D9D9"/>
            <w:vAlign w:val="center"/>
          </w:tcPr>
          <w:p w14:paraId="3DCABA5A" w14:textId="77777777" w:rsidR="00612204" w:rsidRDefault="00612204" w:rsidP="009A133F">
            <w:pPr>
              <w:spacing w:before="0" w:after="0"/>
              <w:jc w:val="right"/>
              <w:rPr>
                <w:b/>
                <w:bCs/>
                <w:noProof/>
                <w:color w:val="000000"/>
                <w:sz w:val="20"/>
                <w:szCs w:val="20"/>
                <w:lang w:val="en-IE" w:eastAsia="en-IE"/>
              </w:rPr>
            </w:pPr>
            <w:r>
              <w:rPr>
                <w:b/>
                <w:bCs/>
                <w:noProof/>
                <w:color w:val="000000"/>
                <w:sz w:val="22"/>
              </w:rPr>
              <w:t>10,052</w:t>
            </w:r>
          </w:p>
        </w:tc>
      </w:tr>
      <w:tr w:rsidR="00612204" w:rsidRPr="003268F2" w14:paraId="60C8243A" w14:textId="77777777" w:rsidTr="00612204">
        <w:trPr>
          <w:trHeight w:val="300"/>
        </w:trPr>
        <w:tc>
          <w:tcPr>
            <w:tcW w:w="4305" w:type="dxa"/>
            <w:vMerge/>
            <w:tcBorders>
              <w:top w:val="single" w:sz="8" w:space="0" w:color="auto"/>
              <w:left w:val="single" w:sz="8" w:space="0" w:color="auto"/>
              <w:bottom w:val="single" w:sz="8" w:space="0" w:color="auto"/>
              <w:right w:val="single" w:sz="8" w:space="0" w:color="auto"/>
            </w:tcBorders>
            <w:vAlign w:val="center"/>
            <w:hideMark/>
          </w:tcPr>
          <w:p w14:paraId="515F282A" w14:textId="77777777" w:rsidR="00612204" w:rsidRPr="003268F2" w:rsidRDefault="00612204" w:rsidP="009A133F">
            <w:pPr>
              <w:spacing w:before="0" w:after="0"/>
              <w:jc w:val="left"/>
              <w:rPr>
                <w:noProof/>
                <w:color w:val="000000"/>
                <w:sz w:val="21"/>
                <w:szCs w:val="21"/>
                <w:lang w:val="en-IE" w:eastAsia="en-IE"/>
              </w:rPr>
            </w:pPr>
          </w:p>
        </w:tc>
        <w:tc>
          <w:tcPr>
            <w:tcW w:w="1339" w:type="dxa"/>
            <w:tcBorders>
              <w:top w:val="nil"/>
              <w:left w:val="nil"/>
              <w:bottom w:val="single" w:sz="8" w:space="0" w:color="auto"/>
              <w:right w:val="single" w:sz="8" w:space="0" w:color="auto"/>
            </w:tcBorders>
            <w:vAlign w:val="center"/>
            <w:hideMark/>
          </w:tcPr>
          <w:p w14:paraId="4A94C320" w14:textId="77777777" w:rsidR="00612204" w:rsidRPr="003268F2" w:rsidRDefault="00612204" w:rsidP="009A133F">
            <w:pPr>
              <w:spacing w:before="0" w:after="0"/>
              <w:rPr>
                <w:noProof/>
                <w:color w:val="000000"/>
                <w:sz w:val="18"/>
                <w:szCs w:val="18"/>
                <w:lang w:val="en-IE" w:eastAsia="en-IE"/>
              </w:rPr>
            </w:pPr>
            <w:r w:rsidRPr="003268F2">
              <w:rPr>
                <w:noProof/>
                <w:color w:val="000000"/>
                <w:sz w:val="18"/>
                <w:szCs w:val="18"/>
                <w:lang w:val="en-IE" w:eastAsia="en-IE"/>
              </w:rPr>
              <w:t>Payments</w:t>
            </w:r>
          </w:p>
        </w:tc>
        <w:tc>
          <w:tcPr>
            <w:tcW w:w="1550" w:type="dxa"/>
            <w:gridSpan w:val="2"/>
            <w:tcBorders>
              <w:top w:val="single" w:sz="8" w:space="0" w:color="auto"/>
              <w:left w:val="nil"/>
              <w:bottom w:val="single" w:sz="8" w:space="0" w:color="auto"/>
              <w:right w:val="single" w:sz="8" w:space="0" w:color="000000"/>
            </w:tcBorders>
            <w:vAlign w:val="center"/>
            <w:hideMark/>
          </w:tcPr>
          <w:p w14:paraId="480E83BB" w14:textId="77777777" w:rsidR="00612204" w:rsidRPr="003268F2" w:rsidRDefault="00612204" w:rsidP="009A133F">
            <w:pPr>
              <w:spacing w:before="0" w:after="0"/>
              <w:jc w:val="center"/>
              <w:rPr>
                <w:noProof/>
                <w:color w:val="000000"/>
                <w:sz w:val="14"/>
                <w:szCs w:val="14"/>
                <w:lang w:val="en-IE" w:eastAsia="en-IE"/>
              </w:rPr>
            </w:pPr>
            <w:r w:rsidRPr="003268F2">
              <w:rPr>
                <w:noProof/>
                <w:color w:val="000000"/>
                <w:sz w:val="14"/>
                <w:szCs w:val="14"/>
                <w:lang w:val="en-IE" w:eastAsia="en-IE"/>
              </w:rPr>
              <w:t>(5)</w:t>
            </w:r>
          </w:p>
        </w:tc>
        <w:tc>
          <w:tcPr>
            <w:tcW w:w="1101" w:type="dxa"/>
            <w:tcBorders>
              <w:top w:val="nil"/>
              <w:left w:val="nil"/>
              <w:bottom w:val="single" w:sz="8" w:space="0" w:color="auto"/>
              <w:right w:val="single" w:sz="8" w:space="0" w:color="auto"/>
            </w:tcBorders>
            <w:shd w:val="clear" w:color="000000" w:fill="D9D9D9"/>
            <w:vAlign w:val="center"/>
            <w:hideMark/>
          </w:tcPr>
          <w:p w14:paraId="6FE0865B" w14:textId="77777777" w:rsidR="00612204" w:rsidRPr="003268F2" w:rsidRDefault="00612204" w:rsidP="009A133F">
            <w:pPr>
              <w:spacing w:before="0" w:after="0"/>
              <w:jc w:val="right"/>
              <w:rPr>
                <w:noProof/>
                <w:color w:val="000000"/>
                <w:sz w:val="20"/>
                <w:szCs w:val="20"/>
                <w:lang w:val="en-IE" w:eastAsia="en-IE"/>
              </w:rPr>
            </w:pPr>
            <w:r>
              <w:rPr>
                <w:noProof/>
                <w:color w:val="000000"/>
                <w:sz w:val="20"/>
                <w:szCs w:val="20"/>
              </w:rPr>
              <w:t>0,000</w:t>
            </w:r>
          </w:p>
        </w:tc>
        <w:tc>
          <w:tcPr>
            <w:tcW w:w="848" w:type="dxa"/>
            <w:tcBorders>
              <w:top w:val="nil"/>
              <w:left w:val="nil"/>
              <w:bottom w:val="single" w:sz="8" w:space="0" w:color="auto"/>
              <w:right w:val="single" w:sz="8" w:space="0" w:color="auto"/>
            </w:tcBorders>
            <w:shd w:val="clear" w:color="000000" w:fill="D9D9D9"/>
            <w:vAlign w:val="center"/>
            <w:hideMark/>
          </w:tcPr>
          <w:p w14:paraId="138F40B4" w14:textId="77777777" w:rsidR="00612204" w:rsidRPr="003268F2" w:rsidRDefault="00612204" w:rsidP="009A133F">
            <w:pPr>
              <w:spacing w:before="0" w:after="0"/>
              <w:jc w:val="right"/>
              <w:rPr>
                <w:noProof/>
                <w:color w:val="000000"/>
                <w:sz w:val="20"/>
                <w:szCs w:val="20"/>
                <w:lang w:val="en-IE" w:eastAsia="en-IE"/>
              </w:rPr>
            </w:pPr>
            <w:r>
              <w:rPr>
                <w:noProof/>
                <w:color w:val="000000"/>
                <w:sz w:val="20"/>
                <w:szCs w:val="20"/>
              </w:rPr>
              <w:t>0,000</w:t>
            </w:r>
          </w:p>
        </w:tc>
        <w:tc>
          <w:tcPr>
            <w:tcW w:w="848" w:type="dxa"/>
            <w:tcBorders>
              <w:top w:val="nil"/>
              <w:left w:val="nil"/>
              <w:bottom w:val="single" w:sz="8" w:space="0" w:color="auto"/>
              <w:right w:val="single" w:sz="8" w:space="0" w:color="auto"/>
            </w:tcBorders>
            <w:shd w:val="clear" w:color="000000" w:fill="D9D9D9"/>
            <w:vAlign w:val="center"/>
            <w:hideMark/>
          </w:tcPr>
          <w:p w14:paraId="79B205BD" w14:textId="77777777" w:rsidR="00612204" w:rsidRPr="003268F2" w:rsidRDefault="00612204" w:rsidP="009A133F">
            <w:pPr>
              <w:spacing w:before="0" w:after="0"/>
              <w:jc w:val="right"/>
              <w:rPr>
                <w:noProof/>
                <w:color w:val="000000"/>
                <w:sz w:val="20"/>
                <w:szCs w:val="20"/>
                <w:lang w:val="en-IE" w:eastAsia="en-IE"/>
              </w:rPr>
            </w:pPr>
            <w:r>
              <w:rPr>
                <w:noProof/>
                <w:color w:val="000000"/>
                <w:sz w:val="20"/>
                <w:szCs w:val="20"/>
              </w:rPr>
              <w:t>0,000</w:t>
            </w:r>
          </w:p>
        </w:tc>
        <w:tc>
          <w:tcPr>
            <w:tcW w:w="1129" w:type="dxa"/>
            <w:tcBorders>
              <w:top w:val="nil"/>
              <w:left w:val="nil"/>
              <w:bottom w:val="single" w:sz="8" w:space="0" w:color="auto"/>
              <w:right w:val="single" w:sz="8" w:space="0" w:color="auto"/>
            </w:tcBorders>
            <w:shd w:val="clear" w:color="000000" w:fill="D9D9D9"/>
            <w:vAlign w:val="center"/>
            <w:hideMark/>
          </w:tcPr>
          <w:p w14:paraId="3D932762" w14:textId="77777777" w:rsidR="00612204" w:rsidRPr="003268F2" w:rsidRDefault="00612204" w:rsidP="009A133F">
            <w:pPr>
              <w:spacing w:before="0" w:after="0"/>
              <w:jc w:val="right"/>
              <w:rPr>
                <w:noProof/>
                <w:color w:val="000000"/>
                <w:sz w:val="20"/>
                <w:szCs w:val="20"/>
                <w:lang w:val="en-IE" w:eastAsia="en-IE"/>
              </w:rPr>
            </w:pPr>
            <w:r>
              <w:rPr>
                <w:noProof/>
                <w:color w:val="000000"/>
                <w:sz w:val="20"/>
                <w:szCs w:val="20"/>
              </w:rPr>
              <w:t>3,559</w:t>
            </w:r>
          </w:p>
        </w:tc>
        <w:tc>
          <w:tcPr>
            <w:tcW w:w="1408" w:type="dxa"/>
            <w:tcBorders>
              <w:top w:val="nil"/>
              <w:left w:val="nil"/>
              <w:bottom w:val="single" w:sz="8" w:space="0" w:color="auto"/>
              <w:right w:val="single" w:sz="8" w:space="0" w:color="auto"/>
            </w:tcBorders>
            <w:shd w:val="clear" w:color="000000" w:fill="D9D9D9"/>
            <w:vAlign w:val="center"/>
            <w:hideMark/>
          </w:tcPr>
          <w:p w14:paraId="515AC107" w14:textId="77777777" w:rsidR="00612204" w:rsidRPr="003268F2" w:rsidRDefault="00612204" w:rsidP="009A133F">
            <w:pPr>
              <w:spacing w:before="0" w:after="0"/>
              <w:jc w:val="right"/>
              <w:rPr>
                <w:b/>
                <w:bCs/>
                <w:noProof/>
                <w:color w:val="000000"/>
                <w:sz w:val="20"/>
                <w:szCs w:val="20"/>
                <w:lang w:val="en-IE" w:eastAsia="en-IE"/>
              </w:rPr>
            </w:pPr>
            <w:r w:rsidRPr="009436E5">
              <w:rPr>
                <w:b/>
                <w:bCs/>
                <w:noProof/>
                <w:color w:val="000000"/>
                <w:sz w:val="20"/>
                <w:szCs w:val="20"/>
              </w:rPr>
              <w:t>3,559</w:t>
            </w:r>
          </w:p>
        </w:tc>
        <w:tc>
          <w:tcPr>
            <w:tcW w:w="1692" w:type="dxa"/>
            <w:tcBorders>
              <w:top w:val="nil"/>
              <w:left w:val="nil"/>
              <w:bottom w:val="single" w:sz="8" w:space="0" w:color="auto"/>
              <w:right w:val="single" w:sz="8" w:space="0" w:color="auto"/>
            </w:tcBorders>
            <w:shd w:val="clear" w:color="000000" w:fill="D9D9D9"/>
            <w:vAlign w:val="center"/>
          </w:tcPr>
          <w:p w14:paraId="21AC0F00" w14:textId="77777777" w:rsidR="00612204" w:rsidRDefault="00612204" w:rsidP="009A133F">
            <w:pPr>
              <w:spacing w:before="0" w:after="0"/>
              <w:jc w:val="right"/>
              <w:rPr>
                <w:b/>
                <w:bCs/>
                <w:noProof/>
                <w:color w:val="000000"/>
                <w:sz w:val="20"/>
                <w:szCs w:val="20"/>
                <w:lang w:val="en-IE" w:eastAsia="en-IE"/>
              </w:rPr>
            </w:pPr>
            <w:r>
              <w:rPr>
                <w:b/>
                <w:bCs/>
                <w:noProof/>
                <w:color w:val="000000"/>
                <w:sz w:val="22"/>
              </w:rPr>
              <w:t>11,052</w:t>
            </w:r>
          </w:p>
        </w:tc>
      </w:tr>
      <w:tr w:rsidR="00612204" w:rsidRPr="003268F2" w14:paraId="3AC25824" w14:textId="77777777" w:rsidTr="00612204">
        <w:trPr>
          <w:trHeight w:val="990"/>
        </w:trPr>
        <w:tc>
          <w:tcPr>
            <w:tcW w:w="5644" w:type="dxa"/>
            <w:gridSpan w:val="2"/>
            <w:tcBorders>
              <w:top w:val="single" w:sz="8" w:space="0" w:color="auto"/>
              <w:left w:val="single" w:sz="8" w:space="0" w:color="auto"/>
              <w:bottom w:val="single" w:sz="8" w:space="0" w:color="auto"/>
              <w:right w:val="single" w:sz="8" w:space="0" w:color="000000"/>
            </w:tcBorders>
            <w:vAlign w:val="center"/>
            <w:hideMark/>
          </w:tcPr>
          <w:p w14:paraId="7922ABDE" w14:textId="77777777" w:rsidR="00612204" w:rsidRPr="003268F2" w:rsidRDefault="00612204" w:rsidP="009A133F">
            <w:pPr>
              <w:spacing w:before="0" w:after="0"/>
              <w:rPr>
                <w:noProof/>
                <w:color w:val="000000"/>
                <w:sz w:val="21"/>
                <w:szCs w:val="21"/>
                <w:lang w:val="en-IE" w:eastAsia="en-IE"/>
              </w:rPr>
            </w:pPr>
            <w:r w:rsidRPr="003268F2">
              <w:rPr>
                <w:rFonts w:ascii="Calibri" w:hAnsi="Calibri" w:cs="Calibri"/>
                <w:noProof/>
                <w:color w:val="000000"/>
                <w:sz w:val="21"/>
                <w:szCs w:val="21"/>
                <w:lang w:val="en-IE" w:eastAsia="en-IE"/>
              </w:rPr>
              <w:t>•</w:t>
            </w:r>
            <w:r w:rsidRPr="003268F2">
              <w:rPr>
                <w:noProof/>
                <w:color w:val="000000"/>
                <w:sz w:val="21"/>
                <w:szCs w:val="21"/>
                <w:lang w:val="en-IE" w:eastAsia="en-IE"/>
              </w:rPr>
              <w:t xml:space="preserve"> TOTAL appropriations of an administrative nature financed from the envelope for specific programmes (all operational headings)</w:t>
            </w:r>
          </w:p>
        </w:tc>
        <w:tc>
          <w:tcPr>
            <w:tcW w:w="1550" w:type="dxa"/>
            <w:gridSpan w:val="2"/>
            <w:tcBorders>
              <w:top w:val="single" w:sz="8" w:space="0" w:color="auto"/>
              <w:left w:val="nil"/>
              <w:bottom w:val="single" w:sz="8" w:space="0" w:color="auto"/>
              <w:right w:val="single" w:sz="8" w:space="0" w:color="000000"/>
            </w:tcBorders>
            <w:vAlign w:val="center"/>
            <w:hideMark/>
          </w:tcPr>
          <w:p w14:paraId="42286BF1" w14:textId="77777777" w:rsidR="00612204" w:rsidRPr="003268F2" w:rsidRDefault="00612204" w:rsidP="009A133F">
            <w:pPr>
              <w:spacing w:before="0" w:after="0"/>
              <w:jc w:val="center"/>
              <w:rPr>
                <w:noProof/>
                <w:color w:val="000000"/>
                <w:sz w:val="14"/>
                <w:szCs w:val="14"/>
                <w:lang w:val="en-IE" w:eastAsia="en-IE"/>
              </w:rPr>
            </w:pPr>
            <w:r w:rsidRPr="003268F2">
              <w:rPr>
                <w:noProof/>
                <w:color w:val="000000"/>
                <w:sz w:val="14"/>
                <w:szCs w:val="14"/>
                <w:lang w:val="en-IE" w:eastAsia="en-IE"/>
              </w:rPr>
              <w:t>(6)</w:t>
            </w:r>
          </w:p>
        </w:tc>
        <w:tc>
          <w:tcPr>
            <w:tcW w:w="1101" w:type="dxa"/>
            <w:tcBorders>
              <w:top w:val="nil"/>
              <w:left w:val="nil"/>
              <w:bottom w:val="single" w:sz="8" w:space="0" w:color="auto"/>
              <w:right w:val="single" w:sz="8" w:space="0" w:color="auto"/>
            </w:tcBorders>
            <w:shd w:val="clear" w:color="000000" w:fill="D9D9D9"/>
            <w:vAlign w:val="center"/>
            <w:hideMark/>
          </w:tcPr>
          <w:p w14:paraId="23C1E5FA" w14:textId="77777777" w:rsidR="00612204" w:rsidRPr="003268F2" w:rsidRDefault="00612204" w:rsidP="009A133F">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848" w:type="dxa"/>
            <w:tcBorders>
              <w:top w:val="nil"/>
              <w:left w:val="nil"/>
              <w:bottom w:val="single" w:sz="8" w:space="0" w:color="auto"/>
              <w:right w:val="single" w:sz="8" w:space="0" w:color="auto"/>
            </w:tcBorders>
            <w:shd w:val="clear" w:color="000000" w:fill="D9D9D9"/>
            <w:vAlign w:val="center"/>
            <w:hideMark/>
          </w:tcPr>
          <w:p w14:paraId="60A07119" w14:textId="77777777" w:rsidR="00612204" w:rsidRPr="003268F2" w:rsidRDefault="00612204" w:rsidP="009A133F">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848" w:type="dxa"/>
            <w:tcBorders>
              <w:top w:val="nil"/>
              <w:left w:val="nil"/>
              <w:bottom w:val="single" w:sz="8" w:space="0" w:color="auto"/>
              <w:right w:val="single" w:sz="8" w:space="0" w:color="auto"/>
            </w:tcBorders>
            <w:shd w:val="clear" w:color="000000" w:fill="D9D9D9"/>
            <w:vAlign w:val="center"/>
            <w:hideMark/>
          </w:tcPr>
          <w:p w14:paraId="061FBEA7" w14:textId="77777777" w:rsidR="00612204" w:rsidRPr="003268F2" w:rsidRDefault="00612204" w:rsidP="009A133F">
            <w:pPr>
              <w:spacing w:before="0" w:after="0"/>
              <w:jc w:val="right"/>
              <w:rPr>
                <w:noProof/>
                <w:color w:val="000000"/>
                <w:sz w:val="20"/>
                <w:szCs w:val="20"/>
                <w:lang w:val="en-IE" w:eastAsia="en-IE"/>
              </w:rPr>
            </w:pPr>
            <w:r>
              <w:rPr>
                <w:noProof/>
                <w:color w:val="000000"/>
                <w:sz w:val="20"/>
                <w:szCs w:val="20"/>
              </w:rPr>
              <w:t>0,000</w:t>
            </w:r>
          </w:p>
        </w:tc>
        <w:tc>
          <w:tcPr>
            <w:tcW w:w="1129" w:type="dxa"/>
            <w:tcBorders>
              <w:top w:val="nil"/>
              <w:left w:val="nil"/>
              <w:bottom w:val="single" w:sz="8" w:space="0" w:color="auto"/>
              <w:right w:val="single" w:sz="8" w:space="0" w:color="auto"/>
            </w:tcBorders>
            <w:shd w:val="clear" w:color="000000" w:fill="D9D9D9"/>
            <w:vAlign w:val="center"/>
            <w:hideMark/>
          </w:tcPr>
          <w:p w14:paraId="0AE1B5BB" w14:textId="77777777" w:rsidR="00612204" w:rsidRPr="003268F2" w:rsidRDefault="00612204" w:rsidP="009A133F">
            <w:pPr>
              <w:spacing w:before="0" w:after="0"/>
              <w:jc w:val="right"/>
              <w:rPr>
                <w:noProof/>
                <w:color w:val="000000"/>
                <w:sz w:val="20"/>
                <w:szCs w:val="20"/>
                <w:lang w:val="en-IE" w:eastAsia="en-IE"/>
              </w:rPr>
            </w:pPr>
            <w:r>
              <w:rPr>
                <w:noProof/>
                <w:color w:val="000000"/>
                <w:sz w:val="20"/>
                <w:szCs w:val="20"/>
              </w:rPr>
              <w:t>1,182</w:t>
            </w:r>
          </w:p>
        </w:tc>
        <w:tc>
          <w:tcPr>
            <w:tcW w:w="1408" w:type="dxa"/>
            <w:tcBorders>
              <w:top w:val="nil"/>
              <w:left w:val="nil"/>
              <w:bottom w:val="single" w:sz="8" w:space="0" w:color="auto"/>
              <w:right w:val="single" w:sz="8" w:space="0" w:color="auto"/>
            </w:tcBorders>
            <w:shd w:val="clear" w:color="000000" w:fill="D9D9D9"/>
            <w:vAlign w:val="center"/>
            <w:hideMark/>
          </w:tcPr>
          <w:p w14:paraId="10058F18" w14:textId="77777777" w:rsidR="00612204" w:rsidRPr="00923CEF" w:rsidRDefault="00612204" w:rsidP="009A133F">
            <w:pPr>
              <w:spacing w:before="0" w:after="0"/>
              <w:jc w:val="right"/>
              <w:rPr>
                <w:b/>
                <w:bCs/>
                <w:noProof/>
                <w:color w:val="000000"/>
                <w:sz w:val="20"/>
                <w:szCs w:val="20"/>
                <w:lang w:val="en-IE" w:eastAsia="en-IE"/>
              </w:rPr>
            </w:pPr>
            <w:r>
              <w:rPr>
                <w:b/>
                <w:bCs/>
                <w:noProof/>
                <w:color w:val="000000"/>
                <w:sz w:val="20"/>
                <w:szCs w:val="20"/>
              </w:rPr>
              <w:t>1,182</w:t>
            </w:r>
          </w:p>
        </w:tc>
        <w:tc>
          <w:tcPr>
            <w:tcW w:w="1692" w:type="dxa"/>
            <w:tcBorders>
              <w:top w:val="nil"/>
              <w:left w:val="nil"/>
              <w:bottom w:val="single" w:sz="8" w:space="0" w:color="auto"/>
              <w:right w:val="single" w:sz="8" w:space="0" w:color="auto"/>
            </w:tcBorders>
            <w:shd w:val="clear" w:color="000000" w:fill="D9D9D9"/>
            <w:vAlign w:val="center"/>
          </w:tcPr>
          <w:p w14:paraId="404F3C1F" w14:textId="77777777" w:rsidR="00612204" w:rsidRPr="00923CEF" w:rsidRDefault="00612204" w:rsidP="009A133F">
            <w:pPr>
              <w:spacing w:before="0" w:after="0"/>
              <w:jc w:val="right"/>
              <w:rPr>
                <w:b/>
                <w:bCs/>
                <w:noProof/>
                <w:color w:val="000000"/>
                <w:sz w:val="20"/>
                <w:szCs w:val="20"/>
                <w:lang w:val="en-IE" w:eastAsia="en-IE"/>
              </w:rPr>
            </w:pPr>
            <w:r>
              <w:rPr>
                <w:b/>
                <w:bCs/>
                <w:noProof/>
                <w:color w:val="000000"/>
                <w:sz w:val="20"/>
                <w:szCs w:val="20"/>
              </w:rPr>
              <w:t>8,274</w:t>
            </w:r>
          </w:p>
        </w:tc>
      </w:tr>
      <w:tr w:rsidR="00612204" w:rsidRPr="003268F2" w14:paraId="35F44592" w14:textId="77777777" w:rsidTr="00612204">
        <w:trPr>
          <w:trHeight w:val="564"/>
        </w:trPr>
        <w:tc>
          <w:tcPr>
            <w:tcW w:w="4305" w:type="dxa"/>
            <w:tcBorders>
              <w:top w:val="nil"/>
              <w:left w:val="single" w:sz="8" w:space="0" w:color="auto"/>
              <w:bottom w:val="nil"/>
              <w:right w:val="single" w:sz="8" w:space="0" w:color="auto"/>
            </w:tcBorders>
            <w:shd w:val="thinDiagStripe" w:color="C0C0C0" w:fill="F1F1F1"/>
            <w:vAlign w:val="center"/>
            <w:hideMark/>
          </w:tcPr>
          <w:p w14:paraId="4CBC1F9D" w14:textId="77777777" w:rsidR="00612204" w:rsidRPr="003268F2" w:rsidRDefault="00612204" w:rsidP="009A133F">
            <w:pPr>
              <w:spacing w:before="0" w:after="0"/>
              <w:jc w:val="center"/>
              <w:rPr>
                <w:b/>
                <w:bCs/>
                <w:noProof/>
                <w:color w:val="000000"/>
                <w:sz w:val="22"/>
                <w:lang w:val="en-IE" w:eastAsia="en-IE"/>
              </w:rPr>
            </w:pPr>
            <w:r w:rsidRPr="003268F2">
              <w:rPr>
                <w:b/>
                <w:bCs/>
                <w:noProof/>
                <w:color w:val="000000"/>
                <w:sz w:val="22"/>
                <w:lang w:val="en-IE" w:eastAsia="en-IE"/>
              </w:rPr>
              <w:t>TOTAL appropriations</w:t>
            </w:r>
            <w:r>
              <w:rPr>
                <w:b/>
                <w:bCs/>
                <w:noProof/>
                <w:color w:val="000000"/>
                <w:sz w:val="22"/>
                <w:lang w:val="en-IE" w:eastAsia="en-IE"/>
              </w:rPr>
              <w:t xml:space="preserve"> u</w:t>
            </w:r>
            <w:r w:rsidRPr="003268F2">
              <w:rPr>
                <w:b/>
                <w:bCs/>
                <w:noProof/>
                <w:color w:val="000000"/>
                <w:sz w:val="22"/>
                <w:lang w:val="en-IE" w:eastAsia="en-IE"/>
              </w:rPr>
              <w:t xml:space="preserve">nder </w:t>
            </w:r>
            <w:r>
              <w:rPr>
                <w:b/>
                <w:bCs/>
                <w:noProof/>
                <w:color w:val="000000"/>
                <w:sz w:val="22"/>
                <w:lang w:val="en-IE" w:eastAsia="en-IE"/>
              </w:rPr>
              <w:t xml:space="preserve">          </w:t>
            </w:r>
            <w:r w:rsidRPr="003268F2">
              <w:rPr>
                <w:b/>
                <w:bCs/>
                <w:noProof/>
                <w:color w:val="000000"/>
                <w:sz w:val="22"/>
                <w:lang w:val="en-IE" w:eastAsia="en-IE"/>
              </w:rPr>
              <w:t>Heading</w:t>
            </w:r>
            <w:r>
              <w:rPr>
                <w:b/>
                <w:bCs/>
                <w:noProof/>
                <w:color w:val="000000"/>
                <w:sz w:val="22"/>
                <w:lang w:val="en-IE" w:eastAsia="en-IE"/>
              </w:rPr>
              <w:t>s</w:t>
            </w:r>
            <w:r w:rsidRPr="003268F2">
              <w:rPr>
                <w:b/>
                <w:bCs/>
                <w:noProof/>
                <w:color w:val="000000"/>
                <w:sz w:val="22"/>
                <w:lang w:val="en-IE" w:eastAsia="en-IE"/>
              </w:rPr>
              <w:t xml:space="preserve"> 1 to 6</w:t>
            </w:r>
          </w:p>
        </w:tc>
        <w:tc>
          <w:tcPr>
            <w:tcW w:w="1339" w:type="dxa"/>
            <w:tcBorders>
              <w:top w:val="nil"/>
              <w:left w:val="nil"/>
              <w:bottom w:val="nil"/>
              <w:right w:val="single" w:sz="8" w:space="0" w:color="auto"/>
            </w:tcBorders>
            <w:vAlign w:val="center"/>
            <w:hideMark/>
          </w:tcPr>
          <w:p w14:paraId="6815AF43" w14:textId="77777777" w:rsidR="00612204" w:rsidRPr="003268F2" w:rsidRDefault="00612204" w:rsidP="009A133F">
            <w:pPr>
              <w:spacing w:before="0" w:after="0"/>
              <w:rPr>
                <w:noProof/>
                <w:color w:val="000000"/>
                <w:sz w:val="18"/>
                <w:szCs w:val="18"/>
                <w:lang w:val="en-IE" w:eastAsia="en-IE"/>
              </w:rPr>
            </w:pPr>
            <w:r w:rsidRPr="003268F2">
              <w:rPr>
                <w:noProof/>
                <w:color w:val="000000"/>
                <w:sz w:val="18"/>
                <w:szCs w:val="18"/>
                <w:lang w:val="en-IE" w:eastAsia="en-IE"/>
              </w:rPr>
              <w:t>Commitments</w:t>
            </w:r>
          </w:p>
        </w:tc>
        <w:tc>
          <w:tcPr>
            <w:tcW w:w="1550" w:type="dxa"/>
            <w:gridSpan w:val="2"/>
            <w:tcBorders>
              <w:top w:val="single" w:sz="8" w:space="0" w:color="auto"/>
              <w:left w:val="nil"/>
              <w:bottom w:val="nil"/>
              <w:right w:val="single" w:sz="8" w:space="0" w:color="000000"/>
            </w:tcBorders>
            <w:vAlign w:val="center"/>
            <w:hideMark/>
          </w:tcPr>
          <w:p w14:paraId="22F18664" w14:textId="77777777" w:rsidR="00612204" w:rsidRPr="003268F2" w:rsidRDefault="00612204" w:rsidP="009A133F">
            <w:pPr>
              <w:spacing w:before="0" w:after="0"/>
              <w:jc w:val="center"/>
              <w:rPr>
                <w:noProof/>
                <w:color w:val="000000"/>
                <w:sz w:val="14"/>
                <w:szCs w:val="14"/>
                <w:lang w:val="en-IE" w:eastAsia="en-IE"/>
              </w:rPr>
            </w:pPr>
            <w:r w:rsidRPr="003268F2">
              <w:rPr>
                <w:noProof/>
                <w:color w:val="000000"/>
                <w:sz w:val="14"/>
                <w:szCs w:val="14"/>
                <w:lang w:val="en-IE" w:eastAsia="en-IE"/>
              </w:rPr>
              <w:t>=4+6</w:t>
            </w:r>
          </w:p>
        </w:tc>
        <w:tc>
          <w:tcPr>
            <w:tcW w:w="1101" w:type="dxa"/>
            <w:tcBorders>
              <w:top w:val="nil"/>
              <w:left w:val="nil"/>
              <w:bottom w:val="single" w:sz="8" w:space="0" w:color="auto"/>
              <w:right w:val="single" w:sz="8" w:space="0" w:color="auto"/>
            </w:tcBorders>
            <w:shd w:val="clear" w:color="000000" w:fill="D9D9D9"/>
            <w:vAlign w:val="center"/>
            <w:hideMark/>
          </w:tcPr>
          <w:p w14:paraId="26BD7722" w14:textId="77777777" w:rsidR="00612204" w:rsidRPr="003268F2" w:rsidRDefault="00612204" w:rsidP="009A133F">
            <w:pPr>
              <w:spacing w:before="0" w:after="0"/>
              <w:jc w:val="right"/>
              <w:rPr>
                <w:b/>
                <w:bCs/>
                <w:noProof/>
                <w:color w:val="000000"/>
                <w:sz w:val="20"/>
                <w:szCs w:val="20"/>
                <w:lang w:val="en-IE" w:eastAsia="en-IE"/>
              </w:rPr>
            </w:pPr>
            <w:r>
              <w:rPr>
                <w:b/>
                <w:bCs/>
                <w:noProof/>
                <w:color w:val="000000"/>
                <w:sz w:val="20"/>
                <w:szCs w:val="20"/>
              </w:rPr>
              <w:t>0,000</w:t>
            </w:r>
          </w:p>
        </w:tc>
        <w:tc>
          <w:tcPr>
            <w:tcW w:w="848" w:type="dxa"/>
            <w:tcBorders>
              <w:top w:val="nil"/>
              <w:left w:val="nil"/>
              <w:bottom w:val="single" w:sz="8" w:space="0" w:color="auto"/>
              <w:right w:val="single" w:sz="8" w:space="0" w:color="auto"/>
            </w:tcBorders>
            <w:shd w:val="clear" w:color="000000" w:fill="D9D9D9"/>
            <w:vAlign w:val="center"/>
            <w:hideMark/>
          </w:tcPr>
          <w:p w14:paraId="4D900DCC" w14:textId="77777777" w:rsidR="00612204" w:rsidRPr="003268F2" w:rsidRDefault="00612204" w:rsidP="009A133F">
            <w:pPr>
              <w:spacing w:before="0" w:after="0"/>
              <w:jc w:val="right"/>
              <w:rPr>
                <w:b/>
                <w:bCs/>
                <w:noProof/>
                <w:color w:val="000000"/>
                <w:sz w:val="20"/>
                <w:szCs w:val="20"/>
                <w:lang w:val="en-IE" w:eastAsia="en-IE"/>
              </w:rPr>
            </w:pPr>
            <w:r>
              <w:rPr>
                <w:b/>
                <w:bCs/>
                <w:noProof/>
                <w:color w:val="000000"/>
                <w:sz w:val="20"/>
                <w:szCs w:val="20"/>
              </w:rPr>
              <w:t>0,000</w:t>
            </w:r>
          </w:p>
        </w:tc>
        <w:tc>
          <w:tcPr>
            <w:tcW w:w="848" w:type="dxa"/>
            <w:tcBorders>
              <w:top w:val="nil"/>
              <w:left w:val="nil"/>
              <w:bottom w:val="single" w:sz="8" w:space="0" w:color="auto"/>
              <w:right w:val="single" w:sz="8" w:space="0" w:color="auto"/>
            </w:tcBorders>
            <w:shd w:val="clear" w:color="000000" w:fill="D9D9D9"/>
            <w:vAlign w:val="center"/>
            <w:hideMark/>
          </w:tcPr>
          <w:p w14:paraId="2A6E18A9" w14:textId="77777777" w:rsidR="00612204" w:rsidRPr="003268F2" w:rsidRDefault="00612204" w:rsidP="009A133F">
            <w:pPr>
              <w:spacing w:before="0" w:after="0"/>
              <w:jc w:val="right"/>
              <w:rPr>
                <w:b/>
                <w:bCs/>
                <w:noProof/>
                <w:color w:val="000000"/>
                <w:sz w:val="20"/>
                <w:szCs w:val="20"/>
                <w:lang w:val="en-IE" w:eastAsia="en-IE"/>
              </w:rPr>
            </w:pPr>
            <w:r>
              <w:rPr>
                <w:b/>
                <w:bCs/>
                <w:noProof/>
                <w:color w:val="000000"/>
                <w:sz w:val="20"/>
                <w:szCs w:val="20"/>
              </w:rPr>
              <w:t>0,000</w:t>
            </w:r>
          </w:p>
        </w:tc>
        <w:tc>
          <w:tcPr>
            <w:tcW w:w="1129" w:type="dxa"/>
            <w:tcBorders>
              <w:top w:val="nil"/>
              <w:left w:val="nil"/>
              <w:bottom w:val="single" w:sz="8" w:space="0" w:color="auto"/>
              <w:right w:val="single" w:sz="8" w:space="0" w:color="auto"/>
            </w:tcBorders>
            <w:shd w:val="clear" w:color="000000" w:fill="D9D9D9"/>
            <w:vAlign w:val="center"/>
            <w:hideMark/>
          </w:tcPr>
          <w:p w14:paraId="5CB4E528" w14:textId="77777777" w:rsidR="00612204" w:rsidRPr="003268F2" w:rsidRDefault="00612204" w:rsidP="009A133F">
            <w:pPr>
              <w:spacing w:before="0" w:after="0"/>
              <w:jc w:val="right"/>
              <w:rPr>
                <w:b/>
                <w:bCs/>
                <w:noProof/>
                <w:color w:val="000000"/>
                <w:sz w:val="20"/>
                <w:szCs w:val="20"/>
                <w:lang w:val="en-IE" w:eastAsia="en-IE"/>
              </w:rPr>
            </w:pPr>
            <w:r>
              <w:rPr>
                <w:b/>
                <w:bCs/>
                <w:noProof/>
                <w:color w:val="000000"/>
                <w:sz w:val="20"/>
                <w:szCs w:val="20"/>
              </w:rPr>
              <w:t>5,741</w:t>
            </w:r>
          </w:p>
        </w:tc>
        <w:tc>
          <w:tcPr>
            <w:tcW w:w="1408" w:type="dxa"/>
            <w:tcBorders>
              <w:top w:val="nil"/>
              <w:left w:val="nil"/>
              <w:bottom w:val="single" w:sz="8" w:space="0" w:color="auto"/>
              <w:right w:val="single" w:sz="8" w:space="0" w:color="auto"/>
            </w:tcBorders>
            <w:shd w:val="clear" w:color="000000" w:fill="D9D9D9"/>
            <w:vAlign w:val="center"/>
            <w:hideMark/>
          </w:tcPr>
          <w:p w14:paraId="22C8209A" w14:textId="77777777" w:rsidR="00612204" w:rsidRPr="003268F2" w:rsidRDefault="00612204" w:rsidP="009A133F">
            <w:pPr>
              <w:spacing w:before="0" w:after="0"/>
              <w:jc w:val="right"/>
              <w:rPr>
                <w:b/>
                <w:bCs/>
                <w:noProof/>
                <w:color w:val="000000"/>
                <w:sz w:val="20"/>
                <w:szCs w:val="20"/>
                <w:lang w:val="en-IE" w:eastAsia="en-IE"/>
              </w:rPr>
            </w:pPr>
            <w:r>
              <w:rPr>
                <w:b/>
                <w:bCs/>
                <w:noProof/>
                <w:color w:val="000000"/>
                <w:sz w:val="20"/>
                <w:szCs w:val="20"/>
              </w:rPr>
              <w:t>5,741</w:t>
            </w:r>
          </w:p>
        </w:tc>
        <w:tc>
          <w:tcPr>
            <w:tcW w:w="1692" w:type="dxa"/>
            <w:tcBorders>
              <w:top w:val="nil"/>
              <w:left w:val="nil"/>
              <w:bottom w:val="single" w:sz="8" w:space="0" w:color="auto"/>
              <w:right w:val="single" w:sz="8" w:space="0" w:color="auto"/>
            </w:tcBorders>
            <w:shd w:val="clear" w:color="000000" w:fill="D9D9D9"/>
            <w:vAlign w:val="center"/>
          </w:tcPr>
          <w:p w14:paraId="72976B17" w14:textId="77777777" w:rsidR="00612204" w:rsidRDefault="00612204" w:rsidP="009A133F">
            <w:pPr>
              <w:spacing w:before="0" w:after="0"/>
              <w:jc w:val="right"/>
              <w:rPr>
                <w:b/>
                <w:bCs/>
                <w:noProof/>
                <w:color w:val="000000"/>
                <w:sz w:val="20"/>
                <w:szCs w:val="20"/>
                <w:lang w:val="en-IE" w:eastAsia="en-IE"/>
              </w:rPr>
            </w:pPr>
            <w:r>
              <w:rPr>
                <w:b/>
                <w:bCs/>
                <w:noProof/>
                <w:color w:val="000000"/>
                <w:sz w:val="20"/>
                <w:szCs w:val="20"/>
              </w:rPr>
              <w:t>18,326</w:t>
            </w:r>
          </w:p>
        </w:tc>
      </w:tr>
      <w:tr w:rsidR="00612204" w:rsidRPr="003268F2" w14:paraId="4714C092" w14:textId="77777777" w:rsidTr="00612204">
        <w:trPr>
          <w:trHeight w:val="706"/>
        </w:trPr>
        <w:tc>
          <w:tcPr>
            <w:tcW w:w="4305" w:type="dxa"/>
            <w:tcBorders>
              <w:top w:val="nil"/>
              <w:left w:val="single" w:sz="8" w:space="0" w:color="auto"/>
              <w:bottom w:val="single" w:sz="8" w:space="0" w:color="auto"/>
              <w:right w:val="single" w:sz="8" w:space="0" w:color="auto"/>
            </w:tcBorders>
            <w:shd w:val="thinDiagStripe" w:color="C0C0C0" w:fill="F1F1F1"/>
            <w:vAlign w:val="center"/>
            <w:hideMark/>
          </w:tcPr>
          <w:p w14:paraId="771DC163" w14:textId="77777777" w:rsidR="00612204" w:rsidRPr="003268F2" w:rsidRDefault="00612204" w:rsidP="009A133F">
            <w:pPr>
              <w:spacing w:before="0" w:after="0"/>
              <w:jc w:val="center"/>
              <w:rPr>
                <w:noProof/>
                <w:color w:val="000000"/>
                <w:sz w:val="20"/>
                <w:szCs w:val="20"/>
                <w:lang w:val="en-IE" w:eastAsia="en-IE"/>
              </w:rPr>
            </w:pPr>
            <w:r w:rsidRPr="003268F2">
              <w:rPr>
                <w:noProof/>
                <w:color w:val="000000"/>
                <w:sz w:val="20"/>
                <w:szCs w:val="20"/>
                <w:lang w:val="en-IE" w:eastAsia="en-IE"/>
              </w:rPr>
              <w:t>of the multiannual financial framework</w:t>
            </w:r>
            <w:r w:rsidRPr="003268F2">
              <w:rPr>
                <w:noProof/>
                <w:color w:val="000000"/>
                <w:sz w:val="20"/>
                <w:szCs w:val="20"/>
                <w:lang w:val="en-IE" w:eastAsia="en-IE"/>
              </w:rPr>
              <w:br/>
              <w:t>(Reference amount)</w:t>
            </w:r>
          </w:p>
        </w:tc>
        <w:tc>
          <w:tcPr>
            <w:tcW w:w="1339" w:type="dxa"/>
            <w:tcBorders>
              <w:top w:val="nil"/>
              <w:left w:val="nil"/>
              <w:bottom w:val="single" w:sz="8" w:space="0" w:color="auto"/>
              <w:right w:val="single" w:sz="8" w:space="0" w:color="auto"/>
            </w:tcBorders>
            <w:vAlign w:val="center"/>
            <w:hideMark/>
          </w:tcPr>
          <w:p w14:paraId="4B90DA84" w14:textId="77777777" w:rsidR="00612204" w:rsidRPr="003268F2" w:rsidRDefault="00612204" w:rsidP="009A133F">
            <w:pPr>
              <w:spacing w:before="0" w:after="0"/>
              <w:rPr>
                <w:noProof/>
                <w:color w:val="000000"/>
                <w:sz w:val="18"/>
                <w:szCs w:val="18"/>
                <w:lang w:val="en-IE" w:eastAsia="en-IE"/>
              </w:rPr>
            </w:pPr>
            <w:r w:rsidRPr="003268F2">
              <w:rPr>
                <w:noProof/>
                <w:color w:val="000000"/>
                <w:sz w:val="18"/>
                <w:szCs w:val="18"/>
                <w:lang w:val="en-IE" w:eastAsia="en-IE"/>
              </w:rPr>
              <w:t>Payments</w:t>
            </w:r>
          </w:p>
        </w:tc>
        <w:tc>
          <w:tcPr>
            <w:tcW w:w="1550" w:type="dxa"/>
            <w:gridSpan w:val="2"/>
            <w:tcBorders>
              <w:top w:val="single" w:sz="8" w:space="0" w:color="auto"/>
              <w:left w:val="nil"/>
              <w:bottom w:val="single" w:sz="8" w:space="0" w:color="auto"/>
              <w:right w:val="single" w:sz="8" w:space="0" w:color="000000"/>
            </w:tcBorders>
            <w:vAlign w:val="center"/>
            <w:hideMark/>
          </w:tcPr>
          <w:p w14:paraId="0F1BD4FF" w14:textId="77777777" w:rsidR="00612204" w:rsidRPr="003268F2" w:rsidRDefault="00612204" w:rsidP="009A133F">
            <w:pPr>
              <w:spacing w:before="0" w:after="0"/>
              <w:jc w:val="center"/>
              <w:rPr>
                <w:noProof/>
                <w:color w:val="000000"/>
                <w:sz w:val="14"/>
                <w:szCs w:val="14"/>
                <w:lang w:val="en-IE" w:eastAsia="en-IE"/>
              </w:rPr>
            </w:pPr>
            <w:r w:rsidRPr="003268F2">
              <w:rPr>
                <w:noProof/>
                <w:color w:val="000000"/>
                <w:sz w:val="14"/>
                <w:szCs w:val="14"/>
                <w:lang w:val="en-IE" w:eastAsia="en-IE"/>
              </w:rPr>
              <w:t>=5+6</w:t>
            </w:r>
          </w:p>
        </w:tc>
        <w:tc>
          <w:tcPr>
            <w:tcW w:w="1101" w:type="dxa"/>
            <w:tcBorders>
              <w:top w:val="nil"/>
              <w:left w:val="nil"/>
              <w:bottom w:val="single" w:sz="8" w:space="0" w:color="auto"/>
              <w:right w:val="single" w:sz="8" w:space="0" w:color="auto"/>
            </w:tcBorders>
            <w:shd w:val="clear" w:color="000000" w:fill="D9D9D9"/>
            <w:vAlign w:val="center"/>
            <w:hideMark/>
          </w:tcPr>
          <w:p w14:paraId="39C6E259" w14:textId="77777777" w:rsidR="00612204" w:rsidRPr="003268F2" w:rsidRDefault="00612204" w:rsidP="009A133F">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848" w:type="dxa"/>
            <w:tcBorders>
              <w:top w:val="nil"/>
              <w:left w:val="nil"/>
              <w:bottom w:val="single" w:sz="8" w:space="0" w:color="auto"/>
              <w:right w:val="single" w:sz="8" w:space="0" w:color="auto"/>
            </w:tcBorders>
            <w:shd w:val="clear" w:color="000000" w:fill="D9D9D9"/>
            <w:vAlign w:val="center"/>
            <w:hideMark/>
          </w:tcPr>
          <w:p w14:paraId="1DE65483" w14:textId="77777777" w:rsidR="00612204" w:rsidRPr="003268F2" w:rsidRDefault="00612204" w:rsidP="009A133F">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848" w:type="dxa"/>
            <w:tcBorders>
              <w:top w:val="nil"/>
              <w:left w:val="nil"/>
              <w:bottom w:val="single" w:sz="8" w:space="0" w:color="auto"/>
              <w:right w:val="single" w:sz="8" w:space="0" w:color="auto"/>
            </w:tcBorders>
            <w:shd w:val="clear" w:color="000000" w:fill="D9D9D9"/>
            <w:vAlign w:val="center"/>
            <w:hideMark/>
          </w:tcPr>
          <w:p w14:paraId="2844F9D0" w14:textId="77777777" w:rsidR="00612204" w:rsidRPr="003268F2" w:rsidRDefault="00612204" w:rsidP="009A133F">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1129" w:type="dxa"/>
            <w:tcBorders>
              <w:top w:val="nil"/>
              <w:left w:val="nil"/>
              <w:bottom w:val="single" w:sz="8" w:space="0" w:color="auto"/>
              <w:right w:val="single" w:sz="8" w:space="0" w:color="auto"/>
            </w:tcBorders>
            <w:shd w:val="clear" w:color="000000" w:fill="D9D9D9"/>
            <w:vAlign w:val="center"/>
            <w:hideMark/>
          </w:tcPr>
          <w:p w14:paraId="79305A54" w14:textId="77777777" w:rsidR="00612204" w:rsidRPr="003268F2" w:rsidRDefault="00612204" w:rsidP="009A133F">
            <w:pPr>
              <w:spacing w:before="0" w:after="0"/>
              <w:jc w:val="right"/>
              <w:rPr>
                <w:b/>
                <w:bCs/>
                <w:noProof/>
                <w:color w:val="000000"/>
                <w:sz w:val="20"/>
                <w:szCs w:val="20"/>
                <w:lang w:val="en-IE" w:eastAsia="en-IE"/>
              </w:rPr>
            </w:pPr>
            <w:r>
              <w:rPr>
                <w:b/>
                <w:bCs/>
                <w:noProof/>
                <w:color w:val="000000"/>
                <w:sz w:val="20"/>
                <w:szCs w:val="20"/>
                <w:lang w:eastAsia="en-IE"/>
              </w:rPr>
              <w:t>4,741</w:t>
            </w:r>
          </w:p>
        </w:tc>
        <w:tc>
          <w:tcPr>
            <w:tcW w:w="1408" w:type="dxa"/>
            <w:tcBorders>
              <w:top w:val="nil"/>
              <w:left w:val="nil"/>
              <w:bottom w:val="single" w:sz="8" w:space="0" w:color="auto"/>
              <w:right w:val="single" w:sz="8" w:space="0" w:color="auto"/>
            </w:tcBorders>
            <w:shd w:val="clear" w:color="000000" w:fill="D9D9D9"/>
            <w:vAlign w:val="center"/>
            <w:hideMark/>
          </w:tcPr>
          <w:p w14:paraId="4F064A71" w14:textId="77777777" w:rsidR="00612204" w:rsidRPr="003268F2" w:rsidRDefault="00612204" w:rsidP="009A133F">
            <w:pPr>
              <w:spacing w:before="0" w:after="0"/>
              <w:jc w:val="right"/>
              <w:rPr>
                <w:b/>
                <w:bCs/>
                <w:noProof/>
                <w:color w:val="000000"/>
                <w:sz w:val="20"/>
                <w:szCs w:val="20"/>
                <w:lang w:val="en-IE" w:eastAsia="en-IE"/>
              </w:rPr>
            </w:pPr>
            <w:r>
              <w:rPr>
                <w:b/>
                <w:bCs/>
                <w:noProof/>
                <w:color w:val="000000"/>
                <w:sz w:val="20"/>
                <w:szCs w:val="20"/>
                <w:lang w:eastAsia="en-IE"/>
              </w:rPr>
              <w:t>4,741</w:t>
            </w:r>
          </w:p>
        </w:tc>
        <w:tc>
          <w:tcPr>
            <w:tcW w:w="1692" w:type="dxa"/>
            <w:tcBorders>
              <w:top w:val="nil"/>
              <w:left w:val="nil"/>
              <w:bottom w:val="single" w:sz="8" w:space="0" w:color="auto"/>
              <w:right w:val="single" w:sz="8" w:space="0" w:color="auto"/>
            </w:tcBorders>
            <w:shd w:val="clear" w:color="000000" w:fill="D9D9D9"/>
            <w:vAlign w:val="center"/>
          </w:tcPr>
          <w:p w14:paraId="3F62A9B1" w14:textId="77777777" w:rsidR="00612204" w:rsidRDefault="00612204" w:rsidP="009A133F">
            <w:pPr>
              <w:spacing w:before="0" w:after="0"/>
              <w:jc w:val="right"/>
              <w:rPr>
                <w:b/>
                <w:bCs/>
                <w:noProof/>
                <w:color w:val="000000"/>
                <w:sz w:val="20"/>
                <w:szCs w:val="20"/>
                <w:lang w:val="en-IE" w:eastAsia="en-IE"/>
              </w:rPr>
            </w:pPr>
            <w:r>
              <w:rPr>
                <w:b/>
                <w:bCs/>
                <w:noProof/>
                <w:color w:val="000000"/>
                <w:sz w:val="20"/>
                <w:szCs w:val="20"/>
              </w:rPr>
              <w:t>19,326</w:t>
            </w:r>
          </w:p>
        </w:tc>
      </w:tr>
    </w:tbl>
    <w:p w14:paraId="022C6FA5" w14:textId="77777777" w:rsidR="00AF7A86" w:rsidRPr="00885EAD" w:rsidRDefault="00AF7A86" w:rsidP="00AF7A86">
      <w:pPr>
        <w:spacing w:after="40"/>
        <w:rPr>
          <w:rStyle w:val="Marker110000"/>
          <w:noProof/>
        </w:rPr>
      </w:pPr>
    </w:p>
    <w:p w14:paraId="7DC3AECE" w14:textId="77777777" w:rsidR="00AF7A86" w:rsidRDefault="00AF7A86" w:rsidP="00AF7A86">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AF7A86" w14:paraId="033ABBC7" w14:textId="77777777">
        <w:trPr>
          <w:jc w:val="center"/>
        </w:trPr>
        <w:tc>
          <w:tcPr>
            <w:tcW w:w="1739" w:type="pct"/>
            <w:shd w:val="thinDiagStripe" w:color="C0C0C0" w:fill="auto"/>
            <w:vAlign w:val="center"/>
          </w:tcPr>
          <w:p w14:paraId="571618F0" w14:textId="77777777" w:rsidR="00AF7A86" w:rsidRPr="003A769F" w:rsidRDefault="00AF7A86">
            <w:pPr>
              <w:spacing w:before="60" w:after="60"/>
              <w:jc w:val="center"/>
              <w:rPr>
                <w:b/>
                <w:noProof/>
                <w:lang w:val="en-IE"/>
              </w:rPr>
            </w:pPr>
            <w:r w:rsidRPr="003A769F">
              <w:rPr>
                <w:noProof/>
                <w:sz w:val="22"/>
                <w:lang w:val="en-IE"/>
              </w:rPr>
              <w:br w:type="page"/>
            </w:r>
            <w:r w:rsidRPr="003A769F">
              <w:rPr>
                <w:b/>
                <w:noProof/>
                <w:sz w:val="22"/>
                <w:lang w:val="en-IE"/>
              </w:rPr>
              <w:t xml:space="preserve">Heading of multiannual financial framework </w:t>
            </w:r>
          </w:p>
        </w:tc>
        <w:tc>
          <w:tcPr>
            <w:tcW w:w="396" w:type="pct"/>
            <w:shd w:val="thinDiagStripe" w:color="C0C0C0" w:fill="auto"/>
            <w:vAlign w:val="center"/>
          </w:tcPr>
          <w:p w14:paraId="05C78296" w14:textId="77777777" w:rsidR="00AF7A86" w:rsidRDefault="00AF7A86">
            <w:pPr>
              <w:spacing w:before="60" w:after="60"/>
              <w:jc w:val="center"/>
              <w:rPr>
                <w:noProof/>
              </w:rPr>
            </w:pPr>
            <w:r>
              <w:rPr>
                <w:b/>
                <w:noProof/>
                <w:sz w:val="22"/>
              </w:rPr>
              <w:t>7</w:t>
            </w:r>
          </w:p>
        </w:tc>
        <w:tc>
          <w:tcPr>
            <w:tcW w:w="2865" w:type="pct"/>
            <w:vAlign w:val="center"/>
          </w:tcPr>
          <w:p w14:paraId="51E96E56" w14:textId="77777777" w:rsidR="00AF7A86" w:rsidRDefault="00AF7A86">
            <w:pPr>
              <w:spacing w:before="60" w:after="60"/>
              <w:rPr>
                <w:noProof/>
              </w:rPr>
            </w:pPr>
            <w:r>
              <w:rPr>
                <w:noProof/>
                <w:sz w:val="22"/>
              </w:rPr>
              <w:t xml:space="preserve">‘Administrative expenditure’ </w:t>
            </w:r>
          </w:p>
        </w:tc>
      </w:tr>
    </w:tbl>
    <w:p w14:paraId="7F426F4C" w14:textId="77777777" w:rsidR="00AF7A86" w:rsidRPr="00A624CD" w:rsidRDefault="00AF7A86" w:rsidP="00AF7A86">
      <w:pPr>
        <w:spacing w:after="40"/>
        <w:rPr>
          <w:noProof/>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3592"/>
        <w:gridCol w:w="950"/>
        <w:gridCol w:w="953"/>
        <w:gridCol w:w="953"/>
        <w:gridCol w:w="1143"/>
        <w:gridCol w:w="1183"/>
        <w:gridCol w:w="1175"/>
      </w:tblGrid>
      <w:tr w:rsidR="00AF7A86" w:rsidRPr="003268F2" w14:paraId="243E547F" w14:textId="77777777">
        <w:trPr>
          <w:trHeight w:val="288"/>
        </w:trPr>
        <w:tc>
          <w:tcPr>
            <w:tcW w:w="2765" w:type="pct"/>
            <w:gridSpan w:val="2"/>
            <w:vMerge w:val="restart"/>
            <w:vAlign w:val="center"/>
            <w:hideMark/>
          </w:tcPr>
          <w:p w14:paraId="32B4A4AF" w14:textId="77777777" w:rsidR="00AF7A86" w:rsidRPr="003268F2" w:rsidRDefault="00AF7A86">
            <w:pPr>
              <w:spacing w:before="0" w:after="0"/>
              <w:jc w:val="center"/>
              <w:rPr>
                <w:noProof/>
                <w:color w:val="000000"/>
                <w:szCs w:val="24"/>
                <w:lang w:val="en-IE" w:eastAsia="en-IE"/>
              </w:rPr>
            </w:pPr>
            <w:r w:rsidRPr="003268F2">
              <w:rPr>
                <w:noProof/>
                <w:color w:val="000000"/>
                <w:szCs w:val="24"/>
                <w:lang w:val="en-IE" w:eastAsia="en-IE"/>
              </w:rPr>
              <w:t xml:space="preserve">DG: </w:t>
            </w:r>
            <w:r>
              <w:rPr>
                <w:noProof/>
                <w:color w:val="000000"/>
                <w:szCs w:val="24"/>
                <w:lang w:val="en-IE" w:eastAsia="en-IE"/>
              </w:rPr>
              <w:t>ENER</w:t>
            </w:r>
          </w:p>
        </w:tc>
        <w:tc>
          <w:tcPr>
            <w:tcW w:w="334" w:type="pct"/>
            <w:vAlign w:val="center"/>
            <w:hideMark/>
          </w:tcPr>
          <w:p w14:paraId="571E9188" w14:textId="77777777" w:rsidR="00AF7A86" w:rsidRPr="003268F2" w:rsidRDefault="00AF7A86">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35" w:type="pct"/>
            <w:vAlign w:val="center"/>
            <w:hideMark/>
          </w:tcPr>
          <w:p w14:paraId="4AC204F1" w14:textId="77777777" w:rsidR="00AF7A86" w:rsidRPr="003268F2" w:rsidRDefault="00AF7A86">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35" w:type="pct"/>
            <w:vAlign w:val="center"/>
            <w:hideMark/>
          </w:tcPr>
          <w:p w14:paraId="10447908" w14:textId="77777777" w:rsidR="00AF7A86" w:rsidRPr="003268F2" w:rsidRDefault="00AF7A86">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02" w:type="pct"/>
            <w:vAlign w:val="center"/>
            <w:hideMark/>
          </w:tcPr>
          <w:p w14:paraId="2DE3D577" w14:textId="77777777" w:rsidR="00AF7A86" w:rsidRPr="003268F2" w:rsidRDefault="00AF7A86">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16" w:type="pct"/>
            <w:vMerge w:val="restart"/>
            <w:vAlign w:val="center"/>
            <w:hideMark/>
          </w:tcPr>
          <w:p w14:paraId="1880FA7E" w14:textId="77777777" w:rsidR="00AF7A86" w:rsidRPr="003268F2" w:rsidRDefault="00AF7A86">
            <w:pPr>
              <w:spacing w:before="0" w:after="0"/>
              <w:jc w:val="center"/>
              <w:rPr>
                <w:b/>
                <w:bCs/>
                <w:noProof/>
                <w:color w:val="000000"/>
                <w:sz w:val="20"/>
                <w:szCs w:val="20"/>
                <w:lang w:val="en-IE" w:eastAsia="en-IE"/>
              </w:rPr>
            </w:pPr>
            <w:r w:rsidRPr="003268F2">
              <w:rPr>
                <w:b/>
                <w:bCs/>
                <w:noProof/>
                <w:color w:val="000000"/>
                <w:sz w:val="20"/>
                <w:szCs w:val="20"/>
                <w:lang w:val="en-IE" w:eastAsia="en-IE"/>
              </w:rPr>
              <w:t>TOTAL MFF</w:t>
            </w:r>
            <w:r>
              <w:rPr>
                <w:b/>
                <w:bCs/>
                <w:noProof/>
                <w:color w:val="000000"/>
                <w:sz w:val="20"/>
                <w:szCs w:val="20"/>
                <w:lang w:val="en-IE" w:eastAsia="en-IE"/>
              </w:rPr>
              <w:t xml:space="preserve"> </w:t>
            </w:r>
            <w:r w:rsidRPr="003268F2">
              <w:rPr>
                <w:b/>
                <w:bCs/>
                <w:noProof/>
                <w:color w:val="000000"/>
                <w:sz w:val="20"/>
                <w:szCs w:val="20"/>
                <w:lang w:val="en-IE" w:eastAsia="en-IE"/>
              </w:rPr>
              <w:t>2021-2027</w:t>
            </w:r>
            <w:r>
              <w:rPr>
                <w:rStyle w:val="FootnoteReference"/>
                <w:b/>
                <w:bCs/>
                <w:noProof/>
                <w:color w:val="000000"/>
                <w:sz w:val="20"/>
                <w:szCs w:val="20"/>
                <w:lang w:val="en-IE" w:eastAsia="en-IE"/>
              </w:rPr>
              <w:footnoteReference w:id="80"/>
            </w:r>
          </w:p>
        </w:tc>
        <w:tc>
          <w:tcPr>
            <w:tcW w:w="413" w:type="pct"/>
            <w:vMerge w:val="restart"/>
            <w:vAlign w:val="center"/>
          </w:tcPr>
          <w:p w14:paraId="27167975" w14:textId="77777777" w:rsidR="00AF7A86" w:rsidRDefault="00AF7A86">
            <w:pPr>
              <w:spacing w:before="0" w:after="0"/>
              <w:jc w:val="right"/>
              <w:rPr>
                <w:b/>
                <w:bCs/>
                <w:noProof/>
                <w:color w:val="000000"/>
                <w:sz w:val="20"/>
                <w:szCs w:val="20"/>
                <w:lang w:val="en-IE" w:eastAsia="en-IE"/>
              </w:rPr>
            </w:pPr>
            <w:r>
              <w:rPr>
                <w:b/>
                <w:bCs/>
                <w:noProof/>
                <w:color w:val="000000"/>
                <w:sz w:val="20"/>
                <w:szCs w:val="20"/>
                <w:lang w:val="en-IE" w:eastAsia="en-IE"/>
              </w:rPr>
              <w:t>POST 2027</w:t>
            </w:r>
          </w:p>
        </w:tc>
      </w:tr>
      <w:tr w:rsidR="00AF7A86" w:rsidRPr="003268F2" w14:paraId="3ABFD674" w14:textId="77777777">
        <w:trPr>
          <w:trHeight w:val="300"/>
        </w:trPr>
        <w:tc>
          <w:tcPr>
            <w:tcW w:w="2765" w:type="pct"/>
            <w:gridSpan w:val="2"/>
            <w:vMerge/>
            <w:vAlign w:val="center"/>
            <w:hideMark/>
          </w:tcPr>
          <w:p w14:paraId="063C618F" w14:textId="77777777" w:rsidR="00AF7A86" w:rsidRPr="003268F2" w:rsidRDefault="00AF7A86">
            <w:pPr>
              <w:spacing w:before="0" w:after="0"/>
              <w:jc w:val="left"/>
              <w:rPr>
                <w:noProof/>
                <w:color w:val="000000"/>
                <w:szCs w:val="24"/>
                <w:lang w:val="en-IE" w:eastAsia="en-IE"/>
              </w:rPr>
            </w:pPr>
          </w:p>
        </w:tc>
        <w:tc>
          <w:tcPr>
            <w:tcW w:w="334" w:type="pct"/>
            <w:vAlign w:val="center"/>
            <w:hideMark/>
          </w:tcPr>
          <w:p w14:paraId="5577611F" w14:textId="77777777" w:rsidR="00AF7A86" w:rsidRPr="003268F2" w:rsidRDefault="00AF7A86">
            <w:pPr>
              <w:spacing w:before="0" w:after="0"/>
              <w:jc w:val="center"/>
              <w:rPr>
                <w:b/>
                <w:bCs/>
                <w:noProof/>
                <w:color w:val="000000"/>
                <w:sz w:val="20"/>
                <w:szCs w:val="20"/>
                <w:lang w:val="en-IE" w:eastAsia="en-IE"/>
              </w:rPr>
            </w:pPr>
            <w:r w:rsidRPr="003268F2">
              <w:rPr>
                <w:b/>
                <w:bCs/>
                <w:noProof/>
                <w:color w:val="000000"/>
                <w:sz w:val="20"/>
                <w:szCs w:val="20"/>
                <w:lang w:val="en-IE" w:eastAsia="en-IE"/>
              </w:rPr>
              <w:t>2024</w:t>
            </w:r>
          </w:p>
        </w:tc>
        <w:tc>
          <w:tcPr>
            <w:tcW w:w="335" w:type="pct"/>
            <w:vAlign w:val="center"/>
            <w:hideMark/>
          </w:tcPr>
          <w:p w14:paraId="5FD5C89D" w14:textId="77777777" w:rsidR="00AF7A86" w:rsidRPr="003268F2" w:rsidRDefault="00AF7A86">
            <w:pPr>
              <w:spacing w:before="0" w:after="0"/>
              <w:jc w:val="center"/>
              <w:rPr>
                <w:b/>
                <w:bCs/>
                <w:noProof/>
                <w:color w:val="000000"/>
                <w:sz w:val="20"/>
                <w:szCs w:val="20"/>
                <w:lang w:val="en-IE" w:eastAsia="en-IE"/>
              </w:rPr>
            </w:pPr>
            <w:r w:rsidRPr="003268F2">
              <w:rPr>
                <w:b/>
                <w:bCs/>
                <w:noProof/>
                <w:color w:val="000000"/>
                <w:sz w:val="20"/>
                <w:szCs w:val="20"/>
                <w:lang w:val="en-IE" w:eastAsia="en-IE"/>
              </w:rPr>
              <w:t>2025</w:t>
            </w:r>
          </w:p>
        </w:tc>
        <w:tc>
          <w:tcPr>
            <w:tcW w:w="335" w:type="pct"/>
            <w:vAlign w:val="center"/>
            <w:hideMark/>
          </w:tcPr>
          <w:p w14:paraId="277E0D86" w14:textId="77777777" w:rsidR="00AF7A86" w:rsidRPr="003268F2" w:rsidRDefault="00AF7A86">
            <w:pPr>
              <w:spacing w:before="0" w:after="0"/>
              <w:jc w:val="center"/>
              <w:rPr>
                <w:b/>
                <w:bCs/>
                <w:noProof/>
                <w:color w:val="000000"/>
                <w:sz w:val="20"/>
                <w:szCs w:val="20"/>
                <w:lang w:val="en-IE" w:eastAsia="en-IE"/>
              </w:rPr>
            </w:pPr>
            <w:r w:rsidRPr="003268F2">
              <w:rPr>
                <w:b/>
                <w:bCs/>
                <w:noProof/>
                <w:color w:val="000000"/>
                <w:sz w:val="20"/>
                <w:szCs w:val="20"/>
                <w:lang w:val="en-IE" w:eastAsia="en-IE"/>
              </w:rPr>
              <w:t>2026</w:t>
            </w:r>
          </w:p>
        </w:tc>
        <w:tc>
          <w:tcPr>
            <w:tcW w:w="402" w:type="pct"/>
            <w:vAlign w:val="center"/>
            <w:hideMark/>
          </w:tcPr>
          <w:p w14:paraId="29D98308" w14:textId="77777777" w:rsidR="00AF7A86" w:rsidRPr="003268F2" w:rsidRDefault="00AF7A86">
            <w:pPr>
              <w:spacing w:before="0" w:after="0"/>
              <w:jc w:val="center"/>
              <w:rPr>
                <w:b/>
                <w:bCs/>
                <w:noProof/>
                <w:color w:val="000000"/>
                <w:sz w:val="20"/>
                <w:szCs w:val="20"/>
                <w:lang w:val="en-IE" w:eastAsia="en-IE"/>
              </w:rPr>
            </w:pPr>
            <w:r w:rsidRPr="003268F2">
              <w:rPr>
                <w:b/>
                <w:bCs/>
                <w:noProof/>
                <w:color w:val="000000"/>
                <w:sz w:val="20"/>
                <w:szCs w:val="20"/>
                <w:lang w:val="en-IE" w:eastAsia="en-IE"/>
              </w:rPr>
              <w:t>2027</w:t>
            </w:r>
          </w:p>
        </w:tc>
        <w:tc>
          <w:tcPr>
            <w:tcW w:w="416" w:type="pct"/>
            <w:vMerge/>
            <w:vAlign w:val="center"/>
            <w:hideMark/>
          </w:tcPr>
          <w:p w14:paraId="188489F9" w14:textId="77777777" w:rsidR="00AF7A86" w:rsidRPr="003268F2" w:rsidRDefault="00AF7A86">
            <w:pPr>
              <w:spacing w:before="0" w:after="0"/>
              <w:jc w:val="left"/>
              <w:rPr>
                <w:b/>
                <w:bCs/>
                <w:noProof/>
                <w:color w:val="000000"/>
                <w:sz w:val="20"/>
                <w:szCs w:val="20"/>
                <w:lang w:val="en-IE" w:eastAsia="en-IE"/>
              </w:rPr>
            </w:pPr>
          </w:p>
        </w:tc>
        <w:tc>
          <w:tcPr>
            <w:tcW w:w="413" w:type="pct"/>
            <w:vMerge/>
            <w:vAlign w:val="center"/>
          </w:tcPr>
          <w:p w14:paraId="2FADD48C" w14:textId="77777777" w:rsidR="00AF7A86" w:rsidRPr="003268F2" w:rsidRDefault="00AF7A86">
            <w:pPr>
              <w:spacing w:before="0" w:after="0"/>
              <w:jc w:val="right"/>
              <w:rPr>
                <w:b/>
                <w:bCs/>
                <w:noProof/>
                <w:color w:val="000000"/>
                <w:sz w:val="20"/>
                <w:szCs w:val="20"/>
                <w:lang w:val="en-IE" w:eastAsia="en-IE"/>
              </w:rPr>
            </w:pPr>
          </w:p>
        </w:tc>
      </w:tr>
      <w:tr w:rsidR="00AF7A86" w:rsidRPr="003268F2" w14:paraId="36E00A60" w14:textId="77777777">
        <w:trPr>
          <w:trHeight w:val="300"/>
        </w:trPr>
        <w:tc>
          <w:tcPr>
            <w:tcW w:w="2765" w:type="pct"/>
            <w:gridSpan w:val="2"/>
            <w:vAlign w:val="center"/>
            <w:hideMark/>
          </w:tcPr>
          <w:p w14:paraId="6C92E094" w14:textId="77777777" w:rsidR="00AF7A86" w:rsidRPr="003268F2" w:rsidRDefault="00AF7A86">
            <w:pPr>
              <w:spacing w:before="0" w:after="0"/>
              <w:jc w:val="left"/>
              <w:rPr>
                <w:rFonts w:ascii="Wingdings" w:hAnsi="Wingdings" w:cs="Calibri"/>
                <w:noProof/>
                <w:color w:val="000000"/>
                <w:sz w:val="22"/>
                <w:lang w:val="en-IE" w:eastAsia="en-IE"/>
              </w:rPr>
            </w:pPr>
            <w:r w:rsidRPr="003268F2">
              <w:rPr>
                <w:rFonts w:ascii="Wingdings" w:hAnsi="Wingdings" w:cs="Calibri"/>
                <w:noProof/>
                <w:color w:val="000000"/>
                <w:sz w:val="22"/>
                <w:lang w:val="en-IE" w:eastAsia="en-IE"/>
              </w:rPr>
              <w:t></w:t>
            </w:r>
            <w:r w:rsidRPr="003268F2">
              <w:rPr>
                <w:noProof/>
                <w:color w:val="000000"/>
                <w:sz w:val="22"/>
                <w:lang w:val="en-IE" w:eastAsia="en-IE"/>
              </w:rPr>
              <w:t xml:space="preserve"> Human resources </w:t>
            </w:r>
          </w:p>
        </w:tc>
        <w:tc>
          <w:tcPr>
            <w:tcW w:w="334" w:type="pct"/>
            <w:shd w:val="clear" w:color="auto" w:fill="D9D9D9" w:themeFill="background1" w:themeFillShade="D9"/>
            <w:vAlign w:val="center"/>
            <w:hideMark/>
          </w:tcPr>
          <w:p w14:paraId="59BE6FB2" w14:textId="77777777" w:rsidR="00AF7A86" w:rsidRPr="003268F2" w:rsidRDefault="00AF7A86">
            <w:pPr>
              <w:spacing w:before="0" w:after="0"/>
              <w:jc w:val="right"/>
              <w:rPr>
                <w:noProof/>
                <w:color w:val="000000"/>
                <w:sz w:val="20"/>
                <w:szCs w:val="20"/>
                <w:lang w:val="en-IE" w:eastAsia="en-IE"/>
              </w:rPr>
            </w:pPr>
            <w:r>
              <w:rPr>
                <w:noProof/>
                <w:color w:val="000000"/>
                <w:sz w:val="20"/>
                <w:szCs w:val="20"/>
              </w:rPr>
              <w:t>0,000</w:t>
            </w:r>
          </w:p>
        </w:tc>
        <w:tc>
          <w:tcPr>
            <w:tcW w:w="335" w:type="pct"/>
            <w:shd w:val="clear" w:color="auto" w:fill="D9D9D9" w:themeFill="background1" w:themeFillShade="D9"/>
            <w:vAlign w:val="center"/>
            <w:hideMark/>
          </w:tcPr>
          <w:p w14:paraId="79CFE916" w14:textId="77777777" w:rsidR="00AF7A86" w:rsidRPr="003268F2" w:rsidRDefault="00AF7A86">
            <w:pPr>
              <w:spacing w:before="0" w:after="0"/>
              <w:jc w:val="right"/>
              <w:rPr>
                <w:noProof/>
                <w:color w:val="000000"/>
                <w:sz w:val="20"/>
                <w:szCs w:val="20"/>
                <w:lang w:val="en-IE" w:eastAsia="en-IE"/>
              </w:rPr>
            </w:pPr>
            <w:r>
              <w:rPr>
                <w:noProof/>
                <w:color w:val="000000"/>
                <w:sz w:val="20"/>
                <w:szCs w:val="20"/>
              </w:rPr>
              <w:t>0,000</w:t>
            </w:r>
          </w:p>
        </w:tc>
        <w:tc>
          <w:tcPr>
            <w:tcW w:w="335" w:type="pct"/>
            <w:shd w:val="clear" w:color="auto" w:fill="D9D9D9" w:themeFill="background1" w:themeFillShade="D9"/>
            <w:vAlign w:val="center"/>
            <w:hideMark/>
          </w:tcPr>
          <w:p w14:paraId="382DE0A3" w14:textId="77777777" w:rsidR="00AF7A86" w:rsidRPr="003268F2" w:rsidRDefault="00AF7A86">
            <w:pPr>
              <w:spacing w:before="0" w:after="0"/>
              <w:jc w:val="right"/>
              <w:rPr>
                <w:noProof/>
                <w:color w:val="000000"/>
                <w:sz w:val="20"/>
                <w:szCs w:val="20"/>
                <w:lang w:val="en-IE" w:eastAsia="en-IE"/>
              </w:rPr>
            </w:pPr>
            <w:r>
              <w:rPr>
                <w:noProof/>
                <w:color w:val="000000"/>
                <w:sz w:val="20"/>
                <w:szCs w:val="20"/>
              </w:rPr>
              <w:t>0,000</w:t>
            </w:r>
          </w:p>
        </w:tc>
        <w:tc>
          <w:tcPr>
            <w:tcW w:w="402" w:type="pct"/>
            <w:shd w:val="clear" w:color="auto" w:fill="D9D9D9" w:themeFill="background1" w:themeFillShade="D9"/>
            <w:vAlign w:val="center"/>
            <w:hideMark/>
          </w:tcPr>
          <w:p w14:paraId="530F9991" w14:textId="77777777" w:rsidR="00AF7A86" w:rsidRPr="003268F2" w:rsidRDefault="00AF7A86">
            <w:pPr>
              <w:pStyle w:val="LegalNumPar"/>
              <w:numPr>
                <w:ilvl w:val="0"/>
                <w:numId w:val="0"/>
              </w:numPr>
              <w:ind w:left="476"/>
              <w:rPr>
                <w:noProof/>
                <w:lang w:val="en-IE"/>
              </w:rPr>
            </w:pPr>
            <w:r>
              <w:rPr>
                <w:noProof/>
                <w:color w:val="000000"/>
                <w:sz w:val="20"/>
                <w:szCs w:val="20"/>
              </w:rPr>
              <w:t>0,376</w:t>
            </w:r>
          </w:p>
        </w:tc>
        <w:tc>
          <w:tcPr>
            <w:tcW w:w="416" w:type="pct"/>
            <w:shd w:val="clear" w:color="auto" w:fill="D9D9D9" w:themeFill="background1" w:themeFillShade="D9"/>
            <w:vAlign w:val="center"/>
            <w:hideMark/>
          </w:tcPr>
          <w:p w14:paraId="18832D0A" w14:textId="77777777" w:rsidR="00AF7A86" w:rsidRPr="003268F2" w:rsidRDefault="00AF7A86">
            <w:pPr>
              <w:spacing w:before="0" w:after="0"/>
              <w:jc w:val="right"/>
              <w:rPr>
                <w:b/>
                <w:bCs/>
                <w:noProof/>
                <w:color w:val="000000"/>
                <w:sz w:val="20"/>
                <w:szCs w:val="20"/>
                <w:lang w:val="en-IE" w:eastAsia="en-IE"/>
              </w:rPr>
            </w:pPr>
            <w:r>
              <w:rPr>
                <w:b/>
                <w:bCs/>
                <w:noProof/>
                <w:color w:val="000000"/>
                <w:sz w:val="20"/>
                <w:szCs w:val="20"/>
              </w:rPr>
              <w:t>0,376</w:t>
            </w:r>
          </w:p>
        </w:tc>
        <w:tc>
          <w:tcPr>
            <w:tcW w:w="413" w:type="pct"/>
            <w:shd w:val="clear" w:color="auto" w:fill="D9D9D9" w:themeFill="background1" w:themeFillShade="D9"/>
            <w:vAlign w:val="center"/>
          </w:tcPr>
          <w:p w14:paraId="7B63988B" w14:textId="77777777" w:rsidR="00AF7A86" w:rsidRDefault="00AF7A86">
            <w:pPr>
              <w:spacing w:before="0" w:after="0"/>
              <w:jc w:val="right"/>
              <w:rPr>
                <w:b/>
                <w:bCs/>
                <w:noProof/>
                <w:color w:val="000000"/>
                <w:sz w:val="20"/>
                <w:szCs w:val="20"/>
                <w:lang w:val="en-IE" w:eastAsia="en-IE"/>
              </w:rPr>
            </w:pPr>
            <w:r w:rsidRPr="00294FF9">
              <w:rPr>
                <w:rFonts w:ascii="Arial Narrow" w:eastAsia="Times New Roman" w:hAnsi="Arial Narrow" w:cs="Calibri"/>
                <w:noProof/>
                <w:color w:val="000000"/>
                <w:sz w:val="20"/>
                <w:szCs w:val="20"/>
                <w:lang w:val="en-IE" w:eastAsia="en-IE"/>
              </w:rPr>
              <w:t>2</w:t>
            </w:r>
            <w:r>
              <w:rPr>
                <w:rFonts w:ascii="Arial Narrow" w:eastAsia="Times New Roman" w:hAnsi="Arial Narrow" w:cs="Calibri"/>
                <w:noProof/>
                <w:color w:val="000000"/>
                <w:sz w:val="20"/>
                <w:szCs w:val="20"/>
                <w:lang w:val="en-IE" w:eastAsia="en-IE"/>
              </w:rPr>
              <w:t>,</w:t>
            </w:r>
            <w:r w:rsidRPr="00294FF9">
              <w:rPr>
                <w:rFonts w:ascii="Arial Narrow" w:eastAsia="Times New Roman" w:hAnsi="Arial Narrow" w:cs="Calibri"/>
                <w:noProof/>
                <w:color w:val="000000"/>
                <w:sz w:val="20"/>
                <w:szCs w:val="20"/>
                <w:lang w:val="en-IE" w:eastAsia="en-IE"/>
              </w:rPr>
              <w:t>632</w:t>
            </w:r>
          </w:p>
        </w:tc>
      </w:tr>
      <w:tr w:rsidR="00AF7A86" w:rsidRPr="003268F2" w14:paraId="2645CCA3" w14:textId="77777777">
        <w:trPr>
          <w:trHeight w:val="300"/>
        </w:trPr>
        <w:tc>
          <w:tcPr>
            <w:tcW w:w="2765" w:type="pct"/>
            <w:gridSpan w:val="2"/>
            <w:vAlign w:val="center"/>
            <w:hideMark/>
          </w:tcPr>
          <w:p w14:paraId="4BFAE4B5" w14:textId="77777777" w:rsidR="00AF7A86" w:rsidRPr="003268F2" w:rsidRDefault="00AF7A86">
            <w:pPr>
              <w:spacing w:before="0" w:after="0"/>
              <w:jc w:val="left"/>
              <w:rPr>
                <w:rFonts w:ascii="Wingdings" w:hAnsi="Wingdings" w:cs="Calibri"/>
                <w:noProof/>
                <w:color w:val="000000"/>
                <w:sz w:val="22"/>
                <w:lang w:val="en-IE" w:eastAsia="en-IE"/>
              </w:rPr>
            </w:pPr>
            <w:r w:rsidRPr="003268F2">
              <w:rPr>
                <w:rFonts w:ascii="Wingdings" w:hAnsi="Wingdings" w:cs="Calibri"/>
                <w:noProof/>
                <w:color w:val="000000"/>
                <w:sz w:val="22"/>
                <w:lang w:val="en-IE" w:eastAsia="en-IE"/>
              </w:rPr>
              <w:t></w:t>
            </w:r>
            <w:r w:rsidRPr="003268F2">
              <w:rPr>
                <w:noProof/>
                <w:color w:val="000000"/>
                <w:sz w:val="22"/>
                <w:lang w:val="en-IE" w:eastAsia="en-IE"/>
              </w:rPr>
              <w:t xml:space="preserve"> Other administrative expenditure </w:t>
            </w:r>
          </w:p>
        </w:tc>
        <w:tc>
          <w:tcPr>
            <w:tcW w:w="334" w:type="pct"/>
            <w:shd w:val="clear" w:color="auto" w:fill="D9D9D9" w:themeFill="background1" w:themeFillShade="D9"/>
            <w:vAlign w:val="center"/>
            <w:hideMark/>
          </w:tcPr>
          <w:p w14:paraId="7324D9CE" w14:textId="77777777" w:rsidR="00AF7A86" w:rsidRPr="003268F2" w:rsidRDefault="00AF7A86">
            <w:pPr>
              <w:spacing w:before="0" w:after="0"/>
              <w:jc w:val="right"/>
              <w:rPr>
                <w:noProof/>
                <w:color w:val="000000"/>
                <w:sz w:val="20"/>
                <w:szCs w:val="20"/>
                <w:lang w:val="en-IE" w:eastAsia="en-IE"/>
              </w:rPr>
            </w:pPr>
            <w:r>
              <w:rPr>
                <w:noProof/>
                <w:color w:val="000000"/>
                <w:sz w:val="20"/>
                <w:szCs w:val="20"/>
              </w:rPr>
              <w:t>0,000</w:t>
            </w:r>
          </w:p>
        </w:tc>
        <w:tc>
          <w:tcPr>
            <w:tcW w:w="335" w:type="pct"/>
            <w:shd w:val="clear" w:color="auto" w:fill="D9D9D9" w:themeFill="background1" w:themeFillShade="D9"/>
            <w:vAlign w:val="center"/>
            <w:hideMark/>
          </w:tcPr>
          <w:p w14:paraId="67C49CCF" w14:textId="77777777" w:rsidR="00AF7A86" w:rsidRPr="003268F2" w:rsidRDefault="00AF7A86">
            <w:pPr>
              <w:spacing w:before="0" w:after="0"/>
              <w:jc w:val="right"/>
              <w:rPr>
                <w:noProof/>
                <w:color w:val="000000"/>
                <w:sz w:val="20"/>
                <w:szCs w:val="20"/>
                <w:lang w:val="en-IE" w:eastAsia="en-IE"/>
              </w:rPr>
            </w:pPr>
            <w:r>
              <w:rPr>
                <w:noProof/>
                <w:color w:val="000000"/>
                <w:sz w:val="20"/>
                <w:szCs w:val="20"/>
              </w:rPr>
              <w:t>0,000</w:t>
            </w:r>
          </w:p>
        </w:tc>
        <w:tc>
          <w:tcPr>
            <w:tcW w:w="335" w:type="pct"/>
            <w:shd w:val="clear" w:color="auto" w:fill="D9D9D9" w:themeFill="background1" w:themeFillShade="D9"/>
            <w:vAlign w:val="center"/>
            <w:hideMark/>
          </w:tcPr>
          <w:p w14:paraId="7CC09D78" w14:textId="77777777" w:rsidR="00AF7A86" w:rsidRPr="003268F2" w:rsidRDefault="00AF7A86">
            <w:pPr>
              <w:spacing w:before="0" w:after="0"/>
              <w:jc w:val="right"/>
              <w:rPr>
                <w:noProof/>
                <w:color w:val="000000"/>
                <w:sz w:val="20"/>
                <w:szCs w:val="20"/>
                <w:lang w:val="en-IE" w:eastAsia="en-IE"/>
              </w:rPr>
            </w:pPr>
            <w:r>
              <w:rPr>
                <w:noProof/>
                <w:color w:val="000000"/>
                <w:sz w:val="20"/>
                <w:szCs w:val="20"/>
              </w:rPr>
              <w:t>0,000</w:t>
            </w:r>
          </w:p>
        </w:tc>
        <w:tc>
          <w:tcPr>
            <w:tcW w:w="402" w:type="pct"/>
            <w:shd w:val="clear" w:color="auto" w:fill="D9D9D9" w:themeFill="background1" w:themeFillShade="D9"/>
            <w:vAlign w:val="center"/>
            <w:hideMark/>
          </w:tcPr>
          <w:p w14:paraId="0465F07F" w14:textId="77777777" w:rsidR="00AF7A86" w:rsidRPr="003268F2" w:rsidRDefault="00AF7A86">
            <w:pPr>
              <w:spacing w:before="0" w:after="0"/>
              <w:jc w:val="right"/>
              <w:rPr>
                <w:noProof/>
                <w:color w:val="000000"/>
                <w:sz w:val="20"/>
                <w:szCs w:val="20"/>
                <w:lang w:val="en-IE" w:eastAsia="en-IE"/>
              </w:rPr>
            </w:pPr>
            <w:r>
              <w:rPr>
                <w:noProof/>
                <w:color w:val="000000"/>
                <w:sz w:val="20"/>
                <w:szCs w:val="20"/>
              </w:rPr>
              <w:t>0,012</w:t>
            </w:r>
          </w:p>
        </w:tc>
        <w:tc>
          <w:tcPr>
            <w:tcW w:w="416" w:type="pct"/>
            <w:shd w:val="clear" w:color="auto" w:fill="D9D9D9" w:themeFill="background1" w:themeFillShade="D9"/>
            <w:vAlign w:val="center"/>
            <w:hideMark/>
          </w:tcPr>
          <w:p w14:paraId="55C7DAD4" w14:textId="77777777" w:rsidR="00AF7A86" w:rsidRPr="003268F2" w:rsidRDefault="00AF7A86">
            <w:pPr>
              <w:spacing w:before="0" w:after="0"/>
              <w:jc w:val="right"/>
              <w:rPr>
                <w:b/>
                <w:bCs/>
                <w:noProof/>
                <w:color w:val="000000"/>
                <w:sz w:val="20"/>
                <w:szCs w:val="20"/>
                <w:lang w:val="en-IE" w:eastAsia="en-IE"/>
              </w:rPr>
            </w:pPr>
            <w:r>
              <w:rPr>
                <w:b/>
                <w:bCs/>
                <w:noProof/>
                <w:color w:val="000000"/>
                <w:sz w:val="20"/>
                <w:szCs w:val="20"/>
              </w:rPr>
              <w:t>0,012</w:t>
            </w:r>
          </w:p>
        </w:tc>
        <w:tc>
          <w:tcPr>
            <w:tcW w:w="413" w:type="pct"/>
            <w:shd w:val="clear" w:color="auto" w:fill="D9D9D9" w:themeFill="background1" w:themeFillShade="D9"/>
            <w:vAlign w:val="center"/>
          </w:tcPr>
          <w:p w14:paraId="6F22D4AC" w14:textId="77777777" w:rsidR="00AF7A86" w:rsidRDefault="00AF7A86">
            <w:pPr>
              <w:spacing w:before="0" w:after="0"/>
              <w:jc w:val="right"/>
              <w:rPr>
                <w:b/>
                <w:noProof/>
                <w:color w:val="000000" w:themeColor="text1"/>
                <w:sz w:val="20"/>
                <w:szCs w:val="20"/>
                <w:lang w:val="en-IE" w:eastAsia="en-IE"/>
              </w:rPr>
            </w:pPr>
            <w:r>
              <w:rPr>
                <w:rFonts w:ascii="Arial Narrow" w:hAnsi="Arial Narrow" w:cs="Calibri"/>
                <w:noProof/>
                <w:color w:val="000000"/>
                <w:sz w:val="20"/>
                <w:szCs w:val="20"/>
              </w:rPr>
              <w:t>0,084</w:t>
            </w:r>
          </w:p>
        </w:tc>
      </w:tr>
      <w:tr w:rsidR="00AF7A86" w:rsidRPr="003268F2" w14:paraId="74CD56A4" w14:textId="77777777">
        <w:trPr>
          <w:trHeight w:val="300"/>
        </w:trPr>
        <w:tc>
          <w:tcPr>
            <w:tcW w:w="1502" w:type="pct"/>
            <w:vAlign w:val="center"/>
            <w:hideMark/>
          </w:tcPr>
          <w:p w14:paraId="5EC85052" w14:textId="77777777" w:rsidR="00AF7A86" w:rsidRPr="003268F2" w:rsidRDefault="00AF7A86">
            <w:pPr>
              <w:spacing w:before="0" w:after="0"/>
              <w:jc w:val="center"/>
              <w:rPr>
                <w:b/>
                <w:bCs/>
                <w:noProof/>
                <w:color w:val="000000"/>
                <w:sz w:val="22"/>
                <w:lang w:val="en-IE" w:eastAsia="en-IE"/>
              </w:rPr>
            </w:pPr>
            <w:r w:rsidRPr="003268F2">
              <w:rPr>
                <w:b/>
                <w:bCs/>
                <w:noProof/>
                <w:color w:val="000000"/>
                <w:sz w:val="22"/>
                <w:lang w:val="en-IE" w:eastAsia="en-IE"/>
              </w:rPr>
              <w:t xml:space="preserve">TOTAL DG </w:t>
            </w:r>
            <w:r w:rsidRPr="00855798">
              <w:rPr>
                <w:b/>
                <w:bCs/>
                <w:noProof/>
                <w:color w:val="000000"/>
                <w:sz w:val="22"/>
                <w:lang w:val="en-IE" w:eastAsia="en-IE"/>
              </w:rPr>
              <w:t>ENER</w:t>
            </w:r>
          </w:p>
        </w:tc>
        <w:tc>
          <w:tcPr>
            <w:tcW w:w="1263" w:type="pct"/>
            <w:vAlign w:val="center"/>
            <w:hideMark/>
          </w:tcPr>
          <w:p w14:paraId="45BE4217" w14:textId="77777777" w:rsidR="00AF7A86" w:rsidRPr="003268F2" w:rsidRDefault="00AF7A86">
            <w:pPr>
              <w:spacing w:before="0" w:after="0"/>
              <w:jc w:val="left"/>
              <w:rPr>
                <w:noProof/>
                <w:color w:val="000000"/>
                <w:sz w:val="18"/>
                <w:szCs w:val="18"/>
                <w:lang w:val="en-IE" w:eastAsia="en-IE"/>
              </w:rPr>
            </w:pPr>
            <w:r>
              <w:rPr>
                <w:b/>
                <w:bCs/>
                <w:noProof/>
                <w:color w:val="000000"/>
                <w:sz w:val="20"/>
                <w:szCs w:val="20"/>
              </w:rPr>
              <w:t>0,000</w:t>
            </w:r>
          </w:p>
        </w:tc>
        <w:tc>
          <w:tcPr>
            <w:tcW w:w="334" w:type="pct"/>
            <w:shd w:val="clear" w:color="auto" w:fill="D9D9D9" w:themeFill="background1" w:themeFillShade="D9"/>
            <w:vAlign w:val="center"/>
            <w:hideMark/>
          </w:tcPr>
          <w:p w14:paraId="2EFA4034" w14:textId="77777777" w:rsidR="00AF7A86" w:rsidRPr="003268F2" w:rsidRDefault="00AF7A86">
            <w:pPr>
              <w:spacing w:before="0" w:after="0"/>
              <w:jc w:val="right"/>
              <w:rPr>
                <w:b/>
                <w:bCs/>
                <w:noProof/>
                <w:color w:val="000000"/>
                <w:sz w:val="20"/>
                <w:szCs w:val="20"/>
                <w:lang w:val="en-IE" w:eastAsia="en-IE"/>
              </w:rPr>
            </w:pPr>
            <w:r>
              <w:rPr>
                <w:b/>
                <w:bCs/>
                <w:noProof/>
                <w:color w:val="000000"/>
                <w:sz w:val="20"/>
                <w:szCs w:val="20"/>
              </w:rPr>
              <w:t>0,000</w:t>
            </w:r>
          </w:p>
        </w:tc>
        <w:tc>
          <w:tcPr>
            <w:tcW w:w="335" w:type="pct"/>
            <w:shd w:val="clear" w:color="auto" w:fill="D9D9D9" w:themeFill="background1" w:themeFillShade="D9"/>
            <w:vAlign w:val="center"/>
            <w:hideMark/>
          </w:tcPr>
          <w:p w14:paraId="517DC82E" w14:textId="77777777" w:rsidR="00AF7A86" w:rsidRPr="003268F2" w:rsidRDefault="00AF7A86">
            <w:pPr>
              <w:spacing w:before="0" w:after="0"/>
              <w:jc w:val="right"/>
              <w:rPr>
                <w:b/>
                <w:bCs/>
                <w:noProof/>
                <w:color w:val="000000"/>
                <w:sz w:val="20"/>
                <w:szCs w:val="20"/>
                <w:lang w:val="en-IE" w:eastAsia="en-IE"/>
              </w:rPr>
            </w:pPr>
            <w:r>
              <w:rPr>
                <w:b/>
                <w:bCs/>
                <w:noProof/>
                <w:color w:val="000000"/>
                <w:sz w:val="20"/>
                <w:szCs w:val="20"/>
              </w:rPr>
              <w:t>0,000</w:t>
            </w:r>
          </w:p>
        </w:tc>
        <w:tc>
          <w:tcPr>
            <w:tcW w:w="335" w:type="pct"/>
            <w:shd w:val="clear" w:color="auto" w:fill="D9D9D9" w:themeFill="background1" w:themeFillShade="D9"/>
            <w:vAlign w:val="center"/>
            <w:hideMark/>
          </w:tcPr>
          <w:p w14:paraId="61757CE0" w14:textId="77777777" w:rsidR="00AF7A86" w:rsidRPr="003268F2" w:rsidRDefault="00AF7A86">
            <w:pPr>
              <w:spacing w:before="0" w:after="0"/>
              <w:jc w:val="right"/>
              <w:rPr>
                <w:b/>
                <w:bCs/>
                <w:noProof/>
                <w:color w:val="000000"/>
                <w:sz w:val="20"/>
                <w:szCs w:val="20"/>
                <w:lang w:val="en-IE" w:eastAsia="en-IE"/>
              </w:rPr>
            </w:pPr>
            <w:r>
              <w:rPr>
                <w:b/>
                <w:bCs/>
                <w:noProof/>
                <w:color w:val="000000"/>
                <w:sz w:val="20"/>
                <w:szCs w:val="20"/>
              </w:rPr>
              <w:t>0,000</w:t>
            </w:r>
          </w:p>
        </w:tc>
        <w:tc>
          <w:tcPr>
            <w:tcW w:w="402" w:type="pct"/>
            <w:shd w:val="clear" w:color="auto" w:fill="D9D9D9" w:themeFill="background1" w:themeFillShade="D9"/>
            <w:vAlign w:val="center"/>
            <w:hideMark/>
          </w:tcPr>
          <w:p w14:paraId="73449A5A" w14:textId="77777777" w:rsidR="00AF7A86" w:rsidRPr="00855798" w:rsidRDefault="00AF7A86">
            <w:pPr>
              <w:spacing w:before="0" w:after="0"/>
              <w:jc w:val="right"/>
              <w:rPr>
                <w:b/>
                <w:bCs/>
                <w:noProof/>
                <w:color w:val="000000" w:themeColor="text1"/>
                <w:sz w:val="20"/>
                <w:szCs w:val="20"/>
                <w:lang w:val="en-IE" w:eastAsia="en-IE"/>
              </w:rPr>
            </w:pPr>
            <w:r>
              <w:rPr>
                <w:b/>
                <w:bCs/>
                <w:noProof/>
                <w:color w:val="000000"/>
                <w:sz w:val="20"/>
                <w:szCs w:val="20"/>
              </w:rPr>
              <w:t>0,388</w:t>
            </w:r>
          </w:p>
        </w:tc>
        <w:tc>
          <w:tcPr>
            <w:tcW w:w="416" w:type="pct"/>
            <w:shd w:val="clear" w:color="auto" w:fill="D9D9D9" w:themeFill="background1" w:themeFillShade="D9"/>
            <w:vAlign w:val="center"/>
            <w:hideMark/>
          </w:tcPr>
          <w:p w14:paraId="29E26E00" w14:textId="77777777" w:rsidR="00AF7A86" w:rsidRPr="00855798" w:rsidRDefault="00AF7A86">
            <w:pPr>
              <w:spacing w:before="0" w:after="0"/>
              <w:jc w:val="right"/>
              <w:rPr>
                <w:b/>
                <w:bCs/>
                <w:noProof/>
                <w:color w:val="000000" w:themeColor="text1"/>
                <w:sz w:val="20"/>
                <w:szCs w:val="20"/>
                <w:lang w:val="en-IE" w:eastAsia="en-IE"/>
              </w:rPr>
            </w:pPr>
            <w:r>
              <w:rPr>
                <w:b/>
                <w:bCs/>
                <w:noProof/>
                <w:color w:val="000000"/>
                <w:sz w:val="20"/>
                <w:szCs w:val="20"/>
              </w:rPr>
              <w:t>0,388</w:t>
            </w:r>
          </w:p>
        </w:tc>
        <w:tc>
          <w:tcPr>
            <w:tcW w:w="413" w:type="pct"/>
            <w:shd w:val="clear" w:color="auto" w:fill="D9D9D9" w:themeFill="background1" w:themeFillShade="D9"/>
            <w:vAlign w:val="center"/>
          </w:tcPr>
          <w:p w14:paraId="6EA2C0DA" w14:textId="77777777" w:rsidR="00AF7A86" w:rsidRDefault="00AF7A86">
            <w:pPr>
              <w:spacing w:before="0" w:after="0"/>
              <w:jc w:val="right"/>
              <w:rPr>
                <w:b/>
                <w:bCs/>
                <w:noProof/>
                <w:color w:val="000000" w:themeColor="text1"/>
                <w:sz w:val="20"/>
                <w:szCs w:val="20"/>
                <w:lang w:val="en-IE" w:eastAsia="en-IE"/>
              </w:rPr>
            </w:pPr>
            <w:r>
              <w:rPr>
                <w:rFonts w:ascii="Arial Narrow" w:hAnsi="Arial Narrow" w:cs="Calibri"/>
                <w:b/>
                <w:bCs/>
                <w:noProof/>
                <w:color w:val="000000"/>
                <w:sz w:val="20"/>
                <w:szCs w:val="20"/>
              </w:rPr>
              <w:t>2,716</w:t>
            </w:r>
          </w:p>
        </w:tc>
      </w:tr>
    </w:tbl>
    <w:tbl>
      <w:tblPr>
        <w:tblpPr w:leftFromText="180" w:rightFromText="180" w:vertAnchor="text" w:horzAnchor="margin" w:tblpXSpec="right" w:tblpY="27"/>
        <w:tblW w:w="4205" w:type="pct"/>
        <w:tblLook w:val="04A0" w:firstRow="1" w:lastRow="0" w:firstColumn="1" w:lastColumn="0" w:noHBand="0" w:noVBand="1"/>
      </w:tblPr>
      <w:tblGrid>
        <w:gridCol w:w="4600"/>
        <w:gridCol w:w="1202"/>
        <w:gridCol w:w="1180"/>
        <w:gridCol w:w="1179"/>
        <w:gridCol w:w="1179"/>
        <w:gridCol w:w="1179"/>
        <w:gridCol w:w="1440"/>
      </w:tblGrid>
      <w:tr w:rsidR="00AF7A86" w:rsidRPr="001C70A9" w14:paraId="143DDA74" w14:textId="77777777">
        <w:trPr>
          <w:trHeight w:val="900"/>
        </w:trPr>
        <w:tc>
          <w:tcPr>
            <w:tcW w:w="1923" w:type="pct"/>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0481BDB4" w14:textId="77777777" w:rsidR="00AF7A86" w:rsidRPr="001C70A9" w:rsidRDefault="00AF7A86">
            <w:pPr>
              <w:spacing w:before="0" w:after="0"/>
              <w:jc w:val="center"/>
              <w:rPr>
                <w:rFonts w:eastAsia="Times New Roman"/>
                <w:b/>
                <w:bCs/>
                <w:noProof/>
                <w:color w:val="000000"/>
                <w:sz w:val="22"/>
                <w:lang w:val="en-IE" w:eastAsia="en-IE"/>
              </w:rPr>
            </w:pPr>
            <w:r w:rsidRPr="001C70A9">
              <w:rPr>
                <w:rFonts w:eastAsia="Times New Roman"/>
                <w:b/>
                <w:bCs/>
                <w:noProof/>
                <w:color w:val="000000"/>
                <w:sz w:val="22"/>
                <w:lang w:val="en-IE" w:eastAsia="en-IE"/>
              </w:rPr>
              <w:t>TOTAL appropriations</w:t>
            </w:r>
            <w:r w:rsidRPr="001C70A9">
              <w:rPr>
                <w:rFonts w:eastAsia="Times New Roman"/>
                <w:b/>
                <w:bCs/>
                <w:noProof/>
                <w:color w:val="000000"/>
                <w:sz w:val="22"/>
                <w:lang w:val="en-IE" w:eastAsia="en-IE"/>
              </w:rPr>
              <w:br/>
              <w:t>under HEADING 7</w:t>
            </w:r>
            <w:r w:rsidRPr="001C70A9">
              <w:rPr>
                <w:rFonts w:eastAsia="Times New Roman"/>
                <w:b/>
                <w:bCs/>
                <w:noProof/>
                <w:color w:val="000000"/>
                <w:sz w:val="22"/>
                <w:lang w:val="en-IE" w:eastAsia="en-IE"/>
              </w:rPr>
              <w:br/>
              <w:t xml:space="preserve">of the multiannual financial framework </w:t>
            </w:r>
          </w:p>
        </w:tc>
        <w:tc>
          <w:tcPr>
            <w:tcW w:w="502" w:type="pct"/>
            <w:tcBorders>
              <w:top w:val="single" w:sz="8" w:space="0" w:color="auto"/>
              <w:left w:val="nil"/>
              <w:bottom w:val="single" w:sz="8" w:space="0" w:color="auto"/>
              <w:right w:val="single" w:sz="8" w:space="0" w:color="auto"/>
            </w:tcBorders>
            <w:vAlign w:val="center"/>
            <w:hideMark/>
          </w:tcPr>
          <w:p w14:paraId="00575A11" w14:textId="77777777" w:rsidR="00AF7A86" w:rsidRPr="001C70A9" w:rsidRDefault="00AF7A86">
            <w:pPr>
              <w:spacing w:before="0" w:after="0"/>
              <w:jc w:val="center"/>
              <w:rPr>
                <w:rFonts w:eastAsia="Times New Roman"/>
                <w:noProof/>
                <w:color w:val="000000"/>
                <w:sz w:val="18"/>
                <w:szCs w:val="18"/>
                <w:lang w:val="en-IE" w:eastAsia="en-IE"/>
              </w:rPr>
            </w:pPr>
            <w:r w:rsidRPr="001C70A9">
              <w:rPr>
                <w:rFonts w:eastAsia="Times New Roman"/>
                <w:noProof/>
                <w:color w:val="000000"/>
                <w:sz w:val="18"/>
                <w:szCs w:val="18"/>
                <w:lang w:val="en-IE" w:eastAsia="en-IE"/>
              </w:rPr>
              <w:t>(Total commitments = Total payments)</w:t>
            </w:r>
          </w:p>
        </w:tc>
        <w:tc>
          <w:tcPr>
            <w:tcW w:w="493" w:type="pct"/>
            <w:tcBorders>
              <w:top w:val="single" w:sz="8" w:space="0" w:color="auto"/>
              <w:left w:val="nil"/>
              <w:bottom w:val="single" w:sz="8" w:space="0" w:color="auto"/>
              <w:right w:val="single" w:sz="8" w:space="0" w:color="auto"/>
            </w:tcBorders>
            <w:shd w:val="clear" w:color="000000" w:fill="D9D9D9"/>
            <w:vAlign w:val="center"/>
            <w:hideMark/>
          </w:tcPr>
          <w:p w14:paraId="3226F014" w14:textId="77777777" w:rsidR="00AF7A86" w:rsidRPr="001C70A9" w:rsidRDefault="00AF7A86">
            <w:pPr>
              <w:spacing w:before="0" w:after="0"/>
              <w:jc w:val="right"/>
              <w:rPr>
                <w:rFonts w:eastAsia="Times New Roman"/>
                <w:b/>
                <w:bCs/>
                <w:noProof/>
                <w:color w:val="000000"/>
                <w:sz w:val="20"/>
                <w:szCs w:val="20"/>
                <w:lang w:val="en-IE" w:eastAsia="en-IE"/>
              </w:rPr>
            </w:pPr>
            <w:r w:rsidRPr="001C70A9">
              <w:rPr>
                <w:rFonts w:eastAsia="Times New Roman"/>
                <w:b/>
                <w:bCs/>
                <w:noProof/>
                <w:color w:val="000000"/>
                <w:sz w:val="20"/>
                <w:szCs w:val="20"/>
                <w:lang w:val="en-IE" w:eastAsia="en-IE"/>
              </w:rPr>
              <w:t>0,000</w:t>
            </w:r>
          </w:p>
        </w:tc>
        <w:tc>
          <w:tcPr>
            <w:tcW w:w="493" w:type="pct"/>
            <w:tcBorders>
              <w:top w:val="single" w:sz="8" w:space="0" w:color="auto"/>
              <w:left w:val="nil"/>
              <w:bottom w:val="single" w:sz="8" w:space="0" w:color="auto"/>
              <w:right w:val="single" w:sz="8" w:space="0" w:color="auto"/>
            </w:tcBorders>
            <w:shd w:val="clear" w:color="000000" w:fill="D9D9D9"/>
            <w:vAlign w:val="center"/>
            <w:hideMark/>
          </w:tcPr>
          <w:p w14:paraId="1AD5080F" w14:textId="77777777" w:rsidR="00AF7A86" w:rsidRPr="001C70A9" w:rsidRDefault="00AF7A86">
            <w:pPr>
              <w:spacing w:before="0" w:after="0"/>
              <w:jc w:val="right"/>
              <w:rPr>
                <w:rFonts w:eastAsia="Times New Roman"/>
                <w:b/>
                <w:bCs/>
                <w:noProof/>
                <w:color w:val="000000"/>
                <w:sz w:val="20"/>
                <w:szCs w:val="20"/>
                <w:lang w:val="en-IE" w:eastAsia="en-IE"/>
              </w:rPr>
            </w:pPr>
            <w:r w:rsidRPr="001C70A9">
              <w:rPr>
                <w:rFonts w:eastAsia="Times New Roman"/>
                <w:b/>
                <w:bCs/>
                <w:noProof/>
                <w:color w:val="000000"/>
                <w:sz w:val="20"/>
                <w:szCs w:val="20"/>
                <w:lang w:val="en-IE" w:eastAsia="en-IE"/>
              </w:rPr>
              <w:t>0,000</w:t>
            </w:r>
          </w:p>
        </w:tc>
        <w:tc>
          <w:tcPr>
            <w:tcW w:w="493" w:type="pct"/>
            <w:tcBorders>
              <w:top w:val="single" w:sz="8" w:space="0" w:color="auto"/>
              <w:left w:val="nil"/>
              <w:bottom w:val="single" w:sz="8" w:space="0" w:color="auto"/>
              <w:right w:val="single" w:sz="8" w:space="0" w:color="auto"/>
            </w:tcBorders>
            <w:shd w:val="clear" w:color="000000" w:fill="D9D9D9"/>
            <w:vAlign w:val="center"/>
            <w:hideMark/>
          </w:tcPr>
          <w:p w14:paraId="79A2F2AD" w14:textId="77777777" w:rsidR="00AF7A86" w:rsidRPr="001C70A9" w:rsidRDefault="00AF7A86">
            <w:pPr>
              <w:spacing w:before="0" w:after="0"/>
              <w:jc w:val="right"/>
              <w:rPr>
                <w:rFonts w:eastAsia="Times New Roman"/>
                <w:b/>
                <w:bCs/>
                <w:noProof/>
                <w:color w:val="000000"/>
                <w:sz w:val="20"/>
                <w:szCs w:val="20"/>
                <w:lang w:val="en-IE" w:eastAsia="en-IE"/>
              </w:rPr>
            </w:pPr>
            <w:r w:rsidRPr="001C70A9">
              <w:rPr>
                <w:rFonts w:eastAsia="Times New Roman"/>
                <w:b/>
                <w:bCs/>
                <w:noProof/>
                <w:color w:val="000000"/>
                <w:sz w:val="20"/>
                <w:szCs w:val="20"/>
                <w:lang w:val="en-IE" w:eastAsia="en-IE"/>
              </w:rPr>
              <w:t>0,388</w:t>
            </w:r>
          </w:p>
        </w:tc>
        <w:tc>
          <w:tcPr>
            <w:tcW w:w="493" w:type="pct"/>
            <w:tcBorders>
              <w:top w:val="single" w:sz="8" w:space="0" w:color="auto"/>
              <w:left w:val="nil"/>
              <w:bottom w:val="single" w:sz="8" w:space="0" w:color="auto"/>
              <w:right w:val="single" w:sz="8" w:space="0" w:color="auto"/>
            </w:tcBorders>
            <w:shd w:val="clear" w:color="000000" w:fill="D9D9D9"/>
            <w:vAlign w:val="center"/>
            <w:hideMark/>
          </w:tcPr>
          <w:p w14:paraId="7B44BEC5" w14:textId="77777777" w:rsidR="00AF7A86" w:rsidRPr="001C70A9" w:rsidRDefault="00AF7A86">
            <w:pPr>
              <w:spacing w:before="0" w:after="0"/>
              <w:jc w:val="right"/>
              <w:rPr>
                <w:rFonts w:eastAsia="Times New Roman"/>
                <w:b/>
                <w:bCs/>
                <w:noProof/>
                <w:color w:val="000000"/>
                <w:sz w:val="20"/>
                <w:szCs w:val="20"/>
                <w:lang w:val="en-IE" w:eastAsia="en-IE"/>
              </w:rPr>
            </w:pPr>
            <w:r w:rsidRPr="001C70A9">
              <w:rPr>
                <w:rFonts w:eastAsia="Times New Roman"/>
                <w:b/>
                <w:bCs/>
                <w:noProof/>
                <w:color w:val="000000"/>
                <w:sz w:val="20"/>
                <w:szCs w:val="20"/>
                <w:lang w:val="en-IE" w:eastAsia="en-IE"/>
              </w:rPr>
              <w:t>0,388</w:t>
            </w:r>
          </w:p>
        </w:tc>
        <w:tc>
          <w:tcPr>
            <w:tcW w:w="602" w:type="pct"/>
            <w:tcBorders>
              <w:top w:val="single" w:sz="8" w:space="0" w:color="auto"/>
              <w:left w:val="nil"/>
              <w:bottom w:val="single" w:sz="8" w:space="0" w:color="auto"/>
              <w:right w:val="single" w:sz="8" w:space="0" w:color="auto"/>
            </w:tcBorders>
            <w:shd w:val="clear" w:color="000000" w:fill="D9D9D9"/>
            <w:vAlign w:val="center"/>
            <w:hideMark/>
          </w:tcPr>
          <w:p w14:paraId="17578960" w14:textId="77777777" w:rsidR="00AF7A86" w:rsidRPr="001C70A9" w:rsidRDefault="00AF7A86">
            <w:pPr>
              <w:spacing w:before="0" w:after="0"/>
              <w:jc w:val="right"/>
              <w:rPr>
                <w:rFonts w:eastAsia="Times New Roman"/>
                <w:b/>
                <w:bCs/>
                <w:noProof/>
                <w:color w:val="000000"/>
                <w:sz w:val="20"/>
                <w:szCs w:val="20"/>
                <w:lang w:val="en-IE" w:eastAsia="en-IE"/>
              </w:rPr>
            </w:pPr>
            <w:r>
              <w:rPr>
                <w:rFonts w:eastAsia="Times New Roman"/>
                <w:b/>
                <w:bCs/>
                <w:noProof/>
                <w:color w:val="000000"/>
                <w:sz w:val="20"/>
                <w:szCs w:val="20"/>
                <w:lang w:val="en-IE" w:eastAsia="en-IE"/>
              </w:rPr>
              <w:t>2,716</w:t>
            </w:r>
          </w:p>
        </w:tc>
      </w:tr>
    </w:tbl>
    <w:p w14:paraId="23F25EEC" w14:textId="77777777" w:rsidR="00AF7A86" w:rsidRDefault="00AF7A86" w:rsidP="00AF7A86">
      <w:pPr>
        <w:tabs>
          <w:tab w:val="left" w:pos="1183"/>
        </w:tabs>
        <w:rPr>
          <w:noProof/>
        </w:rPr>
      </w:pPr>
      <w:r>
        <w:rPr>
          <w:noProof/>
        </w:rPr>
        <w:tab/>
      </w:r>
      <w:r>
        <w:rPr>
          <w:noProof/>
        </w:rPr>
        <w:tab/>
      </w:r>
      <w:r>
        <w:rPr>
          <w:noProof/>
        </w:rPr>
        <w:tab/>
      </w:r>
      <w:r>
        <w:rPr>
          <w:noProof/>
        </w:rPr>
        <w:tab/>
      </w:r>
    </w:p>
    <w:p w14:paraId="243041DA" w14:textId="77777777" w:rsidR="00AF7A86" w:rsidRPr="00876DCE" w:rsidRDefault="00AF7A86" w:rsidP="00AF7A86">
      <w:pPr>
        <w:tabs>
          <w:tab w:val="left" w:pos="1183"/>
        </w:tabs>
        <w:rPr>
          <w:noProof/>
          <w:lang w:val="en-IE"/>
        </w:rPr>
      </w:pPr>
    </w:p>
    <w:p w14:paraId="6A5B11EC" w14:textId="77777777" w:rsidR="00AF7A86" w:rsidRDefault="00AF7A86" w:rsidP="00AF7A86">
      <w:pPr>
        <w:tabs>
          <w:tab w:val="left" w:pos="1183"/>
        </w:tabs>
        <w:rPr>
          <w:noProof/>
        </w:rPr>
      </w:pPr>
    </w:p>
    <w:p w14:paraId="42CB80BF" w14:textId="77777777" w:rsidR="00AF7A86" w:rsidRDefault="00AF7A86" w:rsidP="00AF7A86">
      <w:pPr>
        <w:jc w:val="right"/>
        <w:rPr>
          <w:noProof/>
          <w:sz w:val="20"/>
          <w:lang w:val="en-IE"/>
        </w:rPr>
      </w:pPr>
      <w:r w:rsidRPr="003A769F">
        <w:rPr>
          <w:noProof/>
          <w:sz w:val="20"/>
          <w:lang w:val="en-IE"/>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7"/>
        <w:gridCol w:w="1883"/>
        <w:gridCol w:w="1132"/>
        <w:gridCol w:w="1132"/>
        <w:gridCol w:w="1132"/>
        <w:gridCol w:w="1132"/>
        <w:gridCol w:w="1371"/>
        <w:gridCol w:w="1371"/>
      </w:tblGrid>
      <w:tr w:rsidR="00876DCE" w:rsidRPr="003268F2" w14:paraId="195D90DC" w14:textId="77777777" w:rsidTr="009A133F">
        <w:trPr>
          <w:trHeight w:val="288"/>
        </w:trPr>
        <w:tc>
          <w:tcPr>
            <w:tcW w:w="2444" w:type="pct"/>
            <w:gridSpan w:val="2"/>
            <w:vMerge w:val="restart"/>
            <w:vAlign w:val="center"/>
            <w:hideMark/>
          </w:tcPr>
          <w:p w14:paraId="1416FC73" w14:textId="77777777" w:rsidR="00876DCE" w:rsidRPr="003268F2" w:rsidRDefault="00876DCE" w:rsidP="009A133F">
            <w:pPr>
              <w:spacing w:before="0" w:after="0"/>
              <w:jc w:val="center"/>
              <w:rPr>
                <w:noProof/>
                <w:color w:val="000000"/>
                <w:szCs w:val="24"/>
                <w:lang w:val="en-IE" w:eastAsia="en-IE"/>
              </w:rPr>
            </w:pPr>
            <w:bookmarkStart w:id="153" w:name="_Hlk215927154"/>
            <w:r w:rsidRPr="003268F2">
              <w:rPr>
                <w:noProof/>
                <w:color w:val="000000"/>
                <w:szCs w:val="24"/>
                <w:lang w:val="en-IE" w:eastAsia="en-IE"/>
              </w:rPr>
              <w:t> </w:t>
            </w:r>
          </w:p>
        </w:tc>
        <w:tc>
          <w:tcPr>
            <w:tcW w:w="398" w:type="pct"/>
            <w:vAlign w:val="center"/>
            <w:hideMark/>
          </w:tcPr>
          <w:p w14:paraId="50DF922E" w14:textId="77777777" w:rsidR="00876DCE" w:rsidRPr="003268F2" w:rsidRDefault="00876DCE" w:rsidP="009A133F">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98" w:type="pct"/>
            <w:vAlign w:val="center"/>
            <w:hideMark/>
          </w:tcPr>
          <w:p w14:paraId="2BF7D6B7" w14:textId="77777777" w:rsidR="00876DCE" w:rsidRPr="003268F2" w:rsidRDefault="00876DCE" w:rsidP="009A133F">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98" w:type="pct"/>
            <w:vAlign w:val="center"/>
            <w:hideMark/>
          </w:tcPr>
          <w:p w14:paraId="5DF4E273" w14:textId="77777777" w:rsidR="00876DCE" w:rsidRPr="003268F2" w:rsidRDefault="00876DCE" w:rsidP="009A133F">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98" w:type="pct"/>
            <w:vAlign w:val="center"/>
            <w:hideMark/>
          </w:tcPr>
          <w:p w14:paraId="16A049EB" w14:textId="77777777" w:rsidR="00876DCE" w:rsidRPr="003268F2" w:rsidRDefault="00876DCE" w:rsidP="009A133F">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82" w:type="pct"/>
            <w:vMerge w:val="restart"/>
            <w:vAlign w:val="center"/>
            <w:hideMark/>
          </w:tcPr>
          <w:p w14:paraId="1E4084AE" w14:textId="77777777" w:rsidR="00876DCE" w:rsidRPr="003268F2" w:rsidRDefault="00876DCE" w:rsidP="009A133F">
            <w:pPr>
              <w:spacing w:before="0" w:after="0"/>
              <w:jc w:val="center"/>
              <w:rPr>
                <w:b/>
                <w:bCs/>
                <w:noProof/>
                <w:color w:val="000000"/>
                <w:sz w:val="20"/>
                <w:szCs w:val="20"/>
                <w:lang w:val="en-IE" w:eastAsia="en-IE"/>
              </w:rPr>
            </w:pPr>
            <w:r w:rsidRPr="003268F2">
              <w:rPr>
                <w:b/>
                <w:bCs/>
                <w:noProof/>
                <w:color w:val="000000"/>
                <w:sz w:val="20"/>
                <w:szCs w:val="20"/>
                <w:lang w:val="en-IE" w:eastAsia="en-IE"/>
              </w:rPr>
              <w:t>TOTAL MFF</w:t>
            </w:r>
            <w:r>
              <w:rPr>
                <w:b/>
                <w:bCs/>
                <w:noProof/>
                <w:color w:val="000000"/>
                <w:sz w:val="20"/>
                <w:szCs w:val="20"/>
                <w:lang w:val="en-IE" w:eastAsia="en-IE"/>
              </w:rPr>
              <w:t xml:space="preserve"> </w:t>
            </w:r>
            <w:r w:rsidRPr="003268F2">
              <w:rPr>
                <w:b/>
                <w:bCs/>
                <w:noProof/>
                <w:color w:val="000000"/>
                <w:sz w:val="20"/>
                <w:szCs w:val="20"/>
                <w:lang w:val="en-IE" w:eastAsia="en-IE"/>
              </w:rPr>
              <w:t>2021-2027</w:t>
            </w:r>
          </w:p>
        </w:tc>
        <w:tc>
          <w:tcPr>
            <w:tcW w:w="482" w:type="pct"/>
            <w:vMerge w:val="restart"/>
          </w:tcPr>
          <w:p w14:paraId="2C2EC58E" w14:textId="77777777" w:rsidR="00876DCE" w:rsidRDefault="00876DCE" w:rsidP="009A133F">
            <w:pPr>
              <w:spacing w:before="0" w:after="0"/>
              <w:jc w:val="center"/>
              <w:rPr>
                <w:b/>
                <w:bCs/>
                <w:noProof/>
                <w:color w:val="000000"/>
                <w:sz w:val="20"/>
                <w:szCs w:val="20"/>
                <w:lang w:val="en-IE" w:eastAsia="en-IE"/>
              </w:rPr>
            </w:pPr>
            <w:r>
              <w:rPr>
                <w:b/>
                <w:bCs/>
                <w:noProof/>
                <w:color w:val="000000"/>
                <w:sz w:val="20"/>
                <w:szCs w:val="20"/>
                <w:lang w:val="en-IE" w:eastAsia="en-IE"/>
              </w:rPr>
              <w:t>POST 2027</w:t>
            </w:r>
          </w:p>
        </w:tc>
      </w:tr>
      <w:tr w:rsidR="00876DCE" w:rsidRPr="003268F2" w14:paraId="0C231DD4" w14:textId="77777777" w:rsidTr="009A133F">
        <w:trPr>
          <w:trHeight w:val="300"/>
        </w:trPr>
        <w:tc>
          <w:tcPr>
            <w:tcW w:w="2444" w:type="pct"/>
            <w:gridSpan w:val="2"/>
            <w:vMerge/>
            <w:vAlign w:val="center"/>
            <w:hideMark/>
          </w:tcPr>
          <w:p w14:paraId="358B0B35" w14:textId="77777777" w:rsidR="00876DCE" w:rsidRPr="003268F2" w:rsidRDefault="00876DCE" w:rsidP="009A133F">
            <w:pPr>
              <w:spacing w:before="0" w:after="0"/>
              <w:jc w:val="left"/>
              <w:rPr>
                <w:noProof/>
                <w:color w:val="000000"/>
                <w:szCs w:val="24"/>
                <w:lang w:val="en-IE" w:eastAsia="en-IE"/>
              </w:rPr>
            </w:pPr>
          </w:p>
        </w:tc>
        <w:tc>
          <w:tcPr>
            <w:tcW w:w="398" w:type="pct"/>
            <w:vAlign w:val="center"/>
            <w:hideMark/>
          </w:tcPr>
          <w:p w14:paraId="3239CE71" w14:textId="77777777" w:rsidR="00876DCE" w:rsidRPr="003268F2" w:rsidRDefault="00876DCE" w:rsidP="009A133F">
            <w:pPr>
              <w:spacing w:before="0" w:after="0"/>
              <w:jc w:val="center"/>
              <w:rPr>
                <w:b/>
                <w:bCs/>
                <w:noProof/>
                <w:color w:val="000000"/>
                <w:sz w:val="20"/>
                <w:szCs w:val="20"/>
                <w:lang w:val="en-IE" w:eastAsia="en-IE"/>
              </w:rPr>
            </w:pPr>
            <w:r w:rsidRPr="003268F2">
              <w:rPr>
                <w:b/>
                <w:bCs/>
                <w:noProof/>
                <w:color w:val="000000"/>
                <w:sz w:val="20"/>
                <w:szCs w:val="20"/>
                <w:lang w:val="en-IE" w:eastAsia="en-IE"/>
              </w:rPr>
              <w:t>2024</w:t>
            </w:r>
          </w:p>
        </w:tc>
        <w:tc>
          <w:tcPr>
            <w:tcW w:w="398" w:type="pct"/>
            <w:vAlign w:val="center"/>
            <w:hideMark/>
          </w:tcPr>
          <w:p w14:paraId="6EB184E3" w14:textId="77777777" w:rsidR="00876DCE" w:rsidRPr="003268F2" w:rsidRDefault="00876DCE" w:rsidP="009A133F">
            <w:pPr>
              <w:spacing w:before="0" w:after="0"/>
              <w:jc w:val="center"/>
              <w:rPr>
                <w:b/>
                <w:bCs/>
                <w:noProof/>
                <w:color w:val="000000"/>
                <w:sz w:val="20"/>
                <w:szCs w:val="20"/>
                <w:lang w:val="en-IE" w:eastAsia="en-IE"/>
              </w:rPr>
            </w:pPr>
            <w:r w:rsidRPr="003268F2">
              <w:rPr>
                <w:b/>
                <w:bCs/>
                <w:noProof/>
                <w:color w:val="000000"/>
                <w:sz w:val="20"/>
                <w:szCs w:val="20"/>
                <w:lang w:val="en-IE" w:eastAsia="en-IE"/>
              </w:rPr>
              <w:t>2025</w:t>
            </w:r>
          </w:p>
        </w:tc>
        <w:tc>
          <w:tcPr>
            <w:tcW w:w="398" w:type="pct"/>
            <w:vAlign w:val="center"/>
            <w:hideMark/>
          </w:tcPr>
          <w:p w14:paraId="2B43EF61" w14:textId="77777777" w:rsidR="00876DCE" w:rsidRPr="003268F2" w:rsidRDefault="00876DCE" w:rsidP="009A133F">
            <w:pPr>
              <w:spacing w:before="0" w:after="0"/>
              <w:jc w:val="center"/>
              <w:rPr>
                <w:b/>
                <w:bCs/>
                <w:noProof/>
                <w:color w:val="000000"/>
                <w:sz w:val="20"/>
                <w:szCs w:val="20"/>
                <w:lang w:val="en-IE" w:eastAsia="en-IE"/>
              </w:rPr>
            </w:pPr>
            <w:r w:rsidRPr="003268F2">
              <w:rPr>
                <w:b/>
                <w:bCs/>
                <w:noProof/>
                <w:color w:val="000000"/>
                <w:sz w:val="20"/>
                <w:szCs w:val="20"/>
                <w:lang w:val="en-IE" w:eastAsia="en-IE"/>
              </w:rPr>
              <w:t>2026</w:t>
            </w:r>
          </w:p>
        </w:tc>
        <w:tc>
          <w:tcPr>
            <w:tcW w:w="398" w:type="pct"/>
            <w:vAlign w:val="center"/>
            <w:hideMark/>
          </w:tcPr>
          <w:p w14:paraId="684319E7" w14:textId="77777777" w:rsidR="00876DCE" w:rsidRPr="003268F2" w:rsidRDefault="00876DCE" w:rsidP="009A133F">
            <w:pPr>
              <w:spacing w:before="0" w:after="0"/>
              <w:jc w:val="center"/>
              <w:rPr>
                <w:b/>
                <w:bCs/>
                <w:noProof/>
                <w:color w:val="000000"/>
                <w:sz w:val="20"/>
                <w:szCs w:val="20"/>
                <w:lang w:val="en-IE" w:eastAsia="en-IE"/>
              </w:rPr>
            </w:pPr>
            <w:r w:rsidRPr="003268F2">
              <w:rPr>
                <w:b/>
                <w:bCs/>
                <w:noProof/>
                <w:color w:val="000000"/>
                <w:sz w:val="20"/>
                <w:szCs w:val="20"/>
                <w:lang w:val="en-IE" w:eastAsia="en-IE"/>
              </w:rPr>
              <w:t>2027</w:t>
            </w:r>
          </w:p>
        </w:tc>
        <w:tc>
          <w:tcPr>
            <w:tcW w:w="482" w:type="pct"/>
            <w:vMerge/>
            <w:vAlign w:val="center"/>
            <w:hideMark/>
          </w:tcPr>
          <w:p w14:paraId="71459F90" w14:textId="77777777" w:rsidR="00876DCE" w:rsidRPr="003268F2" w:rsidRDefault="00876DCE" w:rsidP="009A133F">
            <w:pPr>
              <w:spacing w:before="0" w:after="0"/>
              <w:jc w:val="left"/>
              <w:rPr>
                <w:b/>
                <w:bCs/>
                <w:noProof/>
                <w:color w:val="000000"/>
                <w:sz w:val="20"/>
                <w:szCs w:val="20"/>
                <w:lang w:val="en-IE" w:eastAsia="en-IE"/>
              </w:rPr>
            </w:pPr>
          </w:p>
        </w:tc>
        <w:tc>
          <w:tcPr>
            <w:tcW w:w="482" w:type="pct"/>
            <w:vMerge/>
          </w:tcPr>
          <w:p w14:paraId="17073FB1" w14:textId="77777777" w:rsidR="00876DCE" w:rsidRPr="003268F2" w:rsidRDefault="00876DCE" w:rsidP="009A133F">
            <w:pPr>
              <w:spacing w:before="0" w:after="0"/>
              <w:jc w:val="left"/>
              <w:rPr>
                <w:b/>
                <w:bCs/>
                <w:noProof/>
                <w:color w:val="000000"/>
                <w:sz w:val="20"/>
                <w:szCs w:val="20"/>
                <w:lang w:val="en-IE" w:eastAsia="en-IE"/>
              </w:rPr>
            </w:pPr>
          </w:p>
        </w:tc>
      </w:tr>
      <w:tr w:rsidR="00876DCE" w:rsidRPr="003268F2" w14:paraId="79722263" w14:textId="77777777" w:rsidTr="009A133F">
        <w:trPr>
          <w:trHeight w:val="564"/>
        </w:trPr>
        <w:tc>
          <w:tcPr>
            <w:tcW w:w="1782" w:type="pct"/>
            <w:shd w:val="clear" w:color="auto" w:fill="C0C0C0"/>
            <w:vAlign w:val="center"/>
            <w:hideMark/>
          </w:tcPr>
          <w:p w14:paraId="3A3C0E28" w14:textId="77777777" w:rsidR="00876DCE" w:rsidRPr="003268F2" w:rsidRDefault="00876DCE" w:rsidP="009A133F">
            <w:pPr>
              <w:spacing w:before="0" w:after="0"/>
              <w:jc w:val="center"/>
              <w:rPr>
                <w:b/>
                <w:bCs/>
                <w:noProof/>
                <w:color w:val="000000"/>
                <w:sz w:val="22"/>
                <w:lang w:val="en-IE" w:eastAsia="en-IE"/>
              </w:rPr>
            </w:pPr>
            <w:r w:rsidRPr="003268F2">
              <w:rPr>
                <w:b/>
                <w:bCs/>
                <w:noProof/>
                <w:color w:val="000000"/>
                <w:sz w:val="22"/>
                <w:lang w:val="en-IE" w:eastAsia="en-IE"/>
              </w:rPr>
              <w:t>TOTAL appropriation</w:t>
            </w:r>
            <w:r>
              <w:rPr>
                <w:b/>
                <w:bCs/>
                <w:noProof/>
                <w:color w:val="000000"/>
                <w:sz w:val="22"/>
                <w:lang w:val="en-IE" w:eastAsia="en-IE"/>
              </w:rPr>
              <w:t xml:space="preserve">s </w:t>
            </w:r>
            <w:r w:rsidRPr="003268F2">
              <w:rPr>
                <w:b/>
                <w:bCs/>
                <w:noProof/>
                <w:color w:val="000000"/>
                <w:sz w:val="22"/>
                <w:lang w:val="en-IE" w:eastAsia="en-IE"/>
              </w:rPr>
              <w:t>under HEADINGS 1 to 7</w:t>
            </w:r>
          </w:p>
        </w:tc>
        <w:tc>
          <w:tcPr>
            <w:tcW w:w="662" w:type="pct"/>
            <w:vAlign w:val="center"/>
            <w:hideMark/>
          </w:tcPr>
          <w:p w14:paraId="2CF7DA97" w14:textId="77777777" w:rsidR="00876DCE" w:rsidRPr="003268F2" w:rsidRDefault="00876DCE" w:rsidP="009A133F">
            <w:pPr>
              <w:spacing w:before="0" w:after="0"/>
              <w:rPr>
                <w:noProof/>
                <w:color w:val="000000"/>
                <w:sz w:val="18"/>
                <w:szCs w:val="18"/>
                <w:lang w:val="en-IE" w:eastAsia="en-IE"/>
              </w:rPr>
            </w:pPr>
            <w:r w:rsidRPr="003268F2">
              <w:rPr>
                <w:noProof/>
                <w:color w:val="000000"/>
                <w:sz w:val="18"/>
                <w:szCs w:val="18"/>
                <w:lang w:val="en-IE" w:eastAsia="en-IE"/>
              </w:rPr>
              <w:t>Commitments</w:t>
            </w:r>
          </w:p>
        </w:tc>
        <w:tc>
          <w:tcPr>
            <w:tcW w:w="398" w:type="pct"/>
            <w:shd w:val="clear" w:color="auto" w:fill="D9D9D9" w:themeFill="background1" w:themeFillShade="D9"/>
            <w:vAlign w:val="center"/>
            <w:hideMark/>
          </w:tcPr>
          <w:p w14:paraId="3B89A654" w14:textId="77777777" w:rsidR="00876DCE" w:rsidRPr="003268F2" w:rsidRDefault="00876DCE" w:rsidP="009A133F">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398" w:type="pct"/>
            <w:shd w:val="clear" w:color="auto" w:fill="D9D9D9" w:themeFill="background1" w:themeFillShade="D9"/>
            <w:vAlign w:val="center"/>
            <w:hideMark/>
          </w:tcPr>
          <w:p w14:paraId="2ABEA555" w14:textId="77777777" w:rsidR="00876DCE" w:rsidRPr="003268F2" w:rsidRDefault="00876DCE" w:rsidP="009A133F">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398" w:type="pct"/>
            <w:shd w:val="clear" w:color="auto" w:fill="D9D9D9" w:themeFill="background1" w:themeFillShade="D9"/>
            <w:vAlign w:val="center"/>
            <w:hideMark/>
          </w:tcPr>
          <w:p w14:paraId="6ED965EC" w14:textId="77777777" w:rsidR="00876DCE" w:rsidRPr="003268F2" w:rsidRDefault="00876DCE" w:rsidP="009A133F">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398" w:type="pct"/>
            <w:shd w:val="clear" w:color="auto" w:fill="D9D9D9" w:themeFill="background1" w:themeFillShade="D9"/>
            <w:vAlign w:val="center"/>
            <w:hideMark/>
          </w:tcPr>
          <w:p w14:paraId="252809D8" w14:textId="77777777" w:rsidR="00876DCE" w:rsidRPr="00BE43F2" w:rsidRDefault="00876DCE" w:rsidP="009A133F">
            <w:pPr>
              <w:spacing w:before="0" w:after="0"/>
              <w:jc w:val="right"/>
              <w:rPr>
                <w:b/>
                <w:noProof/>
                <w:color w:val="000000" w:themeColor="text1"/>
                <w:szCs w:val="24"/>
                <w:lang w:val="en-IE" w:eastAsia="en-IE"/>
              </w:rPr>
            </w:pPr>
            <w:r>
              <w:rPr>
                <w:b/>
                <w:bCs/>
                <w:noProof/>
                <w:color w:val="000000"/>
              </w:rPr>
              <w:t>6,129</w:t>
            </w:r>
          </w:p>
        </w:tc>
        <w:tc>
          <w:tcPr>
            <w:tcW w:w="482" w:type="pct"/>
            <w:shd w:val="clear" w:color="auto" w:fill="D9D9D9" w:themeFill="background1" w:themeFillShade="D9"/>
            <w:vAlign w:val="center"/>
            <w:hideMark/>
          </w:tcPr>
          <w:p w14:paraId="0C0E67BB" w14:textId="77777777" w:rsidR="00876DCE" w:rsidRPr="004D4450" w:rsidRDefault="00876DCE" w:rsidP="009A133F">
            <w:pPr>
              <w:spacing w:before="0" w:after="0"/>
              <w:jc w:val="right"/>
              <w:rPr>
                <w:b/>
                <w:noProof/>
                <w:color w:val="000000" w:themeColor="text1"/>
                <w:lang w:val="en-IE" w:eastAsia="en-IE"/>
              </w:rPr>
            </w:pPr>
            <w:r>
              <w:rPr>
                <w:b/>
                <w:bCs/>
                <w:noProof/>
                <w:color w:val="000000"/>
              </w:rPr>
              <w:t>6,129</w:t>
            </w:r>
          </w:p>
        </w:tc>
        <w:tc>
          <w:tcPr>
            <w:tcW w:w="482" w:type="pct"/>
            <w:shd w:val="clear" w:color="auto" w:fill="D9D9D9" w:themeFill="background1" w:themeFillShade="D9"/>
            <w:vAlign w:val="center"/>
          </w:tcPr>
          <w:p w14:paraId="1FAE369F" w14:textId="77777777" w:rsidR="00876DCE" w:rsidRPr="007B7DF7" w:rsidRDefault="00876DCE" w:rsidP="009A133F">
            <w:pPr>
              <w:spacing w:before="0" w:after="0"/>
              <w:jc w:val="center"/>
              <w:rPr>
                <w:b/>
                <w:bCs/>
                <w:noProof/>
                <w:color w:val="000000" w:themeColor="text1"/>
                <w:lang w:val="en-IE" w:eastAsia="en-IE"/>
              </w:rPr>
            </w:pPr>
            <w:r>
              <w:rPr>
                <w:b/>
                <w:bCs/>
                <w:noProof/>
                <w:color w:val="000000"/>
                <w:sz w:val="22"/>
              </w:rPr>
              <w:t>21,042</w:t>
            </w:r>
          </w:p>
        </w:tc>
      </w:tr>
      <w:tr w:rsidR="00876DCE" w:rsidRPr="003268F2" w14:paraId="115918A3" w14:textId="77777777" w:rsidTr="009A133F">
        <w:trPr>
          <w:trHeight w:val="540"/>
        </w:trPr>
        <w:tc>
          <w:tcPr>
            <w:tcW w:w="1782" w:type="pct"/>
            <w:shd w:val="clear" w:color="auto" w:fill="C0C0C0"/>
            <w:vAlign w:val="center"/>
            <w:hideMark/>
          </w:tcPr>
          <w:p w14:paraId="2A9E2BBF" w14:textId="77777777" w:rsidR="00876DCE" w:rsidRPr="003268F2" w:rsidRDefault="00876DCE" w:rsidP="009A133F">
            <w:pPr>
              <w:spacing w:before="0" w:after="0"/>
              <w:jc w:val="center"/>
              <w:rPr>
                <w:noProof/>
                <w:color w:val="000000"/>
                <w:sz w:val="22"/>
                <w:lang w:val="en-IE" w:eastAsia="en-IE"/>
              </w:rPr>
            </w:pPr>
            <w:r w:rsidRPr="003268F2">
              <w:rPr>
                <w:noProof/>
                <w:color w:val="000000"/>
                <w:sz w:val="22"/>
                <w:lang w:val="en-IE" w:eastAsia="en-IE"/>
              </w:rPr>
              <w:t>of the multiannual financial framework</w:t>
            </w:r>
            <w:r w:rsidRPr="003268F2">
              <w:rPr>
                <w:b/>
                <w:bCs/>
                <w:noProof/>
                <w:color w:val="000000"/>
                <w:sz w:val="22"/>
                <w:lang w:val="en-IE" w:eastAsia="en-IE"/>
              </w:rPr>
              <w:t xml:space="preserve"> </w:t>
            </w:r>
          </w:p>
        </w:tc>
        <w:tc>
          <w:tcPr>
            <w:tcW w:w="662" w:type="pct"/>
            <w:vAlign w:val="center"/>
            <w:hideMark/>
          </w:tcPr>
          <w:p w14:paraId="11011AED" w14:textId="77777777" w:rsidR="00876DCE" w:rsidRPr="003268F2" w:rsidRDefault="00876DCE" w:rsidP="009A133F">
            <w:pPr>
              <w:spacing w:before="0" w:after="0"/>
              <w:rPr>
                <w:noProof/>
                <w:color w:val="000000"/>
                <w:sz w:val="18"/>
                <w:szCs w:val="18"/>
                <w:lang w:val="en-IE" w:eastAsia="en-IE"/>
              </w:rPr>
            </w:pPr>
            <w:r w:rsidRPr="003268F2">
              <w:rPr>
                <w:noProof/>
                <w:color w:val="000000"/>
                <w:sz w:val="18"/>
                <w:szCs w:val="18"/>
                <w:lang w:val="en-IE" w:eastAsia="en-IE"/>
              </w:rPr>
              <w:t>Payments</w:t>
            </w:r>
          </w:p>
        </w:tc>
        <w:tc>
          <w:tcPr>
            <w:tcW w:w="398" w:type="pct"/>
            <w:shd w:val="clear" w:color="auto" w:fill="D9D9D9" w:themeFill="background1" w:themeFillShade="D9"/>
            <w:vAlign w:val="center"/>
            <w:hideMark/>
          </w:tcPr>
          <w:p w14:paraId="7272B615" w14:textId="77777777" w:rsidR="00876DCE" w:rsidRPr="003268F2" w:rsidRDefault="00876DCE" w:rsidP="009A133F">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398" w:type="pct"/>
            <w:shd w:val="clear" w:color="auto" w:fill="D9D9D9" w:themeFill="background1" w:themeFillShade="D9"/>
            <w:vAlign w:val="center"/>
            <w:hideMark/>
          </w:tcPr>
          <w:p w14:paraId="35C0487A" w14:textId="77777777" w:rsidR="00876DCE" w:rsidRPr="003268F2" w:rsidRDefault="00876DCE" w:rsidP="009A133F">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398" w:type="pct"/>
            <w:shd w:val="clear" w:color="auto" w:fill="D9D9D9" w:themeFill="background1" w:themeFillShade="D9"/>
            <w:vAlign w:val="center"/>
            <w:hideMark/>
          </w:tcPr>
          <w:p w14:paraId="2CA94C1C" w14:textId="77777777" w:rsidR="00876DCE" w:rsidRPr="003268F2" w:rsidRDefault="00876DCE" w:rsidP="009A133F">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398" w:type="pct"/>
            <w:shd w:val="clear" w:color="auto" w:fill="D9D9D9" w:themeFill="background1" w:themeFillShade="D9"/>
            <w:vAlign w:val="center"/>
            <w:hideMark/>
          </w:tcPr>
          <w:p w14:paraId="75D99533" w14:textId="77777777" w:rsidR="00876DCE" w:rsidRPr="00BE43F2" w:rsidRDefault="00876DCE" w:rsidP="009A133F">
            <w:pPr>
              <w:spacing w:before="0" w:after="0"/>
              <w:jc w:val="right"/>
              <w:rPr>
                <w:b/>
                <w:noProof/>
                <w:color w:val="000000" w:themeColor="text1"/>
                <w:szCs w:val="24"/>
                <w:lang w:val="en-IE" w:eastAsia="en-IE"/>
              </w:rPr>
            </w:pPr>
            <w:r>
              <w:rPr>
                <w:b/>
                <w:bCs/>
                <w:noProof/>
                <w:color w:val="000000"/>
              </w:rPr>
              <w:t>5,129</w:t>
            </w:r>
          </w:p>
        </w:tc>
        <w:tc>
          <w:tcPr>
            <w:tcW w:w="482" w:type="pct"/>
            <w:shd w:val="clear" w:color="auto" w:fill="D9D9D9" w:themeFill="background1" w:themeFillShade="D9"/>
            <w:vAlign w:val="center"/>
            <w:hideMark/>
          </w:tcPr>
          <w:p w14:paraId="373DCD39" w14:textId="77777777" w:rsidR="00876DCE" w:rsidRPr="004D4450" w:rsidRDefault="00876DCE" w:rsidP="009A133F">
            <w:pPr>
              <w:spacing w:before="0" w:after="0"/>
              <w:jc w:val="right"/>
              <w:rPr>
                <w:b/>
                <w:noProof/>
                <w:color w:val="000000" w:themeColor="text1"/>
                <w:lang w:val="en-IE" w:eastAsia="en-IE"/>
              </w:rPr>
            </w:pPr>
            <w:r>
              <w:rPr>
                <w:b/>
                <w:bCs/>
                <w:noProof/>
                <w:color w:val="000000"/>
              </w:rPr>
              <w:t>5,129</w:t>
            </w:r>
          </w:p>
        </w:tc>
        <w:tc>
          <w:tcPr>
            <w:tcW w:w="482" w:type="pct"/>
            <w:shd w:val="clear" w:color="auto" w:fill="D9D9D9" w:themeFill="background1" w:themeFillShade="D9"/>
            <w:vAlign w:val="center"/>
          </w:tcPr>
          <w:p w14:paraId="58F6DBBF" w14:textId="77777777" w:rsidR="00876DCE" w:rsidRPr="007B7DF7" w:rsidRDefault="00876DCE" w:rsidP="009A133F">
            <w:pPr>
              <w:spacing w:before="0" w:after="0"/>
              <w:jc w:val="center"/>
              <w:rPr>
                <w:b/>
                <w:bCs/>
                <w:noProof/>
                <w:color w:val="000000" w:themeColor="text1"/>
                <w:lang w:val="en-IE" w:eastAsia="en-IE"/>
              </w:rPr>
            </w:pPr>
            <w:r>
              <w:rPr>
                <w:b/>
                <w:bCs/>
                <w:noProof/>
                <w:color w:val="000000"/>
                <w:sz w:val="22"/>
              </w:rPr>
              <w:t>22,042</w:t>
            </w:r>
          </w:p>
        </w:tc>
      </w:tr>
      <w:bookmarkEnd w:id="153"/>
    </w:tbl>
    <w:p w14:paraId="2212EE6C" w14:textId="77777777" w:rsidR="00876DCE" w:rsidRDefault="00876DCE" w:rsidP="00AF7A86">
      <w:pPr>
        <w:jc w:val="right"/>
        <w:rPr>
          <w:noProof/>
          <w:sz w:val="20"/>
          <w:lang w:val="en-IE"/>
        </w:rPr>
      </w:pPr>
    </w:p>
    <w:p w14:paraId="4B516A78" w14:textId="77777777" w:rsidR="00AF7A86" w:rsidRDefault="00AF7A86" w:rsidP="00AF7A86">
      <w:pPr>
        <w:pStyle w:val="ManualHeading3"/>
        <w:rPr>
          <w:noProof/>
        </w:rPr>
      </w:pPr>
      <w:bookmarkStart w:id="154" w:name="_Toc514938054"/>
      <w:bookmarkStart w:id="155" w:name="_Toc520485053"/>
      <w:bookmarkStart w:id="156" w:name="_Toc160804597"/>
      <w:bookmarkStart w:id="157" w:name="_Toc172893708"/>
      <w:r w:rsidRPr="0021790A">
        <w:rPr>
          <w:noProof/>
        </w:rPr>
        <w:t>3.2.2.</w:t>
      </w:r>
      <w:r w:rsidRPr="0021790A">
        <w:rPr>
          <w:noProof/>
        </w:rPr>
        <w:tab/>
      </w:r>
      <w:r>
        <w:rPr>
          <w:noProof/>
        </w:rPr>
        <w:t>Estimated output funded from operational appropriations</w:t>
      </w:r>
      <w:bookmarkEnd w:id="154"/>
      <w:bookmarkEnd w:id="155"/>
      <w:r>
        <w:rPr>
          <w:noProof/>
        </w:rPr>
        <w:t xml:space="preserve"> </w:t>
      </w:r>
      <w:bookmarkEnd w:id="156"/>
      <w:bookmarkEnd w:id="157"/>
    </w:p>
    <w:p w14:paraId="0D6E5124" w14:textId="77777777" w:rsidR="00AF7A86" w:rsidRPr="003A769F" w:rsidRDefault="00AF7A86" w:rsidP="00AF7A86">
      <w:pPr>
        <w:jc w:val="right"/>
        <w:rPr>
          <w:noProof/>
          <w:sz w:val="20"/>
          <w:lang w:val="en-IE"/>
        </w:rPr>
      </w:pPr>
      <w:r w:rsidRPr="003A769F">
        <w:rPr>
          <w:noProof/>
          <w:sz w:val="20"/>
          <w:lang w:val="en-IE"/>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82"/>
        <w:gridCol w:w="18"/>
        <w:gridCol w:w="720"/>
        <w:gridCol w:w="540"/>
        <w:gridCol w:w="648"/>
        <w:gridCol w:w="432"/>
        <w:gridCol w:w="720"/>
        <w:gridCol w:w="540"/>
        <w:gridCol w:w="720"/>
        <w:gridCol w:w="720"/>
        <w:gridCol w:w="900"/>
      </w:tblGrid>
      <w:tr w:rsidR="00AF7A86" w14:paraId="5EAE4CC7" w14:textId="77777777">
        <w:trPr>
          <w:jc w:val="center"/>
        </w:trPr>
        <w:tc>
          <w:tcPr>
            <w:tcW w:w="1423" w:type="dxa"/>
            <w:vMerge w:val="restart"/>
            <w:vAlign w:val="center"/>
          </w:tcPr>
          <w:p w14:paraId="5C2B99DC" w14:textId="77777777" w:rsidR="00AF7A86" w:rsidRDefault="00AF7A86">
            <w:pPr>
              <w:ind w:right="-29"/>
              <w:jc w:val="center"/>
              <w:rPr>
                <w:b/>
                <w:noProof/>
                <w:sz w:val="18"/>
                <w:szCs w:val="18"/>
              </w:rPr>
            </w:pPr>
            <w:r>
              <w:rPr>
                <w:b/>
                <w:noProof/>
                <w:sz w:val="18"/>
              </w:rPr>
              <w:t xml:space="preserve">Indicate objectives and outputs </w:t>
            </w:r>
          </w:p>
          <w:p w14:paraId="0FBA6737" w14:textId="77777777" w:rsidR="00AF7A86" w:rsidRDefault="00AF7A86">
            <w:pPr>
              <w:ind w:right="-29"/>
              <w:jc w:val="center"/>
              <w:rPr>
                <w:b/>
                <w:noProof/>
                <w:sz w:val="18"/>
                <w:szCs w:val="18"/>
              </w:rPr>
            </w:pPr>
          </w:p>
          <w:p w14:paraId="7D1657BB" w14:textId="77777777" w:rsidR="00AF7A86" w:rsidRDefault="00AF7A86">
            <w:pPr>
              <w:ind w:right="-29"/>
              <w:jc w:val="center"/>
              <w:rPr>
                <w:noProof/>
                <w:sz w:val="18"/>
                <w:szCs w:val="18"/>
              </w:rPr>
            </w:pPr>
            <w:r>
              <w:rPr>
                <w:rFonts w:ascii="Wingdings" w:eastAsia="Wingdings" w:hAnsi="Wingdings" w:cs="Wingdings"/>
                <w:noProof/>
                <w:sz w:val="18"/>
              </w:rPr>
              <w:t></w:t>
            </w:r>
          </w:p>
        </w:tc>
        <w:tc>
          <w:tcPr>
            <w:tcW w:w="720" w:type="dxa"/>
            <w:vAlign w:val="center"/>
          </w:tcPr>
          <w:p w14:paraId="5D30AE52" w14:textId="77777777" w:rsidR="00AF7A86" w:rsidRDefault="00AF7A86">
            <w:pPr>
              <w:ind w:right="-29"/>
              <w:jc w:val="center"/>
              <w:rPr>
                <w:noProof/>
                <w:sz w:val="18"/>
                <w:szCs w:val="18"/>
              </w:rPr>
            </w:pPr>
          </w:p>
        </w:tc>
        <w:tc>
          <w:tcPr>
            <w:tcW w:w="701" w:type="dxa"/>
            <w:vAlign w:val="center"/>
          </w:tcPr>
          <w:p w14:paraId="2F9C76B4" w14:textId="77777777" w:rsidR="00AF7A86" w:rsidRDefault="00AF7A86">
            <w:pPr>
              <w:ind w:right="-29"/>
              <w:jc w:val="center"/>
              <w:rPr>
                <w:noProof/>
                <w:sz w:val="18"/>
                <w:szCs w:val="18"/>
              </w:rPr>
            </w:pPr>
          </w:p>
        </w:tc>
        <w:tc>
          <w:tcPr>
            <w:tcW w:w="1224" w:type="dxa"/>
            <w:gridSpan w:val="2"/>
            <w:tcBorders>
              <w:left w:val="nil"/>
            </w:tcBorders>
            <w:vAlign w:val="center"/>
          </w:tcPr>
          <w:p w14:paraId="208294FC" w14:textId="77777777" w:rsidR="00AF7A86" w:rsidRDefault="00AF7A86">
            <w:pPr>
              <w:ind w:right="-29"/>
              <w:jc w:val="center"/>
              <w:rPr>
                <w:noProof/>
                <w:sz w:val="18"/>
                <w:szCs w:val="18"/>
              </w:rPr>
            </w:pPr>
            <w:r>
              <w:rPr>
                <w:noProof/>
                <w:sz w:val="18"/>
              </w:rPr>
              <w:t xml:space="preserve">Year </w:t>
            </w:r>
            <w:r>
              <w:rPr>
                <w:noProof/>
                <w:sz w:val="22"/>
              </w:rPr>
              <w:br/>
            </w:r>
            <w:r>
              <w:rPr>
                <w:b/>
                <w:noProof/>
                <w:sz w:val="18"/>
              </w:rPr>
              <w:t>2024</w:t>
            </w:r>
          </w:p>
        </w:tc>
        <w:tc>
          <w:tcPr>
            <w:tcW w:w="1260" w:type="dxa"/>
            <w:gridSpan w:val="2"/>
            <w:vAlign w:val="center"/>
          </w:tcPr>
          <w:p w14:paraId="4C9A46DC" w14:textId="77777777" w:rsidR="00AF7A86" w:rsidRDefault="00AF7A86">
            <w:pPr>
              <w:ind w:right="-29"/>
              <w:jc w:val="center"/>
              <w:rPr>
                <w:noProof/>
                <w:sz w:val="18"/>
                <w:szCs w:val="18"/>
              </w:rPr>
            </w:pPr>
            <w:r>
              <w:rPr>
                <w:noProof/>
                <w:sz w:val="18"/>
              </w:rPr>
              <w:t xml:space="preserve">Year </w:t>
            </w:r>
            <w:r>
              <w:rPr>
                <w:noProof/>
                <w:sz w:val="22"/>
              </w:rPr>
              <w:br/>
            </w:r>
            <w:r>
              <w:rPr>
                <w:b/>
                <w:noProof/>
                <w:sz w:val="18"/>
              </w:rPr>
              <w:t>2025</w:t>
            </w:r>
          </w:p>
        </w:tc>
        <w:tc>
          <w:tcPr>
            <w:tcW w:w="1440" w:type="dxa"/>
            <w:gridSpan w:val="2"/>
            <w:vAlign w:val="center"/>
          </w:tcPr>
          <w:p w14:paraId="559D526B" w14:textId="77777777" w:rsidR="00AF7A86" w:rsidRDefault="00AF7A86">
            <w:pPr>
              <w:ind w:right="-29"/>
              <w:jc w:val="center"/>
              <w:rPr>
                <w:noProof/>
                <w:sz w:val="18"/>
                <w:szCs w:val="18"/>
              </w:rPr>
            </w:pPr>
            <w:r>
              <w:rPr>
                <w:noProof/>
                <w:sz w:val="18"/>
              </w:rPr>
              <w:t xml:space="preserve">Year </w:t>
            </w:r>
            <w:r>
              <w:rPr>
                <w:noProof/>
                <w:sz w:val="22"/>
              </w:rPr>
              <w:br/>
            </w:r>
            <w:r>
              <w:rPr>
                <w:b/>
                <w:noProof/>
                <w:sz w:val="18"/>
              </w:rPr>
              <w:t>2026</w:t>
            </w:r>
          </w:p>
        </w:tc>
        <w:tc>
          <w:tcPr>
            <w:tcW w:w="1620" w:type="dxa"/>
            <w:gridSpan w:val="3"/>
            <w:vAlign w:val="center"/>
          </w:tcPr>
          <w:p w14:paraId="0F6FAD50" w14:textId="77777777" w:rsidR="00AF7A86" w:rsidRDefault="00AF7A86">
            <w:pPr>
              <w:ind w:right="-29"/>
              <w:jc w:val="center"/>
              <w:rPr>
                <w:noProof/>
                <w:sz w:val="18"/>
                <w:szCs w:val="18"/>
              </w:rPr>
            </w:pPr>
            <w:r>
              <w:rPr>
                <w:noProof/>
                <w:sz w:val="18"/>
              </w:rPr>
              <w:t xml:space="preserve">Year </w:t>
            </w:r>
            <w:r>
              <w:rPr>
                <w:noProof/>
                <w:sz w:val="22"/>
              </w:rPr>
              <w:br/>
            </w:r>
            <w:r>
              <w:rPr>
                <w:b/>
                <w:noProof/>
                <w:sz w:val="18"/>
              </w:rPr>
              <w:t>2027</w:t>
            </w:r>
          </w:p>
        </w:tc>
        <w:tc>
          <w:tcPr>
            <w:tcW w:w="3600" w:type="dxa"/>
            <w:gridSpan w:val="6"/>
            <w:vAlign w:val="center"/>
          </w:tcPr>
          <w:p w14:paraId="4A5892C1" w14:textId="77777777" w:rsidR="00AF7A86" w:rsidRPr="003A769F" w:rsidRDefault="00AF7A86">
            <w:pPr>
              <w:jc w:val="center"/>
              <w:rPr>
                <w:noProof/>
                <w:sz w:val="18"/>
                <w:szCs w:val="18"/>
                <w:lang w:val="en-IE"/>
              </w:rPr>
            </w:pPr>
            <w:r w:rsidRPr="003A769F">
              <w:rPr>
                <w:noProof/>
                <w:sz w:val="18"/>
                <w:lang w:val="en-IE"/>
              </w:rPr>
              <w:t xml:space="preserve">Enter as many years as necessary to show the duration of the impact (see </w:t>
            </w:r>
            <w:r>
              <w:rPr>
                <w:noProof/>
                <w:sz w:val="18"/>
                <w:lang w:val="en-IE"/>
              </w:rPr>
              <w:t>Section</w:t>
            </w:r>
            <w:r w:rsidRPr="003A769F">
              <w:rPr>
                <w:noProof/>
                <w:sz w:val="18"/>
                <w:lang w:val="en-IE"/>
              </w:rPr>
              <w:t xml:space="preserve"> 1.6)</w:t>
            </w:r>
          </w:p>
        </w:tc>
        <w:tc>
          <w:tcPr>
            <w:tcW w:w="1620" w:type="dxa"/>
            <w:gridSpan w:val="2"/>
            <w:tcBorders>
              <w:left w:val="nil"/>
              <w:bottom w:val="nil"/>
            </w:tcBorders>
            <w:vAlign w:val="center"/>
          </w:tcPr>
          <w:p w14:paraId="4302D4E6" w14:textId="77777777" w:rsidR="00AF7A86" w:rsidRDefault="00AF7A86">
            <w:pPr>
              <w:ind w:right="-29"/>
              <w:jc w:val="center"/>
              <w:rPr>
                <w:noProof/>
                <w:sz w:val="18"/>
                <w:szCs w:val="18"/>
              </w:rPr>
            </w:pPr>
            <w:r>
              <w:rPr>
                <w:b/>
                <w:noProof/>
                <w:sz w:val="18"/>
              </w:rPr>
              <w:t>TOTAL</w:t>
            </w:r>
          </w:p>
        </w:tc>
      </w:tr>
      <w:tr w:rsidR="00AF7A86" w14:paraId="0542C742" w14:textId="77777777">
        <w:trPr>
          <w:jc w:val="center"/>
        </w:trPr>
        <w:tc>
          <w:tcPr>
            <w:tcW w:w="1423" w:type="dxa"/>
            <w:vMerge/>
            <w:vAlign w:val="center"/>
          </w:tcPr>
          <w:p w14:paraId="5FC4443C" w14:textId="77777777" w:rsidR="00AF7A86" w:rsidRDefault="00AF7A86">
            <w:pPr>
              <w:ind w:right="-29"/>
              <w:jc w:val="center"/>
              <w:rPr>
                <w:noProof/>
                <w:sz w:val="18"/>
                <w:szCs w:val="18"/>
              </w:rPr>
            </w:pPr>
          </w:p>
        </w:tc>
        <w:tc>
          <w:tcPr>
            <w:tcW w:w="12185" w:type="dxa"/>
            <w:gridSpan w:val="19"/>
            <w:vAlign w:val="center"/>
          </w:tcPr>
          <w:p w14:paraId="077A98C1" w14:textId="77777777" w:rsidR="00AF7A86" w:rsidRDefault="00AF7A86">
            <w:pPr>
              <w:spacing w:before="60" w:after="60"/>
              <w:ind w:right="-29"/>
              <w:jc w:val="center"/>
              <w:rPr>
                <w:noProof/>
                <w:sz w:val="18"/>
                <w:szCs w:val="18"/>
              </w:rPr>
            </w:pPr>
            <w:r>
              <w:rPr>
                <w:b/>
                <w:noProof/>
                <w:sz w:val="18"/>
              </w:rPr>
              <w:t>OUTPUTS</w:t>
            </w:r>
          </w:p>
        </w:tc>
      </w:tr>
      <w:tr w:rsidR="00AF7A86" w14:paraId="6B66F7A8" w14:textId="77777777">
        <w:trPr>
          <w:cantSplit/>
          <w:trHeight w:val="1134"/>
          <w:jc w:val="center"/>
        </w:trPr>
        <w:tc>
          <w:tcPr>
            <w:tcW w:w="1423" w:type="dxa"/>
            <w:vMerge/>
            <w:vAlign w:val="center"/>
          </w:tcPr>
          <w:p w14:paraId="6DE2E9B8" w14:textId="77777777" w:rsidR="00AF7A86" w:rsidRDefault="00AF7A86">
            <w:pPr>
              <w:rPr>
                <w:noProof/>
                <w:sz w:val="18"/>
                <w:szCs w:val="18"/>
              </w:rPr>
            </w:pPr>
          </w:p>
        </w:tc>
        <w:tc>
          <w:tcPr>
            <w:tcW w:w="720" w:type="dxa"/>
            <w:vAlign w:val="center"/>
          </w:tcPr>
          <w:p w14:paraId="352D2145" w14:textId="77777777" w:rsidR="00AF7A86" w:rsidRDefault="00AF7A86">
            <w:pPr>
              <w:jc w:val="center"/>
              <w:rPr>
                <w:noProof/>
                <w:sz w:val="18"/>
                <w:szCs w:val="18"/>
              </w:rPr>
            </w:pPr>
            <w:r>
              <w:rPr>
                <w:noProof/>
                <w:sz w:val="18"/>
              </w:rPr>
              <w:t>Type</w:t>
            </w:r>
            <w:r>
              <w:rPr>
                <w:rStyle w:val="FootnoteReference"/>
                <w:noProof/>
                <w:sz w:val="18"/>
              </w:rPr>
              <w:footnoteReference w:id="81"/>
            </w:r>
          </w:p>
          <w:p w14:paraId="1F621D6C" w14:textId="77777777" w:rsidR="00AF7A86" w:rsidRDefault="00AF7A86">
            <w:pPr>
              <w:spacing w:before="0" w:after="0"/>
              <w:jc w:val="center"/>
              <w:rPr>
                <w:noProof/>
                <w:sz w:val="18"/>
                <w:szCs w:val="18"/>
              </w:rPr>
            </w:pPr>
          </w:p>
        </w:tc>
        <w:tc>
          <w:tcPr>
            <w:tcW w:w="701" w:type="dxa"/>
            <w:vAlign w:val="center"/>
          </w:tcPr>
          <w:p w14:paraId="120F8B68" w14:textId="77777777" w:rsidR="00AF7A86" w:rsidRDefault="00AF7A86">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14:paraId="7963E015" w14:textId="77777777" w:rsidR="00AF7A86" w:rsidRDefault="00AF7A86">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07987487" w14:textId="77777777" w:rsidR="00AF7A86" w:rsidRDefault="00AF7A86">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7EBB0BEC" w14:textId="77777777" w:rsidR="00AF7A86" w:rsidRDefault="00AF7A86">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68C5555E" w14:textId="77777777" w:rsidR="00AF7A86" w:rsidRDefault="00AF7A86">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14:paraId="7568E211" w14:textId="77777777" w:rsidR="00AF7A86" w:rsidRDefault="00AF7A86">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53B5AE18" w14:textId="77777777" w:rsidR="00AF7A86" w:rsidRDefault="00AF7A86">
            <w:pPr>
              <w:jc w:val="center"/>
              <w:rPr>
                <w:noProof/>
                <w:sz w:val="18"/>
                <w:szCs w:val="18"/>
              </w:rPr>
            </w:pPr>
            <w:r>
              <w:rPr>
                <w:noProof/>
                <w:sz w:val="18"/>
              </w:rPr>
              <w:t>Cost</w:t>
            </w:r>
          </w:p>
        </w:tc>
        <w:tc>
          <w:tcPr>
            <w:tcW w:w="900" w:type="dxa"/>
            <w:gridSpan w:val="2"/>
            <w:tcBorders>
              <w:right w:val="dashSmallGap" w:sz="4" w:space="0" w:color="auto"/>
            </w:tcBorders>
            <w:shd w:val="pct10" w:color="auto" w:fill="auto"/>
            <w:textDirection w:val="btLr"/>
            <w:vAlign w:val="center"/>
          </w:tcPr>
          <w:p w14:paraId="7BE4BBBC" w14:textId="77777777" w:rsidR="00AF7A86" w:rsidRDefault="00AF7A86">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11032684" w14:textId="77777777" w:rsidR="00AF7A86" w:rsidRDefault="00AF7A86">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40E95C50" w14:textId="77777777" w:rsidR="00AF7A86" w:rsidRDefault="00AF7A86">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14:paraId="5387320B" w14:textId="77777777" w:rsidR="00AF7A86" w:rsidRDefault="00AF7A86">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14:paraId="0497A6B1" w14:textId="77777777" w:rsidR="00AF7A86" w:rsidRDefault="00AF7A86">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48E28DD8" w14:textId="77777777" w:rsidR="00AF7A86" w:rsidRDefault="00AF7A86">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3668847E" w14:textId="77777777" w:rsidR="00AF7A86" w:rsidRDefault="00AF7A86">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62AF9443" w14:textId="77777777" w:rsidR="00AF7A86" w:rsidRDefault="00AF7A86">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14:paraId="04D7BAEA" w14:textId="77777777" w:rsidR="00AF7A86" w:rsidRDefault="00AF7A86">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14:paraId="632A5E0D" w14:textId="77777777" w:rsidR="00AF7A86" w:rsidRDefault="00AF7A86">
            <w:pPr>
              <w:jc w:val="center"/>
              <w:rPr>
                <w:noProof/>
                <w:sz w:val="18"/>
                <w:szCs w:val="18"/>
              </w:rPr>
            </w:pPr>
            <w:r>
              <w:rPr>
                <w:noProof/>
                <w:sz w:val="18"/>
              </w:rPr>
              <w:t>Total cost</w:t>
            </w:r>
          </w:p>
        </w:tc>
      </w:tr>
      <w:tr w:rsidR="00AF7A86" w14:paraId="2642FFD1" w14:textId="77777777">
        <w:trPr>
          <w:jc w:val="center"/>
        </w:trPr>
        <w:tc>
          <w:tcPr>
            <w:tcW w:w="2844" w:type="dxa"/>
            <w:gridSpan w:val="3"/>
            <w:vAlign w:val="center"/>
          </w:tcPr>
          <w:p w14:paraId="6837C730" w14:textId="77777777" w:rsidR="00AF7A86" w:rsidRDefault="00AF7A86">
            <w:pPr>
              <w:spacing w:before="60" w:after="60"/>
              <w:ind w:right="-29"/>
              <w:jc w:val="center"/>
              <w:rPr>
                <w:noProof/>
                <w:sz w:val="18"/>
                <w:szCs w:val="18"/>
              </w:rPr>
            </w:pPr>
            <w:r>
              <w:rPr>
                <w:noProof/>
                <w:sz w:val="18"/>
              </w:rPr>
              <w:t>SPECIFIC OBJECTIVE No 1</w:t>
            </w:r>
            <w:r>
              <w:rPr>
                <w:rStyle w:val="FootnoteReference"/>
                <w:noProof/>
                <w:sz w:val="18"/>
              </w:rPr>
              <w:footnoteReference w:id="82"/>
            </w:r>
            <w:r>
              <w:rPr>
                <w:noProof/>
                <w:sz w:val="18"/>
              </w:rPr>
              <w:t>…</w:t>
            </w:r>
          </w:p>
        </w:tc>
        <w:tc>
          <w:tcPr>
            <w:tcW w:w="504" w:type="dxa"/>
            <w:tcBorders>
              <w:top w:val="nil"/>
              <w:left w:val="nil"/>
              <w:bottom w:val="nil"/>
              <w:right w:val="nil"/>
            </w:tcBorders>
          </w:tcPr>
          <w:p w14:paraId="3EE170A7"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69AB85F1" w14:textId="77777777" w:rsidR="00AF7A86" w:rsidRDefault="00AF7A86">
            <w:pPr>
              <w:spacing w:before="60" w:after="60"/>
              <w:ind w:right="-29"/>
              <w:jc w:val="center"/>
              <w:rPr>
                <w:noProof/>
                <w:sz w:val="18"/>
                <w:szCs w:val="18"/>
              </w:rPr>
            </w:pPr>
          </w:p>
        </w:tc>
        <w:tc>
          <w:tcPr>
            <w:tcW w:w="540" w:type="dxa"/>
            <w:tcBorders>
              <w:top w:val="nil"/>
              <w:left w:val="nil"/>
              <w:bottom w:val="nil"/>
              <w:right w:val="nil"/>
            </w:tcBorders>
          </w:tcPr>
          <w:p w14:paraId="743E4F21"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156EAA5D"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518A718C"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4732F7CD" w14:textId="77777777" w:rsidR="00AF7A86" w:rsidRDefault="00AF7A86">
            <w:pPr>
              <w:spacing w:before="60" w:after="60"/>
              <w:ind w:right="-29"/>
              <w:jc w:val="center"/>
              <w:rPr>
                <w:noProof/>
                <w:sz w:val="18"/>
                <w:szCs w:val="18"/>
              </w:rPr>
            </w:pPr>
          </w:p>
        </w:tc>
        <w:tc>
          <w:tcPr>
            <w:tcW w:w="900" w:type="dxa"/>
            <w:gridSpan w:val="2"/>
            <w:tcBorders>
              <w:top w:val="nil"/>
              <w:left w:val="nil"/>
              <w:bottom w:val="nil"/>
              <w:right w:val="nil"/>
            </w:tcBorders>
          </w:tcPr>
          <w:p w14:paraId="09595B8D"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4419EF2A" w14:textId="77777777" w:rsidR="00AF7A86" w:rsidRDefault="00AF7A86">
            <w:pPr>
              <w:spacing w:before="60" w:after="60"/>
              <w:ind w:right="-29"/>
              <w:jc w:val="center"/>
              <w:rPr>
                <w:noProof/>
                <w:sz w:val="18"/>
                <w:szCs w:val="18"/>
              </w:rPr>
            </w:pPr>
          </w:p>
        </w:tc>
        <w:tc>
          <w:tcPr>
            <w:tcW w:w="540" w:type="dxa"/>
            <w:tcBorders>
              <w:top w:val="nil"/>
              <w:left w:val="nil"/>
              <w:bottom w:val="nil"/>
              <w:right w:val="nil"/>
            </w:tcBorders>
          </w:tcPr>
          <w:p w14:paraId="31F8E7EA" w14:textId="77777777" w:rsidR="00AF7A86" w:rsidRDefault="00AF7A86">
            <w:pPr>
              <w:spacing w:before="60" w:after="60"/>
              <w:ind w:right="-29"/>
              <w:jc w:val="center"/>
              <w:rPr>
                <w:noProof/>
                <w:sz w:val="18"/>
                <w:szCs w:val="18"/>
              </w:rPr>
            </w:pPr>
          </w:p>
        </w:tc>
        <w:tc>
          <w:tcPr>
            <w:tcW w:w="648" w:type="dxa"/>
            <w:tcBorders>
              <w:top w:val="nil"/>
              <w:left w:val="nil"/>
              <w:bottom w:val="nil"/>
              <w:right w:val="nil"/>
            </w:tcBorders>
          </w:tcPr>
          <w:p w14:paraId="34E5C4B0" w14:textId="77777777" w:rsidR="00AF7A86" w:rsidRDefault="00AF7A86">
            <w:pPr>
              <w:spacing w:before="60" w:after="60"/>
              <w:ind w:right="-29"/>
              <w:jc w:val="center"/>
              <w:rPr>
                <w:noProof/>
                <w:sz w:val="18"/>
                <w:szCs w:val="18"/>
              </w:rPr>
            </w:pPr>
          </w:p>
        </w:tc>
        <w:tc>
          <w:tcPr>
            <w:tcW w:w="432" w:type="dxa"/>
            <w:tcBorders>
              <w:top w:val="nil"/>
              <w:left w:val="nil"/>
              <w:bottom w:val="nil"/>
              <w:right w:val="nil"/>
            </w:tcBorders>
          </w:tcPr>
          <w:p w14:paraId="6DB7751E"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3214F04B" w14:textId="77777777" w:rsidR="00AF7A86" w:rsidRDefault="00AF7A86">
            <w:pPr>
              <w:spacing w:before="60" w:after="60"/>
              <w:ind w:right="-29"/>
              <w:jc w:val="center"/>
              <w:rPr>
                <w:noProof/>
                <w:sz w:val="18"/>
                <w:szCs w:val="18"/>
              </w:rPr>
            </w:pPr>
          </w:p>
        </w:tc>
        <w:tc>
          <w:tcPr>
            <w:tcW w:w="540" w:type="dxa"/>
            <w:tcBorders>
              <w:top w:val="nil"/>
              <w:left w:val="nil"/>
              <w:bottom w:val="nil"/>
              <w:right w:val="nil"/>
            </w:tcBorders>
          </w:tcPr>
          <w:p w14:paraId="68533267"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5AC18C5B"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4E327153" w14:textId="77777777" w:rsidR="00AF7A86" w:rsidRDefault="00AF7A86">
            <w:pPr>
              <w:spacing w:before="60" w:after="60"/>
              <w:ind w:right="-29"/>
              <w:jc w:val="center"/>
              <w:rPr>
                <w:noProof/>
                <w:sz w:val="18"/>
                <w:szCs w:val="18"/>
              </w:rPr>
            </w:pPr>
          </w:p>
        </w:tc>
        <w:tc>
          <w:tcPr>
            <w:tcW w:w="900" w:type="dxa"/>
            <w:tcBorders>
              <w:top w:val="nil"/>
              <w:left w:val="nil"/>
              <w:bottom w:val="nil"/>
              <w:right w:val="nil"/>
            </w:tcBorders>
          </w:tcPr>
          <w:p w14:paraId="00325712" w14:textId="77777777" w:rsidR="00AF7A86" w:rsidRDefault="00AF7A86">
            <w:pPr>
              <w:spacing w:before="60" w:after="60"/>
              <w:ind w:right="-29"/>
              <w:jc w:val="center"/>
              <w:rPr>
                <w:noProof/>
                <w:sz w:val="18"/>
                <w:szCs w:val="18"/>
              </w:rPr>
            </w:pPr>
          </w:p>
        </w:tc>
      </w:tr>
      <w:tr w:rsidR="00AF7A86" w14:paraId="5C46ACF2" w14:textId="77777777">
        <w:trPr>
          <w:trHeight w:hRule="exact" w:val="369"/>
          <w:jc w:val="center"/>
        </w:trPr>
        <w:tc>
          <w:tcPr>
            <w:tcW w:w="1423" w:type="dxa"/>
          </w:tcPr>
          <w:p w14:paraId="735CCA31" w14:textId="77777777" w:rsidR="00AF7A86" w:rsidRDefault="00AF7A86">
            <w:pPr>
              <w:ind w:right="-29"/>
              <w:jc w:val="center"/>
              <w:rPr>
                <w:noProof/>
                <w:sz w:val="18"/>
                <w:szCs w:val="18"/>
              </w:rPr>
            </w:pPr>
            <w:r>
              <w:rPr>
                <w:noProof/>
                <w:sz w:val="18"/>
              </w:rPr>
              <w:t>- Output</w:t>
            </w:r>
          </w:p>
        </w:tc>
        <w:tc>
          <w:tcPr>
            <w:tcW w:w="720" w:type="dxa"/>
          </w:tcPr>
          <w:p w14:paraId="49C5BD26" w14:textId="77777777" w:rsidR="00AF7A86" w:rsidRDefault="00AF7A86">
            <w:pPr>
              <w:ind w:right="-29"/>
              <w:jc w:val="center"/>
              <w:rPr>
                <w:noProof/>
                <w:sz w:val="18"/>
                <w:szCs w:val="18"/>
              </w:rPr>
            </w:pPr>
          </w:p>
        </w:tc>
        <w:tc>
          <w:tcPr>
            <w:tcW w:w="701" w:type="dxa"/>
          </w:tcPr>
          <w:p w14:paraId="41F644AE" w14:textId="77777777" w:rsidR="00AF7A86" w:rsidRDefault="00AF7A86">
            <w:pPr>
              <w:ind w:right="-29"/>
              <w:jc w:val="center"/>
              <w:rPr>
                <w:noProof/>
                <w:sz w:val="18"/>
                <w:szCs w:val="18"/>
              </w:rPr>
            </w:pPr>
          </w:p>
        </w:tc>
        <w:tc>
          <w:tcPr>
            <w:tcW w:w="504" w:type="dxa"/>
            <w:tcBorders>
              <w:right w:val="dashSmallGap" w:sz="4" w:space="0" w:color="auto"/>
            </w:tcBorders>
          </w:tcPr>
          <w:p w14:paraId="1FB593F1" w14:textId="77777777" w:rsidR="00AF7A86" w:rsidRDefault="00AF7A86">
            <w:pPr>
              <w:ind w:right="-29"/>
              <w:jc w:val="center"/>
              <w:rPr>
                <w:noProof/>
                <w:sz w:val="18"/>
                <w:szCs w:val="18"/>
              </w:rPr>
            </w:pPr>
          </w:p>
        </w:tc>
        <w:tc>
          <w:tcPr>
            <w:tcW w:w="720" w:type="dxa"/>
            <w:tcBorders>
              <w:left w:val="dashSmallGap" w:sz="4" w:space="0" w:color="auto"/>
            </w:tcBorders>
          </w:tcPr>
          <w:p w14:paraId="13F93808" w14:textId="77777777" w:rsidR="00AF7A86" w:rsidRDefault="00AF7A86">
            <w:pPr>
              <w:ind w:right="-29"/>
              <w:jc w:val="center"/>
              <w:rPr>
                <w:noProof/>
                <w:sz w:val="18"/>
                <w:szCs w:val="18"/>
              </w:rPr>
            </w:pPr>
          </w:p>
        </w:tc>
        <w:tc>
          <w:tcPr>
            <w:tcW w:w="540" w:type="dxa"/>
            <w:tcBorders>
              <w:right w:val="dashSmallGap" w:sz="4" w:space="0" w:color="auto"/>
            </w:tcBorders>
          </w:tcPr>
          <w:p w14:paraId="5AE73637" w14:textId="77777777" w:rsidR="00AF7A86" w:rsidRDefault="00AF7A86">
            <w:pPr>
              <w:ind w:right="-29"/>
              <w:jc w:val="center"/>
              <w:rPr>
                <w:noProof/>
                <w:sz w:val="18"/>
                <w:szCs w:val="18"/>
              </w:rPr>
            </w:pPr>
          </w:p>
        </w:tc>
        <w:tc>
          <w:tcPr>
            <w:tcW w:w="720" w:type="dxa"/>
            <w:tcBorders>
              <w:left w:val="dashSmallGap" w:sz="4" w:space="0" w:color="auto"/>
            </w:tcBorders>
          </w:tcPr>
          <w:p w14:paraId="7317B55E" w14:textId="77777777" w:rsidR="00AF7A86" w:rsidRDefault="00AF7A86">
            <w:pPr>
              <w:ind w:right="-29"/>
              <w:jc w:val="center"/>
              <w:rPr>
                <w:noProof/>
                <w:sz w:val="18"/>
                <w:szCs w:val="18"/>
              </w:rPr>
            </w:pPr>
          </w:p>
        </w:tc>
        <w:tc>
          <w:tcPr>
            <w:tcW w:w="720" w:type="dxa"/>
            <w:tcBorders>
              <w:right w:val="dashSmallGap" w:sz="4" w:space="0" w:color="auto"/>
            </w:tcBorders>
          </w:tcPr>
          <w:p w14:paraId="6F95CBBC" w14:textId="77777777" w:rsidR="00AF7A86" w:rsidRDefault="00AF7A86">
            <w:pPr>
              <w:ind w:right="-29"/>
              <w:jc w:val="center"/>
              <w:rPr>
                <w:noProof/>
                <w:sz w:val="18"/>
                <w:szCs w:val="18"/>
              </w:rPr>
            </w:pPr>
          </w:p>
        </w:tc>
        <w:tc>
          <w:tcPr>
            <w:tcW w:w="720" w:type="dxa"/>
            <w:tcBorders>
              <w:left w:val="dashSmallGap" w:sz="4" w:space="0" w:color="auto"/>
            </w:tcBorders>
          </w:tcPr>
          <w:p w14:paraId="60B5DD69" w14:textId="77777777" w:rsidR="00AF7A86" w:rsidRDefault="00AF7A86">
            <w:pPr>
              <w:ind w:right="-29"/>
              <w:jc w:val="center"/>
              <w:rPr>
                <w:noProof/>
                <w:sz w:val="18"/>
                <w:szCs w:val="18"/>
              </w:rPr>
            </w:pPr>
          </w:p>
        </w:tc>
        <w:tc>
          <w:tcPr>
            <w:tcW w:w="900" w:type="dxa"/>
            <w:gridSpan w:val="2"/>
            <w:tcBorders>
              <w:right w:val="dashSmallGap" w:sz="4" w:space="0" w:color="auto"/>
            </w:tcBorders>
          </w:tcPr>
          <w:p w14:paraId="3BFBF790" w14:textId="77777777" w:rsidR="00AF7A86" w:rsidRDefault="00AF7A86">
            <w:pPr>
              <w:ind w:right="-29"/>
              <w:jc w:val="center"/>
              <w:rPr>
                <w:noProof/>
                <w:sz w:val="18"/>
                <w:szCs w:val="18"/>
              </w:rPr>
            </w:pPr>
          </w:p>
        </w:tc>
        <w:tc>
          <w:tcPr>
            <w:tcW w:w="720" w:type="dxa"/>
            <w:tcBorders>
              <w:left w:val="dashSmallGap" w:sz="4" w:space="0" w:color="auto"/>
            </w:tcBorders>
          </w:tcPr>
          <w:p w14:paraId="4C5510CD" w14:textId="77777777" w:rsidR="00AF7A86" w:rsidRDefault="00AF7A86">
            <w:pPr>
              <w:ind w:right="-29"/>
              <w:jc w:val="center"/>
              <w:rPr>
                <w:noProof/>
                <w:sz w:val="18"/>
                <w:szCs w:val="18"/>
              </w:rPr>
            </w:pPr>
          </w:p>
        </w:tc>
        <w:tc>
          <w:tcPr>
            <w:tcW w:w="540" w:type="dxa"/>
            <w:tcBorders>
              <w:right w:val="dashSmallGap" w:sz="4" w:space="0" w:color="auto"/>
            </w:tcBorders>
          </w:tcPr>
          <w:p w14:paraId="767258DE" w14:textId="77777777" w:rsidR="00AF7A86" w:rsidRDefault="00AF7A86">
            <w:pPr>
              <w:ind w:right="-29"/>
              <w:jc w:val="center"/>
              <w:rPr>
                <w:noProof/>
                <w:sz w:val="18"/>
                <w:szCs w:val="18"/>
              </w:rPr>
            </w:pPr>
          </w:p>
        </w:tc>
        <w:tc>
          <w:tcPr>
            <w:tcW w:w="648" w:type="dxa"/>
            <w:tcBorders>
              <w:left w:val="dashSmallGap" w:sz="4" w:space="0" w:color="auto"/>
            </w:tcBorders>
          </w:tcPr>
          <w:p w14:paraId="1BC83908" w14:textId="77777777" w:rsidR="00AF7A86" w:rsidRDefault="00AF7A86">
            <w:pPr>
              <w:ind w:right="-29"/>
              <w:jc w:val="center"/>
              <w:rPr>
                <w:noProof/>
                <w:sz w:val="18"/>
                <w:szCs w:val="18"/>
              </w:rPr>
            </w:pPr>
          </w:p>
        </w:tc>
        <w:tc>
          <w:tcPr>
            <w:tcW w:w="432" w:type="dxa"/>
            <w:tcBorders>
              <w:right w:val="dashSmallGap" w:sz="4" w:space="0" w:color="auto"/>
            </w:tcBorders>
          </w:tcPr>
          <w:p w14:paraId="6B40AF76" w14:textId="77777777" w:rsidR="00AF7A86" w:rsidRDefault="00AF7A86">
            <w:pPr>
              <w:ind w:right="-29"/>
              <w:jc w:val="center"/>
              <w:rPr>
                <w:noProof/>
                <w:sz w:val="18"/>
                <w:szCs w:val="18"/>
              </w:rPr>
            </w:pPr>
          </w:p>
        </w:tc>
        <w:tc>
          <w:tcPr>
            <w:tcW w:w="720" w:type="dxa"/>
            <w:tcBorders>
              <w:left w:val="dashSmallGap" w:sz="4" w:space="0" w:color="auto"/>
            </w:tcBorders>
          </w:tcPr>
          <w:p w14:paraId="2B982D9E" w14:textId="77777777" w:rsidR="00AF7A86" w:rsidRDefault="00AF7A86">
            <w:pPr>
              <w:ind w:right="-29"/>
              <w:jc w:val="center"/>
              <w:rPr>
                <w:noProof/>
                <w:sz w:val="18"/>
                <w:szCs w:val="18"/>
              </w:rPr>
            </w:pPr>
          </w:p>
        </w:tc>
        <w:tc>
          <w:tcPr>
            <w:tcW w:w="540" w:type="dxa"/>
            <w:tcBorders>
              <w:right w:val="dashSmallGap" w:sz="4" w:space="0" w:color="auto"/>
            </w:tcBorders>
          </w:tcPr>
          <w:p w14:paraId="081AC1AC" w14:textId="77777777" w:rsidR="00AF7A86" w:rsidRDefault="00AF7A86">
            <w:pPr>
              <w:ind w:right="-29"/>
              <w:jc w:val="center"/>
              <w:rPr>
                <w:noProof/>
                <w:sz w:val="18"/>
                <w:szCs w:val="18"/>
              </w:rPr>
            </w:pPr>
          </w:p>
        </w:tc>
        <w:tc>
          <w:tcPr>
            <w:tcW w:w="720" w:type="dxa"/>
            <w:tcBorders>
              <w:left w:val="dashSmallGap" w:sz="4" w:space="0" w:color="auto"/>
            </w:tcBorders>
          </w:tcPr>
          <w:p w14:paraId="05848A9A" w14:textId="77777777" w:rsidR="00AF7A86" w:rsidRDefault="00AF7A86">
            <w:pPr>
              <w:ind w:right="-29"/>
              <w:jc w:val="center"/>
              <w:rPr>
                <w:noProof/>
                <w:sz w:val="18"/>
                <w:szCs w:val="18"/>
              </w:rPr>
            </w:pPr>
          </w:p>
        </w:tc>
        <w:tc>
          <w:tcPr>
            <w:tcW w:w="720" w:type="dxa"/>
          </w:tcPr>
          <w:p w14:paraId="48C5E261" w14:textId="77777777" w:rsidR="00AF7A86" w:rsidRDefault="00AF7A86">
            <w:pPr>
              <w:ind w:right="-29"/>
              <w:jc w:val="center"/>
              <w:rPr>
                <w:noProof/>
                <w:sz w:val="18"/>
                <w:szCs w:val="18"/>
              </w:rPr>
            </w:pPr>
          </w:p>
        </w:tc>
        <w:tc>
          <w:tcPr>
            <w:tcW w:w="900" w:type="dxa"/>
          </w:tcPr>
          <w:p w14:paraId="6A8A7210" w14:textId="77777777" w:rsidR="00AF7A86" w:rsidRDefault="00AF7A86">
            <w:pPr>
              <w:ind w:right="-29"/>
              <w:jc w:val="center"/>
              <w:rPr>
                <w:noProof/>
                <w:sz w:val="18"/>
                <w:szCs w:val="18"/>
              </w:rPr>
            </w:pPr>
          </w:p>
        </w:tc>
      </w:tr>
      <w:tr w:rsidR="00AF7A86" w14:paraId="52E30F2D" w14:textId="77777777">
        <w:trPr>
          <w:trHeight w:hRule="exact" w:val="369"/>
          <w:jc w:val="center"/>
        </w:trPr>
        <w:tc>
          <w:tcPr>
            <w:tcW w:w="1423" w:type="dxa"/>
          </w:tcPr>
          <w:p w14:paraId="1E65B7A7" w14:textId="77777777" w:rsidR="00AF7A86" w:rsidRDefault="00AF7A86">
            <w:pPr>
              <w:ind w:right="-29"/>
              <w:jc w:val="center"/>
              <w:rPr>
                <w:noProof/>
                <w:sz w:val="18"/>
                <w:szCs w:val="18"/>
              </w:rPr>
            </w:pPr>
            <w:r>
              <w:rPr>
                <w:noProof/>
                <w:sz w:val="18"/>
              </w:rPr>
              <w:t>- Output</w:t>
            </w:r>
          </w:p>
        </w:tc>
        <w:tc>
          <w:tcPr>
            <w:tcW w:w="720" w:type="dxa"/>
          </w:tcPr>
          <w:p w14:paraId="3F433F2F" w14:textId="77777777" w:rsidR="00AF7A86" w:rsidRDefault="00AF7A86">
            <w:pPr>
              <w:ind w:right="-29"/>
              <w:jc w:val="center"/>
              <w:rPr>
                <w:noProof/>
                <w:sz w:val="18"/>
                <w:szCs w:val="18"/>
              </w:rPr>
            </w:pPr>
          </w:p>
        </w:tc>
        <w:tc>
          <w:tcPr>
            <w:tcW w:w="701" w:type="dxa"/>
          </w:tcPr>
          <w:p w14:paraId="11DBCCC9" w14:textId="77777777" w:rsidR="00AF7A86" w:rsidRDefault="00AF7A86">
            <w:pPr>
              <w:ind w:right="-29"/>
              <w:jc w:val="center"/>
              <w:rPr>
                <w:noProof/>
                <w:sz w:val="18"/>
                <w:szCs w:val="18"/>
              </w:rPr>
            </w:pPr>
          </w:p>
        </w:tc>
        <w:tc>
          <w:tcPr>
            <w:tcW w:w="504" w:type="dxa"/>
            <w:tcBorders>
              <w:right w:val="dashSmallGap" w:sz="4" w:space="0" w:color="auto"/>
            </w:tcBorders>
          </w:tcPr>
          <w:p w14:paraId="384C0546" w14:textId="77777777" w:rsidR="00AF7A86" w:rsidRDefault="00AF7A86">
            <w:pPr>
              <w:ind w:right="-29"/>
              <w:jc w:val="center"/>
              <w:rPr>
                <w:noProof/>
                <w:sz w:val="18"/>
                <w:szCs w:val="18"/>
              </w:rPr>
            </w:pPr>
          </w:p>
        </w:tc>
        <w:tc>
          <w:tcPr>
            <w:tcW w:w="720" w:type="dxa"/>
            <w:tcBorders>
              <w:left w:val="dashSmallGap" w:sz="4" w:space="0" w:color="auto"/>
            </w:tcBorders>
          </w:tcPr>
          <w:p w14:paraId="5773287E" w14:textId="77777777" w:rsidR="00AF7A86" w:rsidRDefault="00AF7A86">
            <w:pPr>
              <w:ind w:right="-29"/>
              <w:jc w:val="center"/>
              <w:rPr>
                <w:noProof/>
                <w:sz w:val="18"/>
                <w:szCs w:val="18"/>
              </w:rPr>
            </w:pPr>
          </w:p>
        </w:tc>
        <w:tc>
          <w:tcPr>
            <w:tcW w:w="540" w:type="dxa"/>
            <w:tcBorders>
              <w:right w:val="dashSmallGap" w:sz="4" w:space="0" w:color="auto"/>
            </w:tcBorders>
          </w:tcPr>
          <w:p w14:paraId="77E55059" w14:textId="77777777" w:rsidR="00AF7A86" w:rsidRDefault="00AF7A86">
            <w:pPr>
              <w:ind w:right="-29"/>
              <w:jc w:val="center"/>
              <w:rPr>
                <w:noProof/>
                <w:sz w:val="18"/>
                <w:szCs w:val="18"/>
              </w:rPr>
            </w:pPr>
          </w:p>
        </w:tc>
        <w:tc>
          <w:tcPr>
            <w:tcW w:w="720" w:type="dxa"/>
            <w:tcBorders>
              <w:left w:val="dashSmallGap" w:sz="4" w:space="0" w:color="auto"/>
            </w:tcBorders>
          </w:tcPr>
          <w:p w14:paraId="334859B9" w14:textId="77777777" w:rsidR="00AF7A86" w:rsidRDefault="00AF7A86">
            <w:pPr>
              <w:ind w:right="-29"/>
              <w:jc w:val="center"/>
              <w:rPr>
                <w:noProof/>
                <w:sz w:val="18"/>
                <w:szCs w:val="18"/>
              </w:rPr>
            </w:pPr>
          </w:p>
        </w:tc>
        <w:tc>
          <w:tcPr>
            <w:tcW w:w="720" w:type="dxa"/>
            <w:tcBorders>
              <w:right w:val="dashSmallGap" w:sz="4" w:space="0" w:color="auto"/>
            </w:tcBorders>
          </w:tcPr>
          <w:p w14:paraId="79A6DD8E" w14:textId="77777777" w:rsidR="00AF7A86" w:rsidRDefault="00AF7A86">
            <w:pPr>
              <w:ind w:right="-29"/>
              <w:jc w:val="center"/>
              <w:rPr>
                <w:noProof/>
                <w:sz w:val="18"/>
                <w:szCs w:val="18"/>
              </w:rPr>
            </w:pPr>
          </w:p>
        </w:tc>
        <w:tc>
          <w:tcPr>
            <w:tcW w:w="720" w:type="dxa"/>
            <w:tcBorders>
              <w:left w:val="dashSmallGap" w:sz="4" w:space="0" w:color="auto"/>
            </w:tcBorders>
          </w:tcPr>
          <w:p w14:paraId="118E7824" w14:textId="77777777" w:rsidR="00AF7A86" w:rsidRDefault="00AF7A86">
            <w:pPr>
              <w:ind w:right="-29"/>
              <w:jc w:val="center"/>
              <w:rPr>
                <w:noProof/>
                <w:sz w:val="18"/>
                <w:szCs w:val="18"/>
              </w:rPr>
            </w:pPr>
          </w:p>
        </w:tc>
        <w:tc>
          <w:tcPr>
            <w:tcW w:w="900" w:type="dxa"/>
            <w:gridSpan w:val="2"/>
            <w:tcBorders>
              <w:right w:val="dashSmallGap" w:sz="4" w:space="0" w:color="auto"/>
            </w:tcBorders>
          </w:tcPr>
          <w:p w14:paraId="21A3B1C1" w14:textId="77777777" w:rsidR="00AF7A86" w:rsidRDefault="00AF7A86">
            <w:pPr>
              <w:ind w:right="-29"/>
              <w:jc w:val="center"/>
              <w:rPr>
                <w:noProof/>
                <w:sz w:val="18"/>
                <w:szCs w:val="18"/>
              </w:rPr>
            </w:pPr>
          </w:p>
        </w:tc>
        <w:tc>
          <w:tcPr>
            <w:tcW w:w="720" w:type="dxa"/>
            <w:tcBorders>
              <w:left w:val="dashSmallGap" w:sz="4" w:space="0" w:color="auto"/>
            </w:tcBorders>
          </w:tcPr>
          <w:p w14:paraId="1FE70731" w14:textId="77777777" w:rsidR="00AF7A86" w:rsidRDefault="00AF7A86">
            <w:pPr>
              <w:ind w:right="-29"/>
              <w:jc w:val="center"/>
              <w:rPr>
                <w:noProof/>
                <w:sz w:val="18"/>
                <w:szCs w:val="18"/>
              </w:rPr>
            </w:pPr>
          </w:p>
        </w:tc>
        <w:tc>
          <w:tcPr>
            <w:tcW w:w="540" w:type="dxa"/>
            <w:tcBorders>
              <w:right w:val="dashSmallGap" w:sz="4" w:space="0" w:color="auto"/>
            </w:tcBorders>
          </w:tcPr>
          <w:p w14:paraId="7D0BA09D" w14:textId="77777777" w:rsidR="00AF7A86" w:rsidRDefault="00AF7A86">
            <w:pPr>
              <w:ind w:right="-29"/>
              <w:jc w:val="center"/>
              <w:rPr>
                <w:noProof/>
                <w:sz w:val="18"/>
                <w:szCs w:val="18"/>
              </w:rPr>
            </w:pPr>
          </w:p>
        </w:tc>
        <w:tc>
          <w:tcPr>
            <w:tcW w:w="648" w:type="dxa"/>
            <w:tcBorders>
              <w:left w:val="dashSmallGap" w:sz="4" w:space="0" w:color="auto"/>
            </w:tcBorders>
          </w:tcPr>
          <w:p w14:paraId="421DA19E" w14:textId="77777777" w:rsidR="00AF7A86" w:rsidRDefault="00AF7A86">
            <w:pPr>
              <w:ind w:right="-29"/>
              <w:jc w:val="center"/>
              <w:rPr>
                <w:noProof/>
                <w:sz w:val="18"/>
                <w:szCs w:val="18"/>
              </w:rPr>
            </w:pPr>
          </w:p>
        </w:tc>
        <w:tc>
          <w:tcPr>
            <w:tcW w:w="432" w:type="dxa"/>
            <w:tcBorders>
              <w:right w:val="dashSmallGap" w:sz="4" w:space="0" w:color="auto"/>
            </w:tcBorders>
          </w:tcPr>
          <w:p w14:paraId="05CE0A89" w14:textId="77777777" w:rsidR="00AF7A86" w:rsidRDefault="00AF7A86">
            <w:pPr>
              <w:ind w:right="-29"/>
              <w:jc w:val="center"/>
              <w:rPr>
                <w:noProof/>
                <w:sz w:val="18"/>
                <w:szCs w:val="18"/>
              </w:rPr>
            </w:pPr>
          </w:p>
        </w:tc>
        <w:tc>
          <w:tcPr>
            <w:tcW w:w="720" w:type="dxa"/>
            <w:tcBorders>
              <w:left w:val="dashSmallGap" w:sz="4" w:space="0" w:color="auto"/>
            </w:tcBorders>
          </w:tcPr>
          <w:p w14:paraId="4C76DEF8" w14:textId="77777777" w:rsidR="00AF7A86" w:rsidRDefault="00AF7A86">
            <w:pPr>
              <w:ind w:right="-29"/>
              <w:jc w:val="center"/>
              <w:rPr>
                <w:noProof/>
                <w:sz w:val="18"/>
                <w:szCs w:val="18"/>
              </w:rPr>
            </w:pPr>
          </w:p>
        </w:tc>
        <w:tc>
          <w:tcPr>
            <w:tcW w:w="540" w:type="dxa"/>
            <w:tcBorders>
              <w:right w:val="dashSmallGap" w:sz="4" w:space="0" w:color="auto"/>
            </w:tcBorders>
          </w:tcPr>
          <w:p w14:paraId="0754A896" w14:textId="77777777" w:rsidR="00AF7A86" w:rsidRDefault="00AF7A86">
            <w:pPr>
              <w:ind w:right="-29"/>
              <w:jc w:val="center"/>
              <w:rPr>
                <w:noProof/>
                <w:sz w:val="18"/>
                <w:szCs w:val="18"/>
              </w:rPr>
            </w:pPr>
          </w:p>
        </w:tc>
        <w:tc>
          <w:tcPr>
            <w:tcW w:w="720" w:type="dxa"/>
            <w:tcBorders>
              <w:left w:val="dashSmallGap" w:sz="4" w:space="0" w:color="auto"/>
            </w:tcBorders>
          </w:tcPr>
          <w:p w14:paraId="55D449D3" w14:textId="77777777" w:rsidR="00AF7A86" w:rsidRDefault="00AF7A86">
            <w:pPr>
              <w:ind w:right="-29"/>
              <w:jc w:val="center"/>
              <w:rPr>
                <w:noProof/>
                <w:sz w:val="18"/>
                <w:szCs w:val="18"/>
              </w:rPr>
            </w:pPr>
          </w:p>
        </w:tc>
        <w:tc>
          <w:tcPr>
            <w:tcW w:w="720" w:type="dxa"/>
          </w:tcPr>
          <w:p w14:paraId="4C20FA7E" w14:textId="77777777" w:rsidR="00AF7A86" w:rsidRDefault="00AF7A86">
            <w:pPr>
              <w:ind w:right="-29"/>
              <w:jc w:val="center"/>
              <w:rPr>
                <w:noProof/>
                <w:sz w:val="18"/>
                <w:szCs w:val="18"/>
              </w:rPr>
            </w:pPr>
          </w:p>
        </w:tc>
        <w:tc>
          <w:tcPr>
            <w:tcW w:w="900" w:type="dxa"/>
          </w:tcPr>
          <w:p w14:paraId="2836A19F" w14:textId="77777777" w:rsidR="00AF7A86" w:rsidRDefault="00AF7A86">
            <w:pPr>
              <w:ind w:right="-29"/>
              <w:jc w:val="center"/>
              <w:rPr>
                <w:noProof/>
                <w:sz w:val="18"/>
                <w:szCs w:val="18"/>
              </w:rPr>
            </w:pPr>
          </w:p>
        </w:tc>
      </w:tr>
      <w:tr w:rsidR="00AF7A86" w14:paraId="7A9A39DF" w14:textId="77777777">
        <w:trPr>
          <w:trHeight w:hRule="exact" w:val="369"/>
          <w:jc w:val="center"/>
        </w:trPr>
        <w:tc>
          <w:tcPr>
            <w:tcW w:w="1423" w:type="dxa"/>
          </w:tcPr>
          <w:p w14:paraId="6BCA16F3" w14:textId="77777777" w:rsidR="00AF7A86" w:rsidRDefault="00AF7A86">
            <w:pPr>
              <w:ind w:right="-29"/>
              <w:jc w:val="center"/>
              <w:rPr>
                <w:noProof/>
                <w:sz w:val="18"/>
                <w:szCs w:val="18"/>
              </w:rPr>
            </w:pPr>
            <w:r>
              <w:rPr>
                <w:noProof/>
                <w:sz w:val="18"/>
              </w:rPr>
              <w:t>- Output</w:t>
            </w:r>
          </w:p>
        </w:tc>
        <w:tc>
          <w:tcPr>
            <w:tcW w:w="720" w:type="dxa"/>
          </w:tcPr>
          <w:p w14:paraId="42DF4DCE" w14:textId="77777777" w:rsidR="00AF7A86" w:rsidRDefault="00AF7A86">
            <w:pPr>
              <w:ind w:right="-29"/>
              <w:jc w:val="center"/>
              <w:rPr>
                <w:noProof/>
                <w:sz w:val="18"/>
                <w:szCs w:val="18"/>
              </w:rPr>
            </w:pPr>
          </w:p>
        </w:tc>
        <w:tc>
          <w:tcPr>
            <w:tcW w:w="701" w:type="dxa"/>
          </w:tcPr>
          <w:p w14:paraId="0BB8B679" w14:textId="77777777" w:rsidR="00AF7A86" w:rsidRDefault="00AF7A86">
            <w:pPr>
              <w:ind w:right="-29"/>
              <w:jc w:val="center"/>
              <w:rPr>
                <w:noProof/>
                <w:sz w:val="18"/>
                <w:szCs w:val="18"/>
              </w:rPr>
            </w:pPr>
          </w:p>
        </w:tc>
        <w:tc>
          <w:tcPr>
            <w:tcW w:w="504" w:type="dxa"/>
          </w:tcPr>
          <w:p w14:paraId="483D033E" w14:textId="77777777" w:rsidR="00AF7A86" w:rsidRDefault="00AF7A86">
            <w:pPr>
              <w:ind w:right="-29"/>
              <w:jc w:val="center"/>
              <w:rPr>
                <w:noProof/>
                <w:sz w:val="18"/>
                <w:szCs w:val="18"/>
              </w:rPr>
            </w:pPr>
          </w:p>
        </w:tc>
        <w:tc>
          <w:tcPr>
            <w:tcW w:w="720" w:type="dxa"/>
          </w:tcPr>
          <w:p w14:paraId="67B23FB5" w14:textId="77777777" w:rsidR="00AF7A86" w:rsidRDefault="00AF7A86">
            <w:pPr>
              <w:ind w:right="-29"/>
              <w:jc w:val="center"/>
              <w:rPr>
                <w:noProof/>
                <w:sz w:val="18"/>
                <w:szCs w:val="18"/>
              </w:rPr>
            </w:pPr>
          </w:p>
        </w:tc>
        <w:tc>
          <w:tcPr>
            <w:tcW w:w="540" w:type="dxa"/>
          </w:tcPr>
          <w:p w14:paraId="3C42E8F5" w14:textId="77777777" w:rsidR="00AF7A86" w:rsidRDefault="00AF7A86">
            <w:pPr>
              <w:ind w:right="-29"/>
              <w:jc w:val="center"/>
              <w:rPr>
                <w:noProof/>
                <w:sz w:val="18"/>
                <w:szCs w:val="18"/>
              </w:rPr>
            </w:pPr>
          </w:p>
        </w:tc>
        <w:tc>
          <w:tcPr>
            <w:tcW w:w="720" w:type="dxa"/>
          </w:tcPr>
          <w:p w14:paraId="6DEFCF8D" w14:textId="77777777" w:rsidR="00AF7A86" w:rsidRDefault="00AF7A86">
            <w:pPr>
              <w:ind w:right="-29"/>
              <w:jc w:val="center"/>
              <w:rPr>
                <w:noProof/>
                <w:sz w:val="18"/>
                <w:szCs w:val="18"/>
              </w:rPr>
            </w:pPr>
          </w:p>
        </w:tc>
        <w:tc>
          <w:tcPr>
            <w:tcW w:w="720" w:type="dxa"/>
          </w:tcPr>
          <w:p w14:paraId="23FA382E" w14:textId="77777777" w:rsidR="00AF7A86" w:rsidRDefault="00AF7A86">
            <w:pPr>
              <w:ind w:right="-29"/>
              <w:jc w:val="center"/>
              <w:rPr>
                <w:noProof/>
                <w:sz w:val="18"/>
                <w:szCs w:val="18"/>
              </w:rPr>
            </w:pPr>
          </w:p>
        </w:tc>
        <w:tc>
          <w:tcPr>
            <w:tcW w:w="720" w:type="dxa"/>
          </w:tcPr>
          <w:p w14:paraId="5149FC2D" w14:textId="77777777" w:rsidR="00AF7A86" w:rsidRDefault="00AF7A86">
            <w:pPr>
              <w:ind w:right="-29"/>
              <w:jc w:val="center"/>
              <w:rPr>
                <w:noProof/>
                <w:sz w:val="18"/>
                <w:szCs w:val="18"/>
              </w:rPr>
            </w:pPr>
          </w:p>
        </w:tc>
        <w:tc>
          <w:tcPr>
            <w:tcW w:w="900" w:type="dxa"/>
            <w:gridSpan w:val="2"/>
          </w:tcPr>
          <w:p w14:paraId="1E5C1E6B" w14:textId="77777777" w:rsidR="00AF7A86" w:rsidRDefault="00AF7A86">
            <w:pPr>
              <w:ind w:right="-29"/>
              <w:jc w:val="center"/>
              <w:rPr>
                <w:noProof/>
                <w:sz w:val="18"/>
                <w:szCs w:val="18"/>
              </w:rPr>
            </w:pPr>
          </w:p>
        </w:tc>
        <w:tc>
          <w:tcPr>
            <w:tcW w:w="720" w:type="dxa"/>
          </w:tcPr>
          <w:p w14:paraId="4F07C111" w14:textId="77777777" w:rsidR="00AF7A86" w:rsidRDefault="00AF7A86">
            <w:pPr>
              <w:ind w:right="-29"/>
              <w:jc w:val="center"/>
              <w:rPr>
                <w:noProof/>
                <w:sz w:val="18"/>
                <w:szCs w:val="18"/>
              </w:rPr>
            </w:pPr>
          </w:p>
        </w:tc>
        <w:tc>
          <w:tcPr>
            <w:tcW w:w="540" w:type="dxa"/>
          </w:tcPr>
          <w:p w14:paraId="77868CFA" w14:textId="77777777" w:rsidR="00AF7A86" w:rsidRDefault="00AF7A86">
            <w:pPr>
              <w:ind w:right="-29"/>
              <w:jc w:val="center"/>
              <w:rPr>
                <w:noProof/>
                <w:sz w:val="18"/>
                <w:szCs w:val="18"/>
              </w:rPr>
            </w:pPr>
          </w:p>
        </w:tc>
        <w:tc>
          <w:tcPr>
            <w:tcW w:w="648" w:type="dxa"/>
          </w:tcPr>
          <w:p w14:paraId="7FDB50EC" w14:textId="77777777" w:rsidR="00AF7A86" w:rsidRDefault="00AF7A86">
            <w:pPr>
              <w:ind w:right="-29"/>
              <w:jc w:val="center"/>
              <w:rPr>
                <w:noProof/>
                <w:sz w:val="18"/>
                <w:szCs w:val="18"/>
              </w:rPr>
            </w:pPr>
          </w:p>
        </w:tc>
        <w:tc>
          <w:tcPr>
            <w:tcW w:w="432" w:type="dxa"/>
          </w:tcPr>
          <w:p w14:paraId="1BBC628D" w14:textId="77777777" w:rsidR="00AF7A86" w:rsidRDefault="00AF7A86">
            <w:pPr>
              <w:ind w:right="-29"/>
              <w:jc w:val="center"/>
              <w:rPr>
                <w:noProof/>
                <w:sz w:val="18"/>
                <w:szCs w:val="18"/>
              </w:rPr>
            </w:pPr>
          </w:p>
        </w:tc>
        <w:tc>
          <w:tcPr>
            <w:tcW w:w="720" w:type="dxa"/>
          </w:tcPr>
          <w:p w14:paraId="251D7598" w14:textId="77777777" w:rsidR="00AF7A86" w:rsidRDefault="00AF7A86">
            <w:pPr>
              <w:ind w:right="-29"/>
              <w:jc w:val="center"/>
              <w:rPr>
                <w:noProof/>
                <w:sz w:val="18"/>
                <w:szCs w:val="18"/>
              </w:rPr>
            </w:pPr>
          </w:p>
        </w:tc>
        <w:tc>
          <w:tcPr>
            <w:tcW w:w="540" w:type="dxa"/>
          </w:tcPr>
          <w:p w14:paraId="76350ECC" w14:textId="77777777" w:rsidR="00AF7A86" w:rsidRDefault="00AF7A86">
            <w:pPr>
              <w:ind w:right="-29"/>
              <w:jc w:val="center"/>
              <w:rPr>
                <w:noProof/>
                <w:sz w:val="18"/>
                <w:szCs w:val="18"/>
              </w:rPr>
            </w:pPr>
          </w:p>
        </w:tc>
        <w:tc>
          <w:tcPr>
            <w:tcW w:w="720" w:type="dxa"/>
          </w:tcPr>
          <w:p w14:paraId="6C85AC5B" w14:textId="77777777" w:rsidR="00AF7A86" w:rsidRDefault="00AF7A86">
            <w:pPr>
              <w:ind w:right="-29"/>
              <w:jc w:val="center"/>
              <w:rPr>
                <w:noProof/>
                <w:sz w:val="18"/>
                <w:szCs w:val="18"/>
              </w:rPr>
            </w:pPr>
          </w:p>
        </w:tc>
        <w:tc>
          <w:tcPr>
            <w:tcW w:w="720" w:type="dxa"/>
          </w:tcPr>
          <w:p w14:paraId="5F320FD3" w14:textId="77777777" w:rsidR="00AF7A86" w:rsidRDefault="00AF7A86">
            <w:pPr>
              <w:ind w:right="-29"/>
              <w:jc w:val="center"/>
              <w:rPr>
                <w:noProof/>
                <w:sz w:val="18"/>
                <w:szCs w:val="18"/>
              </w:rPr>
            </w:pPr>
          </w:p>
        </w:tc>
        <w:tc>
          <w:tcPr>
            <w:tcW w:w="900" w:type="dxa"/>
          </w:tcPr>
          <w:p w14:paraId="1E95F9BB" w14:textId="77777777" w:rsidR="00AF7A86" w:rsidRDefault="00AF7A86">
            <w:pPr>
              <w:ind w:right="-29"/>
              <w:jc w:val="center"/>
              <w:rPr>
                <w:noProof/>
                <w:sz w:val="18"/>
                <w:szCs w:val="18"/>
              </w:rPr>
            </w:pPr>
          </w:p>
        </w:tc>
      </w:tr>
      <w:tr w:rsidR="00AF7A86" w:rsidRPr="003A769F" w14:paraId="6891C31A" w14:textId="77777777">
        <w:trPr>
          <w:trHeight w:val="77"/>
          <w:jc w:val="center"/>
        </w:trPr>
        <w:tc>
          <w:tcPr>
            <w:tcW w:w="2844" w:type="dxa"/>
            <w:gridSpan w:val="3"/>
            <w:tcBorders>
              <w:bottom w:val="single" w:sz="12" w:space="0" w:color="auto"/>
            </w:tcBorders>
            <w:vAlign w:val="center"/>
          </w:tcPr>
          <w:p w14:paraId="09AB1008" w14:textId="77777777" w:rsidR="00AF7A86" w:rsidRPr="003A769F" w:rsidRDefault="00AF7A86">
            <w:pPr>
              <w:ind w:right="-29"/>
              <w:jc w:val="center"/>
              <w:rPr>
                <w:noProof/>
                <w:sz w:val="18"/>
                <w:szCs w:val="18"/>
                <w:lang w:val="en-IE"/>
              </w:rPr>
            </w:pPr>
            <w:r w:rsidRPr="003A769F">
              <w:rPr>
                <w:noProof/>
                <w:sz w:val="18"/>
                <w:lang w:val="en-IE"/>
              </w:rPr>
              <w:t>Subtotal for specific objective No 1</w:t>
            </w:r>
          </w:p>
        </w:tc>
        <w:tc>
          <w:tcPr>
            <w:tcW w:w="504" w:type="dxa"/>
            <w:tcBorders>
              <w:bottom w:val="single" w:sz="12" w:space="0" w:color="auto"/>
            </w:tcBorders>
          </w:tcPr>
          <w:p w14:paraId="0292CBAA"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549BFA8B" w14:textId="77777777" w:rsidR="00AF7A86" w:rsidRPr="003A769F" w:rsidRDefault="00AF7A86">
            <w:pPr>
              <w:ind w:right="-29"/>
              <w:jc w:val="center"/>
              <w:rPr>
                <w:noProof/>
                <w:sz w:val="18"/>
                <w:szCs w:val="18"/>
                <w:lang w:val="en-IE"/>
              </w:rPr>
            </w:pPr>
          </w:p>
        </w:tc>
        <w:tc>
          <w:tcPr>
            <w:tcW w:w="540" w:type="dxa"/>
            <w:tcBorders>
              <w:bottom w:val="single" w:sz="12" w:space="0" w:color="auto"/>
            </w:tcBorders>
          </w:tcPr>
          <w:p w14:paraId="7EE792C4"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14F66C1B"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4C9E07DF"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65A0DB76" w14:textId="77777777" w:rsidR="00AF7A86" w:rsidRPr="003A769F" w:rsidRDefault="00AF7A86">
            <w:pPr>
              <w:ind w:right="-29"/>
              <w:jc w:val="center"/>
              <w:rPr>
                <w:noProof/>
                <w:sz w:val="18"/>
                <w:szCs w:val="18"/>
                <w:lang w:val="en-IE"/>
              </w:rPr>
            </w:pPr>
          </w:p>
        </w:tc>
        <w:tc>
          <w:tcPr>
            <w:tcW w:w="900" w:type="dxa"/>
            <w:gridSpan w:val="2"/>
            <w:tcBorders>
              <w:bottom w:val="single" w:sz="12" w:space="0" w:color="auto"/>
            </w:tcBorders>
          </w:tcPr>
          <w:p w14:paraId="67103BD2"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74D3CE16" w14:textId="77777777" w:rsidR="00AF7A86" w:rsidRPr="003A769F" w:rsidRDefault="00AF7A86">
            <w:pPr>
              <w:ind w:right="-29"/>
              <w:jc w:val="center"/>
              <w:rPr>
                <w:noProof/>
                <w:sz w:val="18"/>
                <w:szCs w:val="18"/>
                <w:lang w:val="en-IE"/>
              </w:rPr>
            </w:pPr>
          </w:p>
        </w:tc>
        <w:tc>
          <w:tcPr>
            <w:tcW w:w="540" w:type="dxa"/>
            <w:tcBorders>
              <w:bottom w:val="single" w:sz="12" w:space="0" w:color="auto"/>
            </w:tcBorders>
          </w:tcPr>
          <w:p w14:paraId="7C962A49" w14:textId="77777777" w:rsidR="00AF7A86" w:rsidRPr="003A769F" w:rsidRDefault="00AF7A86">
            <w:pPr>
              <w:ind w:right="-29"/>
              <w:jc w:val="center"/>
              <w:rPr>
                <w:noProof/>
                <w:sz w:val="18"/>
                <w:szCs w:val="18"/>
                <w:lang w:val="en-IE"/>
              </w:rPr>
            </w:pPr>
          </w:p>
        </w:tc>
        <w:tc>
          <w:tcPr>
            <w:tcW w:w="648" w:type="dxa"/>
            <w:tcBorders>
              <w:bottom w:val="single" w:sz="12" w:space="0" w:color="auto"/>
            </w:tcBorders>
          </w:tcPr>
          <w:p w14:paraId="27E11BF2" w14:textId="77777777" w:rsidR="00AF7A86" w:rsidRPr="003A769F" w:rsidRDefault="00AF7A86">
            <w:pPr>
              <w:ind w:right="-29"/>
              <w:jc w:val="center"/>
              <w:rPr>
                <w:noProof/>
                <w:sz w:val="18"/>
                <w:szCs w:val="18"/>
                <w:lang w:val="en-IE"/>
              </w:rPr>
            </w:pPr>
          </w:p>
        </w:tc>
        <w:tc>
          <w:tcPr>
            <w:tcW w:w="432" w:type="dxa"/>
            <w:tcBorders>
              <w:bottom w:val="single" w:sz="12" w:space="0" w:color="auto"/>
            </w:tcBorders>
          </w:tcPr>
          <w:p w14:paraId="01F9DC46"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6984163C" w14:textId="77777777" w:rsidR="00AF7A86" w:rsidRPr="003A769F" w:rsidRDefault="00AF7A86">
            <w:pPr>
              <w:ind w:right="-29"/>
              <w:jc w:val="center"/>
              <w:rPr>
                <w:noProof/>
                <w:sz w:val="18"/>
                <w:szCs w:val="18"/>
                <w:lang w:val="en-IE"/>
              </w:rPr>
            </w:pPr>
          </w:p>
        </w:tc>
        <w:tc>
          <w:tcPr>
            <w:tcW w:w="540" w:type="dxa"/>
            <w:tcBorders>
              <w:bottom w:val="single" w:sz="12" w:space="0" w:color="auto"/>
            </w:tcBorders>
          </w:tcPr>
          <w:p w14:paraId="0B55ED78"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7A83CDC3"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2D79A262" w14:textId="77777777" w:rsidR="00AF7A86" w:rsidRPr="003A769F" w:rsidRDefault="00AF7A86">
            <w:pPr>
              <w:ind w:right="-29"/>
              <w:jc w:val="center"/>
              <w:rPr>
                <w:noProof/>
                <w:sz w:val="18"/>
                <w:szCs w:val="18"/>
                <w:lang w:val="en-IE"/>
              </w:rPr>
            </w:pPr>
          </w:p>
        </w:tc>
        <w:tc>
          <w:tcPr>
            <w:tcW w:w="900" w:type="dxa"/>
            <w:tcBorders>
              <w:bottom w:val="single" w:sz="12" w:space="0" w:color="auto"/>
            </w:tcBorders>
          </w:tcPr>
          <w:p w14:paraId="2E575CD9" w14:textId="77777777" w:rsidR="00AF7A86" w:rsidRPr="003A769F" w:rsidRDefault="00AF7A86">
            <w:pPr>
              <w:ind w:right="-29"/>
              <w:jc w:val="center"/>
              <w:rPr>
                <w:noProof/>
                <w:sz w:val="18"/>
                <w:szCs w:val="18"/>
                <w:lang w:val="en-IE"/>
              </w:rPr>
            </w:pPr>
          </w:p>
        </w:tc>
      </w:tr>
      <w:tr w:rsidR="00AF7A86" w14:paraId="6BA49DBA" w14:textId="77777777">
        <w:trPr>
          <w:jc w:val="center"/>
        </w:trPr>
        <w:tc>
          <w:tcPr>
            <w:tcW w:w="2844" w:type="dxa"/>
            <w:gridSpan w:val="3"/>
            <w:vAlign w:val="center"/>
          </w:tcPr>
          <w:p w14:paraId="3AF6A738" w14:textId="77777777" w:rsidR="00AF7A86" w:rsidRDefault="00AF7A86">
            <w:pPr>
              <w:spacing w:before="60" w:after="60"/>
              <w:ind w:right="-29"/>
              <w:jc w:val="center"/>
              <w:rPr>
                <w:noProof/>
                <w:sz w:val="18"/>
                <w:szCs w:val="18"/>
              </w:rPr>
            </w:pPr>
            <w:r>
              <w:rPr>
                <w:noProof/>
                <w:sz w:val="18"/>
              </w:rPr>
              <w:t>SPECIFIC OBJECTIVE No 2 ...</w:t>
            </w:r>
          </w:p>
        </w:tc>
        <w:tc>
          <w:tcPr>
            <w:tcW w:w="504" w:type="dxa"/>
            <w:tcBorders>
              <w:top w:val="nil"/>
              <w:left w:val="nil"/>
              <w:bottom w:val="nil"/>
              <w:right w:val="nil"/>
            </w:tcBorders>
          </w:tcPr>
          <w:p w14:paraId="2379E2F7"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1604EC7C" w14:textId="77777777" w:rsidR="00AF7A86" w:rsidRDefault="00AF7A86">
            <w:pPr>
              <w:spacing w:before="60" w:after="60"/>
              <w:ind w:right="-29"/>
              <w:jc w:val="center"/>
              <w:rPr>
                <w:noProof/>
                <w:sz w:val="18"/>
                <w:szCs w:val="18"/>
              </w:rPr>
            </w:pPr>
          </w:p>
        </w:tc>
        <w:tc>
          <w:tcPr>
            <w:tcW w:w="540" w:type="dxa"/>
            <w:tcBorders>
              <w:top w:val="nil"/>
              <w:left w:val="nil"/>
              <w:bottom w:val="nil"/>
              <w:right w:val="nil"/>
            </w:tcBorders>
          </w:tcPr>
          <w:p w14:paraId="55F100DA"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19BA80B1"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22E7C372"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3041A848" w14:textId="77777777" w:rsidR="00AF7A86" w:rsidRDefault="00AF7A86">
            <w:pPr>
              <w:spacing w:before="60" w:after="60"/>
              <w:ind w:right="-29"/>
              <w:jc w:val="center"/>
              <w:rPr>
                <w:noProof/>
                <w:sz w:val="18"/>
                <w:szCs w:val="18"/>
              </w:rPr>
            </w:pPr>
          </w:p>
        </w:tc>
        <w:tc>
          <w:tcPr>
            <w:tcW w:w="900" w:type="dxa"/>
            <w:gridSpan w:val="2"/>
            <w:tcBorders>
              <w:top w:val="nil"/>
              <w:left w:val="nil"/>
              <w:bottom w:val="nil"/>
              <w:right w:val="nil"/>
            </w:tcBorders>
          </w:tcPr>
          <w:p w14:paraId="61E1B104"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2A50BEA5" w14:textId="77777777" w:rsidR="00AF7A86" w:rsidRDefault="00AF7A86">
            <w:pPr>
              <w:spacing w:before="60" w:after="60"/>
              <w:ind w:right="-29"/>
              <w:jc w:val="center"/>
              <w:rPr>
                <w:noProof/>
                <w:sz w:val="18"/>
                <w:szCs w:val="18"/>
              </w:rPr>
            </w:pPr>
          </w:p>
        </w:tc>
        <w:tc>
          <w:tcPr>
            <w:tcW w:w="540" w:type="dxa"/>
            <w:tcBorders>
              <w:top w:val="nil"/>
              <w:left w:val="nil"/>
              <w:bottom w:val="nil"/>
              <w:right w:val="nil"/>
            </w:tcBorders>
          </w:tcPr>
          <w:p w14:paraId="76AE91C3" w14:textId="77777777" w:rsidR="00AF7A86" w:rsidRDefault="00AF7A86">
            <w:pPr>
              <w:spacing w:before="60" w:after="60"/>
              <w:ind w:right="-29"/>
              <w:jc w:val="center"/>
              <w:rPr>
                <w:noProof/>
                <w:sz w:val="18"/>
                <w:szCs w:val="18"/>
              </w:rPr>
            </w:pPr>
          </w:p>
        </w:tc>
        <w:tc>
          <w:tcPr>
            <w:tcW w:w="648" w:type="dxa"/>
            <w:tcBorders>
              <w:top w:val="nil"/>
              <w:left w:val="nil"/>
              <w:bottom w:val="nil"/>
              <w:right w:val="nil"/>
            </w:tcBorders>
          </w:tcPr>
          <w:p w14:paraId="221ACD2B" w14:textId="77777777" w:rsidR="00AF7A86" w:rsidRDefault="00AF7A86">
            <w:pPr>
              <w:spacing w:before="60" w:after="60"/>
              <w:ind w:right="-29"/>
              <w:jc w:val="center"/>
              <w:rPr>
                <w:noProof/>
                <w:sz w:val="18"/>
                <w:szCs w:val="18"/>
              </w:rPr>
            </w:pPr>
          </w:p>
        </w:tc>
        <w:tc>
          <w:tcPr>
            <w:tcW w:w="432" w:type="dxa"/>
            <w:tcBorders>
              <w:top w:val="nil"/>
              <w:left w:val="nil"/>
              <w:bottom w:val="nil"/>
              <w:right w:val="nil"/>
            </w:tcBorders>
          </w:tcPr>
          <w:p w14:paraId="793DB0AD"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4EAFD6AE" w14:textId="77777777" w:rsidR="00AF7A86" w:rsidRDefault="00AF7A86">
            <w:pPr>
              <w:spacing w:before="60" w:after="60"/>
              <w:ind w:right="-29"/>
              <w:jc w:val="center"/>
              <w:rPr>
                <w:noProof/>
                <w:sz w:val="18"/>
                <w:szCs w:val="18"/>
              </w:rPr>
            </w:pPr>
          </w:p>
        </w:tc>
        <w:tc>
          <w:tcPr>
            <w:tcW w:w="540" w:type="dxa"/>
            <w:tcBorders>
              <w:top w:val="nil"/>
              <w:left w:val="nil"/>
              <w:bottom w:val="nil"/>
              <w:right w:val="nil"/>
            </w:tcBorders>
          </w:tcPr>
          <w:p w14:paraId="4ACBB889"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04734C1F" w14:textId="77777777" w:rsidR="00AF7A86" w:rsidRDefault="00AF7A86">
            <w:pPr>
              <w:spacing w:before="60" w:after="60"/>
              <w:ind w:right="-29"/>
              <w:jc w:val="center"/>
              <w:rPr>
                <w:noProof/>
                <w:sz w:val="18"/>
                <w:szCs w:val="18"/>
              </w:rPr>
            </w:pPr>
          </w:p>
        </w:tc>
        <w:tc>
          <w:tcPr>
            <w:tcW w:w="720" w:type="dxa"/>
            <w:tcBorders>
              <w:top w:val="nil"/>
              <w:left w:val="nil"/>
              <w:bottom w:val="nil"/>
              <w:right w:val="nil"/>
            </w:tcBorders>
          </w:tcPr>
          <w:p w14:paraId="563BE766" w14:textId="77777777" w:rsidR="00AF7A86" w:rsidRDefault="00AF7A86">
            <w:pPr>
              <w:spacing w:before="60" w:after="60"/>
              <w:ind w:right="-29"/>
              <w:jc w:val="center"/>
              <w:rPr>
                <w:noProof/>
                <w:sz w:val="18"/>
                <w:szCs w:val="18"/>
              </w:rPr>
            </w:pPr>
          </w:p>
        </w:tc>
        <w:tc>
          <w:tcPr>
            <w:tcW w:w="900" w:type="dxa"/>
            <w:tcBorders>
              <w:top w:val="nil"/>
              <w:left w:val="nil"/>
              <w:bottom w:val="nil"/>
              <w:right w:val="nil"/>
            </w:tcBorders>
          </w:tcPr>
          <w:p w14:paraId="53291F5A" w14:textId="77777777" w:rsidR="00AF7A86" w:rsidRDefault="00AF7A86">
            <w:pPr>
              <w:spacing w:before="60" w:after="60"/>
              <w:ind w:right="-29"/>
              <w:jc w:val="center"/>
              <w:rPr>
                <w:noProof/>
                <w:sz w:val="18"/>
                <w:szCs w:val="18"/>
              </w:rPr>
            </w:pPr>
          </w:p>
        </w:tc>
      </w:tr>
      <w:tr w:rsidR="00AF7A86" w14:paraId="6D76FF23" w14:textId="77777777">
        <w:trPr>
          <w:trHeight w:hRule="exact" w:val="369"/>
          <w:jc w:val="center"/>
        </w:trPr>
        <w:tc>
          <w:tcPr>
            <w:tcW w:w="1423" w:type="dxa"/>
          </w:tcPr>
          <w:p w14:paraId="2543E733" w14:textId="77777777" w:rsidR="00AF7A86" w:rsidRDefault="00AF7A86">
            <w:pPr>
              <w:ind w:right="-29"/>
              <w:jc w:val="center"/>
              <w:rPr>
                <w:noProof/>
                <w:sz w:val="18"/>
                <w:szCs w:val="18"/>
              </w:rPr>
            </w:pPr>
            <w:r>
              <w:rPr>
                <w:noProof/>
                <w:sz w:val="18"/>
              </w:rPr>
              <w:t>- Output</w:t>
            </w:r>
          </w:p>
        </w:tc>
        <w:tc>
          <w:tcPr>
            <w:tcW w:w="720" w:type="dxa"/>
          </w:tcPr>
          <w:p w14:paraId="39096878" w14:textId="77777777" w:rsidR="00AF7A86" w:rsidRDefault="00AF7A86">
            <w:pPr>
              <w:ind w:right="-29"/>
              <w:jc w:val="center"/>
              <w:rPr>
                <w:noProof/>
                <w:sz w:val="18"/>
                <w:szCs w:val="18"/>
              </w:rPr>
            </w:pPr>
          </w:p>
        </w:tc>
        <w:tc>
          <w:tcPr>
            <w:tcW w:w="701" w:type="dxa"/>
          </w:tcPr>
          <w:p w14:paraId="38F98E5F" w14:textId="77777777" w:rsidR="00AF7A86" w:rsidRDefault="00AF7A86">
            <w:pPr>
              <w:ind w:right="-29"/>
              <w:jc w:val="center"/>
              <w:rPr>
                <w:noProof/>
                <w:sz w:val="18"/>
                <w:szCs w:val="18"/>
              </w:rPr>
            </w:pPr>
          </w:p>
        </w:tc>
        <w:tc>
          <w:tcPr>
            <w:tcW w:w="504" w:type="dxa"/>
          </w:tcPr>
          <w:p w14:paraId="58D7B6FD" w14:textId="77777777" w:rsidR="00AF7A86" w:rsidRDefault="00AF7A86">
            <w:pPr>
              <w:ind w:right="-29"/>
              <w:jc w:val="center"/>
              <w:rPr>
                <w:noProof/>
                <w:sz w:val="18"/>
                <w:szCs w:val="18"/>
              </w:rPr>
            </w:pPr>
          </w:p>
        </w:tc>
        <w:tc>
          <w:tcPr>
            <w:tcW w:w="720" w:type="dxa"/>
          </w:tcPr>
          <w:p w14:paraId="6693F800" w14:textId="77777777" w:rsidR="00AF7A86" w:rsidRDefault="00AF7A86">
            <w:pPr>
              <w:ind w:right="-29"/>
              <w:jc w:val="center"/>
              <w:rPr>
                <w:noProof/>
                <w:sz w:val="18"/>
                <w:szCs w:val="18"/>
              </w:rPr>
            </w:pPr>
          </w:p>
        </w:tc>
        <w:tc>
          <w:tcPr>
            <w:tcW w:w="540" w:type="dxa"/>
          </w:tcPr>
          <w:p w14:paraId="559E0E03" w14:textId="77777777" w:rsidR="00AF7A86" w:rsidRDefault="00AF7A86">
            <w:pPr>
              <w:ind w:right="-29"/>
              <w:jc w:val="center"/>
              <w:rPr>
                <w:noProof/>
                <w:sz w:val="18"/>
                <w:szCs w:val="18"/>
              </w:rPr>
            </w:pPr>
          </w:p>
        </w:tc>
        <w:tc>
          <w:tcPr>
            <w:tcW w:w="720" w:type="dxa"/>
          </w:tcPr>
          <w:p w14:paraId="2B8C6627" w14:textId="77777777" w:rsidR="00AF7A86" w:rsidRDefault="00AF7A86">
            <w:pPr>
              <w:ind w:right="-29"/>
              <w:jc w:val="center"/>
              <w:rPr>
                <w:noProof/>
                <w:sz w:val="18"/>
                <w:szCs w:val="18"/>
              </w:rPr>
            </w:pPr>
          </w:p>
        </w:tc>
        <w:tc>
          <w:tcPr>
            <w:tcW w:w="720" w:type="dxa"/>
          </w:tcPr>
          <w:p w14:paraId="4437B092" w14:textId="77777777" w:rsidR="00AF7A86" w:rsidRDefault="00AF7A86">
            <w:pPr>
              <w:ind w:right="-29"/>
              <w:jc w:val="center"/>
              <w:rPr>
                <w:noProof/>
                <w:sz w:val="18"/>
                <w:szCs w:val="18"/>
              </w:rPr>
            </w:pPr>
          </w:p>
        </w:tc>
        <w:tc>
          <w:tcPr>
            <w:tcW w:w="720" w:type="dxa"/>
          </w:tcPr>
          <w:p w14:paraId="277DB90B" w14:textId="77777777" w:rsidR="00AF7A86" w:rsidRDefault="00AF7A86">
            <w:pPr>
              <w:ind w:right="-29"/>
              <w:jc w:val="center"/>
              <w:rPr>
                <w:noProof/>
                <w:sz w:val="18"/>
                <w:szCs w:val="18"/>
              </w:rPr>
            </w:pPr>
          </w:p>
        </w:tc>
        <w:tc>
          <w:tcPr>
            <w:tcW w:w="900" w:type="dxa"/>
            <w:gridSpan w:val="2"/>
          </w:tcPr>
          <w:p w14:paraId="1D3092F8" w14:textId="77777777" w:rsidR="00AF7A86" w:rsidRDefault="00AF7A86">
            <w:pPr>
              <w:ind w:right="-29"/>
              <w:jc w:val="center"/>
              <w:rPr>
                <w:noProof/>
                <w:sz w:val="18"/>
                <w:szCs w:val="18"/>
              </w:rPr>
            </w:pPr>
          </w:p>
        </w:tc>
        <w:tc>
          <w:tcPr>
            <w:tcW w:w="720" w:type="dxa"/>
          </w:tcPr>
          <w:p w14:paraId="6B8301DE" w14:textId="77777777" w:rsidR="00AF7A86" w:rsidRDefault="00AF7A86">
            <w:pPr>
              <w:ind w:right="-29"/>
              <w:jc w:val="center"/>
              <w:rPr>
                <w:noProof/>
                <w:sz w:val="18"/>
                <w:szCs w:val="18"/>
              </w:rPr>
            </w:pPr>
          </w:p>
        </w:tc>
        <w:tc>
          <w:tcPr>
            <w:tcW w:w="540" w:type="dxa"/>
          </w:tcPr>
          <w:p w14:paraId="1BEB9052" w14:textId="77777777" w:rsidR="00AF7A86" w:rsidRDefault="00AF7A86">
            <w:pPr>
              <w:ind w:right="-29"/>
              <w:jc w:val="center"/>
              <w:rPr>
                <w:noProof/>
                <w:sz w:val="18"/>
                <w:szCs w:val="18"/>
              </w:rPr>
            </w:pPr>
          </w:p>
        </w:tc>
        <w:tc>
          <w:tcPr>
            <w:tcW w:w="648" w:type="dxa"/>
          </w:tcPr>
          <w:p w14:paraId="370C5835" w14:textId="77777777" w:rsidR="00AF7A86" w:rsidRDefault="00AF7A86">
            <w:pPr>
              <w:ind w:right="-29"/>
              <w:jc w:val="center"/>
              <w:rPr>
                <w:noProof/>
                <w:sz w:val="18"/>
                <w:szCs w:val="18"/>
              </w:rPr>
            </w:pPr>
          </w:p>
        </w:tc>
        <w:tc>
          <w:tcPr>
            <w:tcW w:w="432" w:type="dxa"/>
          </w:tcPr>
          <w:p w14:paraId="6FA0A87E" w14:textId="77777777" w:rsidR="00AF7A86" w:rsidRDefault="00AF7A86">
            <w:pPr>
              <w:ind w:right="-29"/>
              <w:jc w:val="center"/>
              <w:rPr>
                <w:noProof/>
                <w:sz w:val="18"/>
                <w:szCs w:val="18"/>
              </w:rPr>
            </w:pPr>
          </w:p>
        </w:tc>
        <w:tc>
          <w:tcPr>
            <w:tcW w:w="720" w:type="dxa"/>
          </w:tcPr>
          <w:p w14:paraId="016CCF4E" w14:textId="77777777" w:rsidR="00AF7A86" w:rsidRDefault="00AF7A86">
            <w:pPr>
              <w:ind w:right="-29"/>
              <w:jc w:val="center"/>
              <w:rPr>
                <w:noProof/>
                <w:sz w:val="18"/>
                <w:szCs w:val="18"/>
              </w:rPr>
            </w:pPr>
          </w:p>
        </w:tc>
        <w:tc>
          <w:tcPr>
            <w:tcW w:w="540" w:type="dxa"/>
          </w:tcPr>
          <w:p w14:paraId="46599B9B" w14:textId="77777777" w:rsidR="00AF7A86" w:rsidRDefault="00AF7A86">
            <w:pPr>
              <w:ind w:right="-29"/>
              <w:jc w:val="center"/>
              <w:rPr>
                <w:noProof/>
                <w:sz w:val="18"/>
                <w:szCs w:val="18"/>
              </w:rPr>
            </w:pPr>
          </w:p>
        </w:tc>
        <w:tc>
          <w:tcPr>
            <w:tcW w:w="720" w:type="dxa"/>
          </w:tcPr>
          <w:p w14:paraId="76B372F5" w14:textId="77777777" w:rsidR="00AF7A86" w:rsidRDefault="00AF7A86">
            <w:pPr>
              <w:ind w:right="-29"/>
              <w:jc w:val="center"/>
              <w:rPr>
                <w:noProof/>
                <w:sz w:val="18"/>
                <w:szCs w:val="18"/>
              </w:rPr>
            </w:pPr>
          </w:p>
        </w:tc>
        <w:tc>
          <w:tcPr>
            <w:tcW w:w="720" w:type="dxa"/>
          </w:tcPr>
          <w:p w14:paraId="5D4E0AA7" w14:textId="77777777" w:rsidR="00AF7A86" w:rsidRDefault="00AF7A86">
            <w:pPr>
              <w:ind w:right="-29"/>
              <w:jc w:val="center"/>
              <w:rPr>
                <w:noProof/>
                <w:sz w:val="18"/>
                <w:szCs w:val="18"/>
              </w:rPr>
            </w:pPr>
          </w:p>
        </w:tc>
        <w:tc>
          <w:tcPr>
            <w:tcW w:w="900" w:type="dxa"/>
          </w:tcPr>
          <w:p w14:paraId="15FB8701" w14:textId="77777777" w:rsidR="00AF7A86" w:rsidRDefault="00AF7A86">
            <w:pPr>
              <w:ind w:right="-29"/>
              <w:jc w:val="center"/>
              <w:rPr>
                <w:noProof/>
                <w:sz w:val="18"/>
                <w:szCs w:val="18"/>
              </w:rPr>
            </w:pPr>
          </w:p>
        </w:tc>
      </w:tr>
      <w:tr w:rsidR="00AF7A86" w:rsidRPr="003A769F" w14:paraId="4650F4B8" w14:textId="77777777">
        <w:trPr>
          <w:jc w:val="center"/>
        </w:trPr>
        <w:tc>
          <w:tcPr>
            <w:tcW w:w="2844" w:type="dxa"/>
            <w:gridSpan w:val="3"/>
            <w:tcBorders>
              <w:bottom w:val="single" w:sz="12" w:space="0" w:color="auto"/>
            </w:tcBorders>
            <w:vAlign w:val="center"/>
          </w:tcPr>
          <w:p w14:paraId="0926D063" w14:textId="77777777" w:rsidR="00AF7A86" w:rsidRPr="003A769F" w:rsidRDefault="00AF7A86">
            <w:pPr>
              <w:jc w:val="center"/>
              <w:rPr>
                <w:noProof/>
                <w:sz w:val="18"/>
                <w:szCs w:val="18"/>
                <w:lang w:val="en-IE"/>
              </w:rPr>
            </w:pPr>
            <w:r w:rsidRPr="003A769F">
              <w:rPr>
                <w:noProof/>
                <w:sz w:val="18"/>
                <w:lang w:val="en-IE"/>
              </w:rPr>
              <w:t>Subtotal for specific objective No 2</w:t>
            </w:r>
          </w:p>
        </w:tc>
        <w:tc>
          <w:tcPr>
            <w:tcW w:w="504" w:type="dxa"/>
            <w:tcBorders>
              <w:bottom w:val="single" w:sz="12" w:space="0" w:color="auto"/>
            </w:tcBorders>
          </w:tcPr>
          <w:p w14:paraId="31152462"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132182D8" w14:textId="77777777" w:rsidR="00AF7A86" w:rsidRPr="003A769F" w:rsidRDefault="00AF7A86">
            <w:pPr>
              <w:ind w:right="-29"/>
              <w:jc w:val="center"/>
              <w:rPr>
                <w:noProof/>
                <w:sz w:val="18"/>
                <w:szCs w:val="18"/>
                <w:lang w:val="en-IE"/>
              </w:rPr>
            </w:pPr>
          </w:p>
        </w:tc>
        <w:tc>
          <w:tcPr>
            <w:tcW w:w="540" w:type="dxa"/>
            <w:tcBorders>
              <w:bottom w:val="single" w:sz="12" w:space="0" w:color="auto"/>
            </w:tcBorders>
          </w:tcPr>
          <w:p w14:paraId="07A557A3"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6D1FC069"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76255ED2"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12B3A709" w14:textId="77777777" w:rsidR="00AF7A86" w:rsidRPr="003A769F" w:rsidRDefault="00AF7A86">
            <w:pPr>
              <w:ind w:right="-29"/>
              <w:jc w:val="center"/>
              <w:rPr>
                <w:noProof/>
                <w:sz w:val="18"/>
                <w:szCs w:val="18"/>
                <w:lang w:val="en-IE"/>
              </w:rPr>
            </w:pPr>
          </w:p>
        </w:tc>
        <w:tc>
          <w:tcPr>
            <w:tcW w:w="882" w:type="dxa"/>
            <w:tcBorders>
              <w:bottom w:val="single" w:sz="12" w:space="0" w:color="auto"/>
            </w:tcBorders>
          </w:tcPr>
          <w:p w14:paraId="111BCAC8" w14:textId="77777777" w:rsidR="00AF7A86" w:rsidRPr="003A769F" w:rsidRDefault="00AF7A86">
            <w:pPr>
              <w:ind w:right="-29"/>
              <w:jc w:val="center"/>
              <w:rPr>
                <w:noProof/>
                <w:sz w:val="18"/>
                <w:szCs w:val="18"/>
                <w:lang w:val="en-IE"/>
              </w:rPr>
            </w:pPr>
          </w:p>
        </w:tc>
        <w:tc>
          <w:tcPr>
            <w:tcW w:w="738" w:type="dxa"/>
            <w:gridSpan w:val="2"/>
            <w:tcBorders>
              <w:bottom w:val="single" w:sz="12" w:space="0" w:color="auto"/>
            </w:tcBorders>
          </w:tcPr>
          <w:p w14:paraId="723F0B35" w14:textId="77777777" w:rsidR="00AF7A86" w:rsidRPr="003A769F" w:rsidRDefault="00AF7A86">
            <w:pPr>
              <w:ind w:right="-29"/>
              <w:jc w:val="center"/>
              <w:rPr>
                <w:noProof/>
                <w:sz w:val="18"/>
                <w:szCs w:val="18"/>
                <w:lang w:val="en-IE"/>
              </w:rPr>
            </w:pPr>
          </w:p>
        </w:tc>
        <w:tc>
          <w:tcPr>
            <w:tcW w:w="540" w:type="dxa"/>
            <w:tcBorders>
              <w:bottom w:val="single" w:sz="12" w:space="0" w:color="auto"/>
            </w:tcBorders>
          </w:tcPr>
          <w:p w14:paraId="779DE510" w14:textId="77777777" w:rsidR="00AF7A86" w:rsidRPr="003A769F" w:rsidRDefault="00AF7A86">
            <w:pPr>
              <w:ind w:right="-29"/>
              <w:jc w:val="center"/>
              <w:rPr>
                <w:noProof/>
                <w:sz w:val="18"/>
                <w:szCs w:val="18"/>
                <w:lang w:val="en-IE"/>
              </w:rPr>
            </w:pPr>
          </w:p>
        </w:tc>
        <w:tc>
          <w:tcPr>
            <w:tcW w:w="648" w:type="dxa"/>
            <w:tcBorders>
              <w:bottom w:val="single" w:sz="12" w:space="0" w:color="auto"/>
            </w:tcBorders>
          </w:tcPr>
          <w:p w14:paraId="7F699DE8" w14:textId="77777777" w:rsidR="00AF7A86" w:rsidRPr="003A769F" w:rsidRDefault="00AF7A86">
            <w:pPr>
              <w:ind w:right="-29"/>
              <w:jc w:val="center"/>
              <w:rPr>
                <w:noProof/>
                <w:sz w:val="18"/>
                <w:szCs w:val="18"/>
                <w:lang w:val="en-IE"/>
              </w:rPr>
            </w:pPr>
          </w:p>
        </w:tc>
        <w:tc>
          <w:tcPr>
            <w:tcW w:w="432" w:type="dxa"/>
            <w:tcBorders>
              <w:bottom w:val="single" w:sz="12" w:space="0" w:color="auto"/>
            </w:tcBorders>
          </w:tcPr>
          <w:p w14:paraId="11DBBA4E"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358700E7" w14:textId="77777777" w:rsidR="00AF7A86" w:rsidRPr="003A769F" w:rsidRDefault="00AF7A86">
            <w:pPr>
              <w:ind w:right="-29"/>
              <w:jc w:val="center"/>
              <w:rPr>
                <w:noProof/>
                <w:sz w:val="18"/>
                <w:szCs w:val="18"/>
                <w:lang w:val="en-IE"/>
              </w:rPr>
            </w:pPr>
          </w:p>
        </w:tc>
        <w:tc>
          <w:tcPr>
            <w:tcW w:w="540" w:type="dxa"/>
            <w:tcBorders>
              <w:bottom w:val="single" w:sz="12" w:space="0" w:color="auto"/>
            </w:tcBorders>
          </w:tcPr>
          <w:p w14:paraId="173A6B19"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372B5501" w14:textId="77777777" w:rsidR="00AF7A86" w:rsidRPr="003A769F" w:rsidRDefault="00AF7A86">
            <w:pPr>
              <w:ind w:right="-29"/>
              <w:jc w:val="center"/>
              <w:rPr>
                <w:noProof/>
                <w:sz w:val="18"/>
                <w:szCs w:val="18"/>
                <w:lang w:val="en-IE"/>
              </w:rPr>
            </w:pPr>
          </w:p>
        </w:tc>
        <w:tc>
          <w:tcPr>
            <w:tcW w:w="720" w:type="dxa"/>
            <w:tcBorders>
              <w:bottom w:val="single" w:sz="12" w:space="0" w:color="auto"/>
            </w:tcBorders>
          </w:tcPr>
          <w:p w14:paraId="1468E6AD" w14:textId="77777777" w:rsidR="00AF7A86" w:rsidRPr="003A769F" w:rsidRDefault="00AF7A86">
            <w:pPr>
              <w:ind w:right="-29"/>
              <w:jc w:val="center"/>
              <w:rPr>
                <w:noProof/>
                <w:sz w:val="18"/>
                <w:szCs w:val="18"/>
                <w:lang w:val="en-IE"/>
              </w:rPr>
            </w:pPr>
          </w:p>
        </w:tc>
        <w:tc>
          <w:tcPr>
            <w:tcW w:w="900" w:type="dxa"/>
            <w:tcBorders>
              <w:bottom w:val="single" w:sz="12" w:space="0" w:color="auto"/>
            </w:tcBorders>
          </w:tcPr>
          <w:p w14:paraId="17663020" w14:textId="77777777" w:rsidR="00AF7A86" w:rsidRPr="003A769F" w:rsidRDefault="00AF7A86">
            <w:pPr>
              <w:ind w:right="-29"/>
              <w:jc w:val="center"/>
              <w:rPr>
                <w:noProof/>
                <w:sz w:val="18"/>
                <w:szCs w:val="18"/>
                <w:lang w:val="en-IE"/>
              </w:rPr>
            </w:pPr>
          </w:p>
        </w:tc>
      </w:tr>
      <w:tr w:rsidR="00AF7A86" w14:paraId="57489B8E" w14:textId="77777777">
        <w:trPr>
          <w:jc w:val="center"/>
        </w:trPr>
        <w:tc>
          <w:tcPr>
            <w:tcW w:w="2844" w:type="dxa"/>
            <w:gridSpan w:val="3"/>
            <w:tcBorders>
              <w:top w:val="single" w:sz="12" w:space="0" w:color="auto"/>
              <w:left w:val="single" w:sz="12" w:space="0" w:color="auto"/>
              <w:bottom w:val="single" w:sz="12" w:space="0" w:color="auto"/>
            </w:tcBorders>
            <w:vAlign w:val="center"/>
          </w:tcPr>
          <w:p w14:paraId="2AC9206B" w14:textId="77777777" w:rsidR="00AF7A86" w:rsidRDefault="00AF7A86">
            <w:pPr>
              <w:ind w:right="-29"/>
              <w:jc w:val="center"/>
              <w:rPr>
                <w:noProof/>
                <w:sz w:val="18"/>
                <w:szCs w:val="18"/>
              </w:rPr>
            </w:pPr>
            <w:r>
              <w:rPr>
                <w:b/>
                <w:noProof/>
                <w:sz w:val="18"/>
              </w:rPr>
              <w:t>TOTALS</w:t>
            </w:r>
          </w:p>
        </w:tc>
        <w:tc>
          <w:tcPr>
            <w:tcW w:w="504" w:type="dxa"/>
            <w:tcBorders>
              <w:top w:val="single" w:sz="12" w:space="0" w:color="auto"/>
              <w:bottom w:val="single" w:sz="12" w:space="0" w:color="auto"/>
            </w:tcBorders>
          </w:tcPr>
          <w:p w14:paraId="00ED8018" w14:textId="77777777" w:rsidR="00AF7A86" w:rsidRDefault="00AF7A86">
            <w:pPr>
              <w:spacing w:before="180" w:after="180"/>
              <w:ind w:right="-29"/>
              <w:jc w:val="center"/>
              <w:rPr>
                <w:noProof/>
                <w:sz w:val="18"/>
                <w:szCs w:val="18"/>
              </w:rPr>
            </w:pPr>
          </w:p>
        </w:tc>
        <w:tc>
          <w:tcPr>
            <w:tcW w:w="720" w:type="dxa"/>
            <w:tcBorders>
              <w:top w:val="single" w:sz="12" w:space="0" w:color="auto"/>
              <w:bottom w:val="single" w:sz="12" w:space="0" w:color="auto"/>
            </w:tcBorders>
          </w:tcPr>
          <w:p w14:paraId="3257B651" w14:textId="77777777" w:rsidR="00AF7A86" w:rsidRDefault="00AF7A86">
            <w:pPr>
              <w:spacing w:before="180" w:after="180"/>
              <w:ind w:right="-29"/>
              <w:jc w:val="center"/>
              <w:rPr>
                <w:noProof/>
                <w:sz w:val="18"/>
                <w:szCs w:val="18"/>
              </w:rPr>
            </w:pPr>
          </w:p>
        </w:tc>
        <w:tc>
          <w:tcPr>
            <w:tcW w:w="540" w:type="dxa"/>
            <w:tcBorders>
              <w:top w:val="single" w:sz="12" w:space="0" w:color="auto"/>
              <w:bottom w:val="single" w:sz="12" w:space="0" w:color="auto"/>
            </w:tcBorders>
          </w:tcPr>
          <w:p w14:paraId="69FA1199" w14:textId="77777777" w:rsidR="00AF7A86" w:rsidRDefault="00AF7A86">
            <w:pPr>
              <w:spacing w:before="180" w:after="180"/>
              <w:ind w:right="-29"/>
              <w:jc w:val="center"/>
              <w:rPr>
                <w:noProof/>
                <w:sz w:val="18"/>
                <w:szCs w:val="18"/>
              </w:rPr>
            </w:pPr>
          </w:p>
        </w:tc>
        <w:tc>
          <w:tcPr>
            <w:tcW w:w="720" w:type="dxa"/>
            <w:tcBorders>
              <w:top w:val="single" w:sz="12" w:space="0" w:color="auto"/>
              <w:bottom w:val="single" w:sz="12" w:space="0" w:color="auto"/>
            </w:tcBorders>
          </w:tcPr>
          <w:p w14:paraId="39820D8F" w14:textId="77777777" w:rsidR="00AF7A86" w:rsidRDefault="00AF7A86">
            <w:pPr>
              <w:spacing w:before="180" w:after="180"/>
              <w:ind w:right="-29"/>
              <w:jc w:val="center"/>
              <w:rPr>
                <w:noProof/>
                <w:sz w:val="18"/>
                <w:szCs w:val="18"/>
              </w:rPr>
            </w:pPr>
          </w:p>
        </w:tc>
        <w:tc>
          <w:tcPr>
            <w:tcW w:w="720" w:type="dxa"/>
            <w:tcBorders>
              <w:top w:val="single" w:sz="12" w:space="0" w:color="auto"/>
              <w:bottom w:val="single" w:sz="12" w:space="0" w:color="auto"/>
            </w:tcBorders>
          </w:tcPr>
          <w:p w14:paraId="4D4F098E" w14:textId="77777777" w:rsidR="00AF7A86" w:rsidRDefault="00AF7A86">
            <w:pPr>
              <w:spacing w:before="180" w:after="180"/>
              <w:ind w:right="-29"/>
              <w:jc w:val="center"/>
              <w:rPr>
                <w:noProof/>
                <w:sz w:val="18"/>
                <w:szCs w:val="18"/>
              </w:rPr>
            </w:pPr>
          </w:p>
        </w:tc>
        <w:tc>
          <w:tcPr>
            <w:tcW w:w="720" w:type="dxa"/>
            <w:tcBorders>
              <w:top w:val="single" w:sz="12" w:space="0" w:color="auto"/>
              <w:bottom w:val="single" w:sz="12" w:space="0" w:color="auto"/>
            </w:tcBorders>
          </w:tcPr>
          <w:p w14:paraId="6C2E67EC" w14:textId="77777777" w:rsidR="00AF7A86" w:rsidRDefault="00AF7A86">
            <w:pPr>
              <w:spacing w:before="180" w:after="180"/>
              <w:ind w:right="-29"/>
              <w:jc w:val="center"/>
              <w:rPr>
                <w:noProof/>
                <w:sz w:val="18"/>
                <w:szCs w:val="18"/>
              </w:rPr>
            </w:pPr>
          </w:p>
        </w:tc>
        <w:tc>
          <w:tcPr>
            <w:tcW w:w="900" w:type="dxa"/>
            <w:gridSpan w:val="2"/>
            <w:tcBorders>
              <w:top w:val="single" w:sz="12" w:space="0" w:color="auto"/>
              <w:bottom w:val="single" w:sz="12" w:space="0" w:color="auto"/>
            </w:tcBorders>
          </w:tcPr>
          <w:p w14:paraId="4B55B2AF" w14:textId="77777777" w:rsidR="00AF7A86" w:rsidRDefault="00AF7A86">
            <w:pPr>
              <w:spacing w:before="180" w:after="180"/>
              <w:ind w:right="-29"/>
              <w:jc w:val="center"/>
              <w:rPr>
                <w:noProof/>
                <w:sz w:val="18"/>
                <w:szCs w:val="18"/>
              </w:rPr>
            </w:pPr>
          </w:p>
        </w:tc>
        <w:tc>
          <w:tcPr>
            <w:tcW w:w="720" w:type="dxa"/>
            <w:tcBorders>
              <w:top w:val="single" w:sz="12" w:space="0" w:color="auto"/>
              <w:bottom w:val="single" w:sz="12" w:space="0" w:color="auto"/>
            </w:tcBorders>
          </w:tcPr>
          <w:p w14:paraId="31B4B76C" w14:textId="77777777" w:rsidR="00AF7A86" w:rsidRDefault="00AF7A86">
            <w:pPr>
              <w:spacing w:before="180" w:after="180"/>
              <w:ind w:right="-29"/>
              <w:jc w:val="center"/>
              <w:rPr>
                <w:noProof/>
                <w:sz w:val="18"/>
                <w:szCs w:val="18"/>
              </w:rPr>
            </w:pPr>
          </w:p>
        </w:tc>
        <w:tc>
          <w:tcPr>
            <w:tcW w:w="540" w:type="dxa"/>
            <w:tcBorders>
              <w:top w:val="single" w:sz="12" w:space="0" w:color="auto"/>
              <w:bottom w:val="single" w:sz="12" w:space="0" w:color="auto"/>
            </w:tcBorders>
          </w:tcPr>
          <w:p w14:paraId="7CED6786" w14:textId="77777777" w:rsidR="00AF7A86" w:rsidRDefault="00AF7A86">
            <w:pPr>
              <w:spacing w:before="180" w:after="180"/>
              <w:ind w:right="-29"/>
              <w:jc w:val="center"/>
              <w:rPr>
                <w:noProof/>
                <w:sz w:val="18"/>
                <w:szCs w:val="18"/>
              </w:rPr>
            </w:pPr>
          </w:p>
        </w:tc>
        <w:tc>
          <w:tcPr>
            <w:tcW w:w="648" w:type="dxa"/>
            <w:tcBorders>
              <w:top w:val="single" w:sz="12" w:space="0" w:color="auto"/>
              <w:bottom w:val="single" w:sz="12" w:space="0" w:color="auto"/>
            </w:tcBorders>
          </w:tcPr>
          <w:p w14:paraId="3AA96FD9" w14:textId="77777777" w:rsidR="00AF7A86" w:rsidRDefault="00AF7A86">
            <w:pPr>
              <w:spacing w:before="180" w:after="180"/>
              <w:ind w:right="-29"/>
              <w:jc w:val="center"/>
              <w:rPr>
                <w:noProof/>
                <w:sz w:val="18"/>
                <w:szCs w:val="18"/>
              </w:rPr>
            </w:pPr>
          </w:p>
        </w:tc>
        <w:tc>
          <w:tcPr>
            <w:tcW w:w="432" w:type="dxa"/>
            <w:tcBorders>
              <w:top w:val="single" w:sz="12" w:space="0" w:color="auto"/>
              <w:bottom w:val="single" w:sz="12" w:space="0" w:color="auto"/>
            </w:tcBorders>
          </w:tcPr>
          <w:p w14:paraId="1134AE87" w14:textId="77777777" w:rsidR="00AF7A86" w:rsidRDefault="00AF7A86">
            <w:pPr>
              <w:spacing w:before="180" w:after="180"/>
              <w:ind w:right="-29"/>
              <w:jc w:val="center"/>
              <w:rPr>
                <w:noProof/>
                <w:sz w:val="18"/>
                <w:szCs w:val="18"/>
              </w:rPr>
            </w:pPr>
          </w:p>
        </w:tc>
        <w:tc>
          <w:tcPr>
            <w:tcW w:w="720" w:type="dxa"/>
            <w:tcBorders>
              <w:top w:val="single" w:sz="12" w:space="0" w:color="auto"/>
              <w:bottom w:val="single" w:sz="12" w:space="0" w:color="auto"/>
            </w:tcBorders>
          </w:tcPr>
          <w:p w14:paraId="2D182A97" w14:textId="77777777" w:rsidR="00AF7A86" w:rsidRDefault="00AF7A86">
            <w:pPr>
              <w:spacing w:before="180" w:after="180"/>
              <w:ind w:right="-29"/>
              <w:jc w:val="center"/>
              <w:rPr>
                <w:noProof/>
                <w:sz w:val="18"/>
                <w:szCs w:val="18"/>
              </w:rPr>
            </w:pPr>
          </w:p>
        </w:tc>
        <w:tc>
          <w:tcPr>
            <w:tcW w:w="540" w:type="dxa"/>
            <w:tcBorders>
              <w:top w:val="single" w:sz="12" w:space="0" w:color="auto"/>
              <w:bottom w:val="single" w:sz="12" w:space="0" w:color="auto"/>
            </w:tcBorders>
          </w:tcPr>
          <w:p w14:paraId="1326A984" w14:textId="77777777" w:rsidR="00AF7A86" w:rsidRDefault="00AF7A86">
            <w:pPr>
              <w:spacing w:before="180" w:after="180"/>
              <w:ind w:right="-29"/>
              <w:jc w:val="center"/>
              <w:rPr>
                <w:noProof/>
                <w:sz w:val="18"/>
                <w:szCs w:val="18"/>
              </w:rPr>
            </w:pPr>
          </w:p>
        </w:tc>
        <w:tc>
          <w:tcPr>
            <w:tcW w:w="720" w:type="dxa"/>
            <w:tcBorders>
              <w:top w:val="single" w:sz="12" w:space="0" w:color="auto"/>
              <w:bottom w:val="single" w:sz="12" w:space="0" w:color="auto"/>
            </w:tcBorders>
          </w:tcPr>
          <w:p w14:paraId="4D41EB71" w14:textId="77777777" w:rsidR="00AF7A86" w:rsidRDefault="00AF7A86">
            <w:pPr>
              <w:spacing w:before="180" w:after="180"/>
              <w:ind w:right="-29"/>
              <w:jc w:val="center"/>
              <w:rPr>
                <w:noProof/>
                <w:sz w:val="18"/>
                <w:szCs w:val="18"/>
              </w:rPr>
            </w:pPr>
          </w:p>
        </w:tc>
        <w:tc>
          <w:tcPr>
            <w:tcW w:w="720" w:type="dxa"/>
            <w:tcBorders>
              <w:top w:val="single" w:sz="12" w:space="0" w:color="auto"/>
              <w:bottom w:val="single" w:sz="12" w:space="0" w:color="auto"/>
            </w:tcBorders>
          </w:tcPr>
          <w:p w14:paraId="74F23A9E" w14:textId="77777777" w:rsidR="00AF7A86" w:rsidRDefault="00AF7A86">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0BBFC72C" w14:textId="77777777" w:rsidR="00AF7A86" w:rsidRDefault="00AF7A86">
            <w:pPr>
              <w:spacing w:before="180" w:after="180"/>
              <w:ind w:right="-29"/>
              <w:jc w:val="center"/>
              <w:rPr>
                <w:noProof/>
                <w:sz w:val="18"/>
                <w:szCs w:val="18"/>
              </w:rPr>
            </w:pPr>
          </w:p>
        </w:tc>
      </w:tr>
    </w:tbl>
    <w:p w14:paraId="178475BF" w14:textId="77777777" w:rsidR="00AF7A86" w:rsidRDefault="00AF7A86" w:rsidP="00AF7A86">
      <w:pPr>
        <w:rPr>
          <w:noProof/>
        </w:rPr>
        <w:sectPr w:rsidR="00AF7A86" w:rsidSect="005C1364">
          <w:headerReference w:type="default" r:id="rId16"/>
          <w:footerReference w:type="default" r:id="rId17"/>
          <w:pgSz w:w="16840" w:h="11907" w:orient="landscape" w:code="9"/>
          <w:pgMar w:top="1134" w:right="1418" w:bottom="567" w:left="1418" w:header="709" w:footer="709" w:gutter="0"/>
          <w:cols w:space="708"/>
          <w:docGrid w:linePitch="360"/>
        </w:sectPr>
      </w:pPr>
    </w:p>
    <w:p w14:paraId="4FA5EE16" w14:textId="77777777" w:rsidR="00AF7A86" w:rsidRPr="00235FE8" w:rsidRDefault="00AF7A86" w:rsidP="00AF7A86">
      <w:pPr>
        <w:pStyle w:val="ManualHeading3"/>
        <w:rPr>
          <w:rStyle w:val="Marker110000"/>
          <w:i w:val="0"/>
          <w:noProof/>
        </w:rPr>
      </w:pPr>
      <w:bookmarkStart w:id="158" w:name="_Toc514938055"/>
      <w:bookmarkStart w:id="159" w:name="_Toc520485054"/>
      <w:bookmarkStart w:id="160" w:name="_Toc160804598"/>
      <w:bookmarkStart w:id="161" w:name="_Toc172893709"/>
      <w:r w:rsidRPr="0021790A">
        <w:rPr>
          <w:noProof/>
        </w:rPr>
        <w:t>3.2.3.</w:t>
      </w:r>
      <w:r w:rsidRPr="0021790A">
        <w:rPr>
          <w:noProof/>
        </w:rPr>
        <w:tab/>
      </w:r>
      <w:bookmarkStart w:id="162" w:name="_Hlk177486126"/>
      <w:r>
        <w:rPr>
          <w:noProof/>
        </w:rPr>
        <w:t>Summary of estimated impact on administrative appropriations</w:t>
      </w:r>
      <w:bookmarkEnd w:id="158"/>
      <w:bookmarkEnd w:id="159"/>
      <w:bookmarkEnd w:id="160"/>
      <w:bookmarkEnd w:id="161"/>
      <w:bookmarkEnd w:id="162"/>
    </w:p>
    <w:p w14:paraId="2BABA9B2" w14:textId="77777777" w:rsidR="00AF7A86" w:rsidRDefault="00AF7A86" w:rsidP="00AF7A86">
      <w:pPr>
        <w:pStyle w:val="ListDash1"/>
        <w:rPr>
          <w:noProof/>
        </w:rPr>
      </w:pPr>
      <w:r>
        <w:rPr>
          <w:rFonts w:ascii="Wingdings" w:eastAsia="Wingdings" w:hAnsi="Wingdings" w:cs="Wingdings"/>
          <w:noProof/>
        </w:rPr>
        <w:t></w:t>
      </w:r>
      <w:r>
        <w:rPr>
          <w:noProof/>
        </w:rPr>
        <w:tab/>
        <w:t xml:space="preserve">The proposal/initiative does not require the use of appropriations of an administrative nature </w:t>
      </w:r>
    </w:p>
    <w:p w14:paraId="7399D41F" w14:textId="77777777" w:rsidR="00AF7A86" w:rsidRDefault="00AF7A86" w:rsidP="00AF7A86">
      <w:pPr>
        <w:pStyle w:val="ListDash1"/>
        <w:rPr>
          <w:noProof/>
        </w:rPr>
      </w:pPr>
      <w:r>
        <w:rPr>
          <w:noProof/>
        </w:rPr>
        <w:t>X The proposal/initiative requires the use of appropriations of an administrative nature, as explained below</w:t>
      </w:r>
    </w:p>
    <w:p w14:paraId="6F6BADE2" w14:textId="77777777" w:rsidR="00AF7A86" w:rsidRDefault="00AF7A86" w:rsidP="00AF7A86">
      <w:pPr>
        <w:pStyle w:val="ManualHeading3"/>
        <w:rPr>
          <w:noProof/>
        </w:rPr>
      </w:pPr>
      <w:bookmarkStart w:id="163" w:name="_Toc172893710"/>
      <w:r w:rsidRPr="003268F2">
        <w:rPr>
          <w:noProof/>
        </w:rPr>
        <w:t>3.2.3.1</w:t>
      </w:r>
      <w:r>
        <w:rPr>
          <w:noProof/>
        </w:rPr>
        <w:t>.</w:t>
      </w:r>
      <w:r w:rsidRPr="003268F2">
        <w:rPr>
          <w:noProof/>
        </w:rPr>
        <w:t xml:space="preserve"> </w:t>
      </w:r>
      <w:r w:rsidRPr="003A7A3D">
        <w:rPr>
          <w:noProof/>
        </w:rPr>
        <w:t>Appropriations</w:t>
      </w:r>
      <w:r>
        <w:rPr>
          <w:noProof/>
        </w:rPr>
        <w:t xml:space="preserve"> </w:t>
      </w:r>
      <w:r>
        <w:rPr>
          <w:rFonts w:eastAsia="Calibri"/>
          <w:noProof/>
        </w:rPr>
        <w:t>from</w:t>
      </w:r>
      <w:r>
        <w:rPr>
          <w:noProof/>
        </w:rPr>
        <w:t xml:space="preserve"> voted budget</w:t>
      </w:r>
      <w:bookmarkEnd w:id="163"/>
    </w:p>
    <w:tbl>
      <w:tblPr>
        <w:tblW w:w="5000" w:type="pct"/>
        <w:tblLook w:val="04A0" w:firstRow="1" w:lastRow="0" w:firstColumn="1" w:lastColumn="0" w:noHBand="0" w:noVBand="1"/>
      </w:tblPr>
      <w:tblGrid>
        <w:gridCol w:w="3578"/>
        <w:gridCol w:w="910"/>
        <w:gridCol w:w="910"/>
        <w:gridCol w:w="910"/>
        <w:gridCol w:w="936"/>
        <w:gridCol w:w="1023"/>
        <w:gridCol w:w="1020"/>
      </w:tblGrid>
      <w:tr w:rsidR="003D210A" w:rsidRPr="00290112" w14:paraId="588D392B" w14:textId="77777777" w:rsidTr="009A133F">
        <w:trPr>
          <w:trHeight w:val="300"/>
        </w:trPr>
        <w:tc>
          <w:tcPr>
            <w:tcW w:w="1926" w:type="pct"/>
            <w:vMerge w:val="restart"/>
            <w:tcBorders>
              <w:top w:val="single" w:sz="8" w:space="0" w:color="auto"/>
              <w:left w:val="single" w:sz="8" w:space="0" w:color="auto"/>
              <w:bottom w:val="single" w:sz="8" w:space="0" w:color="auto"/>
              <w:right w:val="single" w:sz="8" w:space="0" w:color="auto"/>
            </w:tcBorders>
            <w:vAlign w:val="center"/>
            <w:hideMark/>
          </w:tcPr>
          <w:p w14:paraId="10FAA46D" w14:textId="77777777" w:rsidR="003D210A" w:rsidRPr="00290112" w:rsidRDefault="003D210A"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VOTED APPROPRIATIONS</w:t>
            </w:r>
          </w:p>
        </w:tc>
        <w:tc>
          <w:tcPr>
            <w:tcW w:w="490" w:type="pct"/>
            <w:tcBorders>
              <w:top w:val="single" w:sz="8" w:space="0" w:color="auto"/>
              <w:left w:val="nil"/>
              <w:bottom w:val="single" w:sz="8" w:space="0" w:color="auto"/>
              <w:right w:val="single" w:sz="8" w:space="0" w:color="auto"/>
            </w:tcBorders>
            <w:vAlign w:val="center"/>
            <w:hideMark/>
          </w:tcPr>
          <w:p w14:paraId="7A829DAB" w14:textId="77777777" w:rsidR="003D210A" w:rsidRPr="00290112" w:rsidRDefault="003D210A" w:rsidP="009A133F">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490" w:type="pct"/>
            <w:tcBorders>
              <w:top w:val="single" w:sz="8" w:space="0" w:color="auto"/>
              <w:left w:val="nil"/>
              <w:bottom w:val="single" w:sz="8" w:space="0" w:color="auto"/>
              <w:right w:val="single" w:sz="8" w:space="0" w:color="auto"/>
            </w:tcBorders>
            <w:vAlign w:val="center"/>
            <w:hideMark/>
          </w:tcPr>
          <w:p w14:paraId="7FE7B289" w14:textId="77777777" w:rsidR="003D210A" w:rsidRPr="00290112" w:rsidRDefault="003D210A" w:rsidP="009A133F">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490" w:type="pct"/>
            <w:tcBorders>
              <w:top w:val="single" w:sz="8" w:space="0" w:color="auto"/>
              <w:left w:val="nil"/>
              <w:bottom w:val="single" w:sz="8" w:space="0" w:color="auto"/>
              <w:right w:val="single" w:sz="8" w:space="0" w:color="auto"/>
            </w:tcBorders>
            <w:vAlign w:val="center"/>
            <w:hideMark/>
          </w:tcPr>
          <w:p w14:paraId="76B93710" w14:textId="77777777" w:rsidR="003D210A" w:rsidRPr="00290112" w:rsidRDefault="003D210A" w:rsidP="009A133F">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504" w:type="pct"/>
            <w:tcBorders>
              <w:top w:val="single" w:sz="8" w:space="0" w:color="auto"/>
              <w:left w:val="nil"/>
              <w:bottom w:val="single" w:sz="8" w:space="0" w:color="auto"/>
              <w:right w:val="single" w:sz="8" w:space="0" w:color="auto"/>
            </w:tcBorders>
            <w:vAlign w:val="center"/>
            <w:hideMark/>
          </w:tcPr>
          <w:p w14:paraId="3A826669" w14:textId="77777777" w:rsidR="003D210A" w:rsidRPr="00290112" w:rsidRDefault="003D210A" w:rsidP="009A133F">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551" w:type="pct"/>
            <w:vMerge w:val="restart"/>
            <w:tcBorders>
              <w:top w:val="single" w:sz="8" w:space="0" w:color="auto"/>
              <w:left w:val="single" w:sz="8" w:space="0" w:color="auto"/>
              <w:bottom w:val="single" w:sz="8" w:space="0" w:color="auto"/>
              <w:right w:val="single" w:sz="8" w:space="0" w:color="auto"/>
            </w:tcBorders>
            <w:vAlign w:val="center"/>
            <w:hideMark/>
          </w:tcPr>
          <w:p w14:paraId="379F9EE4" w14:textId="77777777" w:rsidR="003D210A" w:rsidRPr="00290112" w:rsidRDefault="003D210A"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TOTAL</w:t>
            </w:r>
            <w:r>
              <w:rPr>
                <w:b/>
                <w:bCs/>
                <w:noProof/>
                <w:color w:val="000000"/>
                <w:sz w:val="18"/>
                <w:szCs w:val="18"/>
                <w:lang w:val="en-IE" w:eastAsia="en-IE"/>
              </w:rPr>
              <w:t xml:space="preserve"> </w:t>
            </w:r>
            <w:r w:rsidRPr="00290112">
              <w:rPr>
                <w:b/>
                <w:bCs/>
                <w:noProof/>
                <w:color w:val="000000"/>
                <w:sz w:val="18"/>
                <w:szCs w:val="18"/>
                <w:lang w:val="en-IE" w:eastAsia="en-IE"/>
              </w:rPr>
              <w:t>2021 - 2027</w:t>
            </w:r>
          </w:p>
        </w:tc>
        <w:tc>
          <w:tcPr>
            <w:tcW w:w="549" w:type="pct"/>
            <w:vMerge w:val="restart"/>
            <w:tcBorders>
              <w:top w:val="single" w:sz="8" w:space="0" w:color="auto"/>
              <w:left w:val="single" w:sz="8" w:space="0" w:color="auto"/>
              <w:right w:val="single" w:sz="8" w:space="0" w:color="auto"/>
            </w:tcBorders>
          </w:tcPr>
          <w:p w14:paraId="019F5504" w14:textId="77777777" w:rsidR="003D210A" w:rsidRPr="00290112" w:rsidRDefault="003D210A" w:rsidP="009A133F">
            <w:pPr>
              <w:spacing w:before="0" w:after="0"/>
              <w:jc w:val="center"/>
              <w:rPr>
                <w:b/>
                <w:bCs/>
                <w:noProof/>
                <w:color w:val="000000"/>
                <w:sz w:val="18"/>
                <w:szCs w:val="18"/>
                <w:lang w:val="en-IE" w:eastAsia="en-IE"/>
              </w:rPr>
            </w:pPr>
            <w:r>
              <w:rPr>
                <w:b/>
                <w:bCs/>
                <w:noProof/>
                <w:color w:val="000000"/>
                <w:sz w:val="18"/>
                <w:szCs w:val="18"/>
                <w:lang w:val="en-IE" w:eastAsia="en-IE"/>
              </w:rPr>
              <w:t>POST 2027</w:t>
            </w:r>
          </w:p>
        </w:tc>
      </w:tr>
      <w:tr w:rsidR="003D210A" w:rsidRPr="00290112" w14:paraId="5D28F469" w14:textId="77777777" w:rsidTr="009A133F">
        <w:trPr>
          <w:trHeight w:val="300"/>
        </w:trPr>
        <w:tc>
          <w:tcPr>
            <w:tcW w:w="1926" w:type="pct"/>
            <w:vMerge/>
            <w:vAlign w:val="center"/>
            <w:hideMark/>
          </w:tcPr>
          <w:p w14:paraId="3CD701BC" w14:textId="77777777" w:rsidR="003D210A" w:rsidRPr="00290112" w:rsidRDefault="003D210A" w:rsidP="009A133F">
            <w:pPr>
              <w:spacing w:before="0" w:after="0"/>
              <w:jc w:val="left"/>
              <w:rPr>
                <w:b/>
                <w:bCs/>
                <w:noProof/>
                <w:color w:val="000000"/>
                <w:sz w:val="18"/>
                <w:szCs w:val="18"/>
                <w:lang w:val="en-IE" w:eastAsia="en-IE"/>
              </w:rPr>
            </w:pPr>
          </w:p>
        </w:tc>
        <w:tc>
          <w:tcPr>
            <w:tcW w:w="490" w:type="pct"/>
            <w:tcBorders>
              <w:top w:val="nil"/>
              <w:left w:val="nil"/>
              <w:bottom w:val="single" w:sz="8" w:space="0" w:color="auto"/>
              <w:right w:val="single" w:sz="8" w:space="0" w:color="auto"/>
            </w:tcBorders>
            <w:vAlign w:val="center"/>
            <w:hideMark/>
          </w:tcPr>
          <w:p w14:paraId="1F6A69CF" w14:textId="77777777" w:rsidR="003D210A" w:rsidRPr="00290112" w:rsidRDefault="003D210A"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2024</w:t>
            </w:r>
          </w:p>
        </w:tc>
        <w:tc>
          <w:tcPr>
            <w:tcW w:w="490" w:type="pct"/>
            <w:tcBorders>
              <w:top w:val="nil"/>
              <w:left w:val="nil"/>
              <w:bottom w:val="single" w:sz="8" w:space="0" w:color="auto"/>
              <w:right w:val="single" w:sz="8" w:space="0" w:color="auto"/>
            </w:tcBorders>
            <w:vAlign w:val="center"/>
            <w:hideMark/>
          </w:tcPr>
          <w:p w14:paraId="5069DBE0" w14:textId="77777777" w:rsidR="003D210A" w:rsidRPr="00290112" w:rsidRDefault="003D210A"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2025</w:t>
            </w:r>
          </w:p>
        </w:tc>
        <w:tc>
          <w:tcPr>
            <w:tcW w:w="490" w:type="pct"/>
            <w:tcBorders>
              <w:top w:val="nil"/>
              <w:left w:val="nil"/>
              <w:bottom w:val="single" w:sz="8" w:space="0" w:color="auto"/>
              <w:right w:val="single" w:sz="8" w:space="0" w:color="auto"/>
            </w:tcBorders>
            <w:vAlign w:val="center"/>
            <w:hideMark/>
          </w:tcPr>
          <w:p w14:paraId="08250AA1" w14:textId="77777777" w:rsidR="003D210A" w:rsidRPr="00290112" w:rsidRDefault="003D210A"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2026</w:t>
            </w:r>
          </w:p>
        </w:tc>
        <w:tc>
          <w:tcPr>
            <w:tcW w:w="504" w:type="pct"/>
            <w:tcBorders>
              <w:top w:val="nil"/>
              <w:left w:val="nil"/>
              <w:bottom w:val="single" w:sz="8" w:space="0" w:color="auto"/>
              <w:right w:val="single" w:sz="8" w:space="0" w:color="auto"/>
            </w:tcBorders>
            <w:vAlign w:val="center"/>
            <w:hideMark/>
          </w:tcPr>
          <w:p w14:paraId="10156555" w14:textId="77777777" w:rsidR="003D210A" w:rsidRPr="00290112" w:rsidRDefault="003D210A"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2027</w:t>
            </w:r>
          </w:p>
        </w:tc>
        <w:tc>
          <w:tcPr>
            <w:tcW w:w="551" w:type="pct"/>
            <w:vMerge/>
            <w:tcBorders>
              <w:right w:val="single" w:sz="8" w:space="0" w:color="auto"/>
            </w:tcBorders>
            <w:vAlign w:val="center"/>
            <w:hideMark/>
          </w:tcPr>
          <w:p w14:paraId="1FDD331D" w14:textId="77777777" w:rsidR="003D210A" w:rsidRPr="00290112" w:rsidRDefault="003D210A" w:rsidP="009A133F">
            <w:pPr>
              <w:spacing w:before="0" w:after="0"/>
              <w:jc w:val="left"/>
              <w:rPr>
                <w:b/>
                <w:bCs/>
                <w:noProof/>
                <w:color w:val="000000"/>
                <w:sz w:val="18"/>
                <w:szCs w:val="18"/>
                <w:lang w:val="en-IE" w:eastAsia="en-IE"/>
              </w:rPr>
            </w:pPr>
          </w:p>
        </w:tc>
        <w:tc>
          <w:tcPr>
            <w:tcW w:w="549" w:type="pct"/>
            <w:vMerge/>
            <w:tcBorders>
              <w:left w:val="single" w:sz="8" w:space="0" w:color="auto"/>
              <w:right w:val="single" w:sz="8" w:space="0" w:color="auto"/>
            </w:tcBorders>
          </w:tcPr>
          <w:p w14:paraId="03FEB316" w14:textId="77777777" w:rsidR="003D210A" w:rsidRPr="00290112" w:rsidRDefault="003D210A" w:rsidP="009A133F">
            <w:pPr>
              <w:spacing w:before="0" w:after="0"/>
              <w:jc w:val="left"/>
              <w:rPr>
                <w:b/>
                <w:bCs/>
                <w:noProof/>
                <w:color w:val="000000"/>
                <w:sz w:val="18"/>
                <w:szCs w:val="18"/>
                <w:lang w:val="en-IE" w:eastAsia="en-IE"/>
              </w:rPr>
            </w:pPr>
          </w:p>
        </w:tc>
      </w:tr>
      <w:tr w:rsidR="003D210A" w:rsidRPr="00290112" w14:paraId="0F189B15" w14:textId="77777777" w:rsidTr="009A133F">
        <w:trPr>
          <w:trHeight w:val="300"/>
        </w:trPr>
        <w:tc>
          <w:tcPr>
            <w:tcW w:w="4451" w:type="pct"/>
            <w:gridSpan w:val="6"/>
            <w:tcBorders>
              <w:top w:val="single" w:sz="8" w:space="0" w:color="auto"/>
              <w:left w:val="single" w:sz="8" w:space="0" w:color="auto"/>
              <w:bottom w:val="single" w:sz="8" w:space="0" w:color="auto"/>
              <w:right w:val="single" w:sz="4" w:space="0" w:color="auto"/>
            </w:tcBorders>
            <w:vAlign w:val="center"/>
            <w:hideMark/>
          </w:tcPr>
          <w:p w14:paraId="07353A70" w14:textId="77777777" w:rsidR="003D210A" w:rsidRPr="00290112" w:rsidRDefault="003D210A" w:rsidP="009A133F">
            <w:pPr>
              <w:spacing w:before="0" w:after="0"/>
              <w:jc w:val="left"/>
              <w:rPr>
                <w:b/>
                <w:bCs/>
                <w:noProof/>
                <w:sz w:val="16"/>
                <w:szCs w:val="16"/>
                <w:lang w:val="en-IE" w:eastAsia="en-IE"/>
              </w:rPr>
            </w:pPr>
            <w:r w:rsidRPr="00290112">
              <w:rPr>
                <w:b/>
                <w:bCs/>
                <w:noProof/>
                <w:sz w:val="16"/>
                <w:szCs w:val="16"/>
                <w:lang w:val="en-IE" w:eastAsia="en-IE"/>
              </w:rPr>
              <w:t>HEADING 7</w:t>
            </w:r>
          </w:p>
        </w:tc>
        <w:tc>
          <w:tcPr>
            <w:tcW w:w="549" w:type="pct"/>
            <w:tcBorders>
              <w:top w:val="single" w:sz="8" w:space="0" w:color="auto"/>
              <w:left w:val="single" w:sz="8" w:space="0" w:color="auto"/>
              <w:bottom w:val="single" w:sz="8" w:space="0" w:color="auto"/>
              <w:right w:val="single" w:sz="4" w:space="0" w:color="auto"/>
            </w:tcBorders>
          </w:tcPr>
          <w:p w14:paraId="200F8972" w14:textId="77777777" w:rsidR="003D210A" w:rsidRPr="00290112" w:rsidRDefault="003D210A" w:rsidP="009A133F">
            <w:pPr>
              <w:spacing w:before="0" w:after="0"/>
              <w:jc w:val="left"/>
              <w:rPr>
                <w:b/>
                <w:bCs/>
                <w:noProof/>
                <w:sz w:val="16"/>
                <w:szCs w:val="16"/>
                <w:lang w:val="en-IE" w:eastAsia="en-IE"/>
              </w:rPr>
            </w:pPr>
          </w:p>
        </w:tc>
      </w:tr>
      <w:tr w:rsidR="003D210A" w:rsidRPr="00290112" w14:paraId="30E610E3" w14:textId="77777777" w:rsidTr="009A133F">
        <w:trPr>
          <w:trHeight w:val="300"/>
        </w:trPr>
        <w:tc>
          <w:tcPr>
            <w:tcW w:w="1926" w:type="pct"/>
            <w:tcBorders>
              <w:top w:val="nil"/>
              <w:left w:val="single" w:sz="8" w:space="0" w:color="auto"/>
              <w:bottom w:val="single" w:sz="8" w:space="0" w:color="auto"/>
              <w:right w:val="single" w:sz="8" w:space="0" w:color="auto"/>
            </w:tcBorders>
            <w:vAlign w:val="center"/>
            <w:hideMark/>
          </w:tcPr>
          <w:p w14:paraId="3E021EBD" w14:textId="77777777" w:rsidR="003D210A" w:rsidRPr="00290112" w:rsidRDefault="003D210A" w:rsidP="009A133F">
            <w:pPr>
              <w:spacing w:before="0" w:after="0"/>
              <w:jc w:val="left"/>
              <w:rPr>
                <w:noProof/>
                <w:color w:val="000000"/>
                <w:sz w:val="16"/>
                <w:szCs w:val="16"/>
                <w:lang w:val="en-IE" w:eastAsia="en-IE"/>
              </w:rPr>
            </w:pPr>
            <w:r w:rsidRPr="555D95E6">
              <w:rPr>
                <w:noProof/>
                <w:color w:val="000000" w:themeColor="text1"/>
                <w:sz w:val="16"/>
                <w:szCs w:val="16"/>
                <w:lang w:val="en-IE" w:eastAsia="en-IE"/>
              </w:rPr>
              <w:t xml:space="preserve">Human resources </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726215A5" w14:textId="77777777" w:rsidR="003D210A" w:rsidRPr="00290112" w:rsidRDefault="003D210A" w:rsidP="009A133F">
            <w:pPr>
              <w:spacing w:before="0" w:after="0"/>
              <w:jc w:val="right"/>
              <w:rPr>
                <w:noProof/>
                <w:color w:val="000000"/>
                <w:sz w:val="16"/>
                <w:szCs w:val="16"/>
                <w:lang w:val="en-IE" w:eastAsia="en-IE"/>
              </w:rPr>
            </w:pPr>
            <w:r>
              <w:rPr>
                <w:noProof/>
                <w:color w:val="000000"/>
                <w:sz w:val="16"/>
                <w:szCs w:val="16"/>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37E544BE" w14:textId="77777777" w:rsidR="003D210A" w:rsidRPr="00290112" w:rsidRDefault="003D210A" w:rsidP="009A133F">
            <w:pPr>
              <w:spacing w:before="0" w:after="0"/>
              <w:jc w:val="right"/>
              <w:rPr>
                <w:noProof/>
                <w:color w:val="000000"/>
                <w:sz w:val="16"/>
                <w:szCs w:val="16"/>
                <w:lang w:val="en-IE" w:eastAsia="en-IE"/>
              </w:rPr>
            </w:pPr>
            <w:r>
              <w:rPr>
                <w:noProof/>
                <w:color w:val="000000"/>
                <w:sz w:val="16"/>
                <w:szCs w:val="16"/>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718AF2C7" w14:textId="77777777" w:rsidR="003D210A" w:rsidRPr="00290112" w:rsidRDefault="003D210A" w:rsidP="009A133F">
            <w:pPr>
              <w:spacing w:before="0" w:after="0"/>
              <w:jc w:val="right"/>
              <w:rPr>
                <w:noProof/>
                <w:color w:val="000000"/>
                <w:sz w:val="16"/>
                <w:szCs w:val="16"/>
                <w:lang w:val="en-IE" w:eastAsia="en-IE"/>
              </w:rPr>
            </w:pPr>
            <w:r>
              <w:rPr>
                <w:noProof/>
                <w:color w:val="000000"/>
                <w:sz w:val="16"/>
                <w:szCs w:val="16"/>
              </w:rPr>
              <w:t>0,000</w:t>
            </w:r>
          </w:p>
        </w:tc>
        <w:tc>
          <w:tcPr>
            <w:tcW w:w="504" w:type="pct"/>
            <w:tcBorders>
              <w:top w:val="nil"/>
              <w:left w:val="nil"/>
              <w:bottom w:val="single" w:sz="8" w:space="0" w:color="auto"/>
              <w:right w:val="single" w:sz="8" w:space="0" w:color="auto"/>
            </w:tcBorders>
            <w:shd w:val="clear" w:color="auto" w:fill="D9D9D9" w:themeFill="background1" w:themeFillShade="D9"/>
            <w:vAlign w:val="center"/>
            <w:hideMark/>
          </w:tcPr>
          <w:p w14:paraId="7A90C09D" w14:textId="77777777" w:rsidR="003D210A" w:rsidRPr="000B1CDC" w:rsidRDefault="003D210A" w:rsidP="009A133F">
            <w:pPr>
              <w:spacing w:before="0" w:after="0"/>
              <w:jc w:val="right"/>
              <w:rPr>
                <w:b/>
                <w:bCs/>
                <w:noProof/>
                <w:color w:val="000000"/>
                <w:sz w:val="16"/>
                <w:szCs w:val="16"/>
                <w:lang w:val="en-IE"/>
              </w:rPr>
            </w:pPr>
            <w:r>
              <w:rPr>
                <w:noProof/>
                <w:color w:val="000000"/>
                <w:sz w:val="16"/>
                <w:szCs w:val="16"/>
              </w:rPr>
              <w:t>0,376</w:t>
            </w:r>
          </w:p>
        </w:tc>
        <w:tc>
          <w:tcPr>
            <w:tcW w:w="551" w:type="pct"/>
            <w:tcBorders>
              <w:top w:val="nil"/>
              <w:left w:val="nil"/>
              <w:bottom w:val="single" w:sz="8" w:space="0" w:color="auto"/>
              <w:right w:val="single" w:sz="8" w:space="0" w:color="auto"/>
            </w:tcBorders>
            <w:shd w:val="clear" w:color="auto" w:fill="D9D9D9" w:themeFill="background1" w:themeFillShade="D9"/>
            <w:vAlign w:val="center"/>
            <w:hideMark/>
          </w:tcPr>
          <w:p w14:paraId="1E3A3ED9" w14:textId="77777777" w:rsidR="003D210A" w:rsidRPr="00290112" w:rsidRDefault="003D210A" w:rsidP="009A133F">
            <w:pPr>
              <w:spacing w:before="0" w:after="0"/>
              <w:jc w:val="right"/>
              <w:rPr>
                <w:b/>
                <w:bCs/>
                <w:noProof/>
                <w:color w:val="000000"/>
                <w:sz w:val="16"/>
                <w:szCs w:val="16"/>
                <w:lang w:val="en-IE"/>
              </w:rPr>
            </w:pPr>
            <w:r>
              <w:rPr>
                <w:b/>
                <w:bCs/>
                <w:noProof/>
                <w:color w:val="000000"/>
                <w:sz w:val="16"/>
                <w:szCs w:val="16"/>
              </w:rPr>
              <w:t>0,376</w:t>
            </w:r>
          </w:p>
        </w:tc>
        <w:tc>
          <w:tcPr>
            <w:tcW w:w="549" w:type="pct"/>
            <w:tcBorders>
              <w:top w:val="nil"/>
              <w:left w:val="nil"/>
              <w:bottom w:val="single" w:sz="8" w:space="0" w:color="auto"/>
              <w:right w:val="single" w:sz="8" w:space="0" w:color="auto"/>
            </w:tcBorders>
            <w:shd w:val="clear" w:color="auto" w:fill="D9D9D9" w:themeFill="background1" w:themeFillShade="D9"/>
            <w:vAlign w:val="center"/>
          </w:tcPr>
          <w:p w14:paraId="3B89CF64" w14:textId="77777777" w:rsidR="003D210A" w:rsidRPr="555D95E6" w:rsidDel="00243624" w:rsidRDefault="003D210A" w:rsidP="009A133F">
            <w:pPr>
              <w:spacing w:before="0" w:after="0"/>
              <w:jc w:val="right"/>
              <w:rPr>
                <w:b/>
                <w:bCs/>
                <w:noProof/>
                <w:color w:val="000000" w:themeColor="text1"/>
                <w:sz w:val="16"/>
                <w:szCs w:val="16"/>
              </w:rPr>
            </w:pPr>
            <w:r>
              <w:rPr>
                <w:noProof/>
                <w:color w:val="000000"/>
                <w:sz w:val="16"/>
                <w:szCs w:val="16"/>
              </w:rPr>
              <w:t>2,632</w:t>
            </w:r>
          </w:p>
        </w:tc>
      </w:tr>
      <w:tr w:rsidR="003D210A" w:rsidRPr="00290112" w14:paraId="78C645A4" w14:textId="77777777" w:rsidTr="009A133F">
        <w:trPr>
          <w:trHeight w:val="285"/>
        </w:trPr>
        <w:tc>
          <w:tcPr>
            <w:tcW w:w="1926" w:type="pct"/>
            <w:tcBorders>
              <w:top w:val="nil"/>
              <w:left w:val="single" w:sz="8" w:space="0" w:color="auto"/>
              <w:bottom w:val="single" w:sz="8" w:space="0" w:color="auto"/>
              <w:right w:val="single" w:sz="8" w:space="0" w:color="auto"/>
            </w:tcBorders>
            <w:vAlign w:val="center"/>
            <w:hideMark/>
          </w:tcPr>
          <w:p w14:paraId="05229AFA" w14:textId="77777777" w:rsidR="003D210A" w:rsidRPr="00290112" w:rsidRDefault="003D210A" w:rsidP="009A133F">
            <w:pPr>
              <w:spacing w:before="0" w:after="0"/>
              <w:jc w:val="left"/>
              <w:rPr>
                <w:noProof/>
                <w:color w:val="000000"/>
                <w:sz w:val="16"/>
                <w:szCs w:val="16"/>
                <w:lang w:val="en-IE" w:eastAsia="en-IE"/>
              </w:rPr>
            </w:pPr>
            <w:r w:rsidRPr="00290112">
              <w:rPr>
                <w:noProof/>
                <w:color w:val="000000"/>
                <w:sz w:val="16"/>
                <w:szCs w:val="16"/>
                <w:lang w:val="en-IE" w:eastAsia="en-IE"/>
              </w:rPr>
              <w:t xml:space="preserve">Other administrative expenditure </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1BA01960" w14:textId="77777777" w:rsidR="003D210A" w:rsidRPr="00290112" w:rsidRDefault="003D210A" w:rsidP="009A133F">
            <w:pPr>
              <w:spacing w:before="0" w:after="0"/>
              <w:jc w:val="right"/>
              <w:rPr>
                <w:noProof/>
                <w:color w:val="000000"/>
                <w:sz w:val="16"/>
                <w:szCs w:val="16"/>
                <w:lang w:val="en-IE" w:eastAsia="en-IE"/>
              </w:rPr>
            </w:pPr>
            <w:r>
              <w:rPr>
                <w:noProof/>
                <w:color w:val="000000"/>
                <w:sz w:val="16"/>
                <w:szCs w:val="16"/>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67FA4653" w14:textId="77777777" w:rsidR="003D210A" w:rsidRPr="00290112" w:rsidRDefault="003D210A" w:rsidP="009A133F">
            <w:pPr>
              <w:spacing w:before="0" w:after="0"/>
              <w:jc w:val="right"/>
              <w:rPr>
                <w:noProof/>
                <w:color w:val="000000"/>
                <w:sz w:val="16"/>
                <w:szCs w:val="16"/>
                <w:lang w:val="en-IE" w:eastAsia="en-IE"/>
              </w:rPr>
            </w:pPr>
            <w:r>
              <w:rPr>
                <w:noProof/>
                <w:color w:val="000000"/>
                <w:sz w:val="16"/>
                <w:szCs w:val="16"/>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0768BED0" w14:textId="77777777" w:rsidR="003D210A" w:rsidRPr="00290112" w:rsidRDefault="003D210A" w:rsidP="009A133F">
            <w:pPr>
              <w:spacing w:before="0" w:after="0"/>
              <w:jc w:val="right"/>
              <w:rPr>
                <w:noProof/>
                <w:color w:val="000000"/>
                <w:sz w:val="16"/>
                <w:szCs w:val="16"/>
                <w:lang w:val="en-IE" w:eastAsia="en-IE"/>
              </w:rPr>
            </w:pPr>
            <w:r>
              <w:rPr>
                <w:noProof/>
                <w:color w:val="000000"/>
                <w:sz w:val="16"/>
                <w:szCs w:val="16"/>
              </w:rPr>
              <w:t>0,000</w:t>
            </w:r>
          </w:p>
        </w:tc>
        <w:tc>
          <w:tcPr>
            <w:tcW w:w="504" w:type="pct"/>
            <w:tcBorders>
              <w:top w:val="nil"/>
              <w:left w:val="nil"/>
              <w:bottom w:val="single" w:sz="8" w:space="0" w:color="auto"/>
              <w:right w:val="single" w:sz="8" w:space="0" w:color="auto"/>
            </w:tcBorders>
            <w:shd w:val="clear" w:color="auto" w:fill="D9D9D9" w:themeFill="background1" w:themeFillShade="D9"/>
            <w:vAlign w:val="center"/>
            <w:hideMark/>
          </w:tcPr>
          <w:p w14:paraId="586CF12D" w14:textId="77777777" w:rsidR="003D210A" w:rsidRPr="00AD05C5" w:rsidRDefault="003D210A" w:rsidP="009A133F">
            <w:pPr>
              <w:spacing w:before="0" w:after="0"/>
              <w:jc w:val="right"/>
              <w:rPr>
                <w:b/>
                <w:noProof/>
                <w:color w:val="000000" w:themeColor="text1"/>
                <w:sz w:val="16"/>
                <w:szCs w:val="16"/>
                <w:lang w:val="en-IE" w:eastAsia="en-IE"/>
              </w:rPr>
            </w:pPr>
            <w:r>
              <w:rPr>
                <w:noProof/>
                <w:color w:val="000000"/>
                <w:sz w:val="16"/>
                <w:szCs w:val="16"/>
              </w:rPr>
              <w:t>0,012</w:t>
            </w:r>
          </w:p>
        </w:tc>
        <w:tc>
          <w:tcPr>
            <w:tcW w:w="551" w:type="pct"/>
            <w:tcBorders>
              <w:top w:val="nil"/>
              <w:left w:val="nil"/>
              <w:bottom w:val="single" w:sz="8" w:space="0" w:color="auto"/>
              <w:right w:val="single" w:sz="8" w:space="0" w:color="auto"/>
            </w:tcBorders>
            <w:shd w:val="clear" w:color="auto" w:fill="D9D9D9" w:themeFill="background1" w:themeFillShade="D9"/>
            <w:vAlign w:val="center"/>
            <w:hideMark/>
          </w:tcPr>
          <w:p w14:paraId="666D2D5A" w14:textId="77777777" w:rsidR="003D210A" w:rsidRPr="00AD05C5" w:rsidRDefault="003D210A" w:rsidP="009A133F">
            <w:pPr>
              <w:spacing w:before="0" w:after="0"/>
              <w:jc w:val="right"/>
              <w:rPr>
                <w:b/>
                <w:bCs/>
                <w:noProof/>
                <w:color w:val="000000" w:themeColor="text1"/>
                <w:sz w:val="16"/>
                <w:szCs w:val="16"/>
                <w:lang w:val="en-IE" w:eastAsia="en-IE"/>
              </w:rPr>
            </w:pPr>
            <w:r>
              <w:rPr>
                <w:b/>
                <w:bCs/>
                <w:noProof/>
                <w:color w:val="000000"/>
                <w:sz w:val="16"/>
                <w:szCs w:val="16"/>
              </w:rPr>
              <w:t>0,012</w:t>
            </w:r>
          </w:p>
        </w:tc>
        <w:tc>
          <w:tcPr>
            <w:tcW w:w="549" w:type="pct"/>
            <w:tcBorders>
              <w:top w:val="nil"/>
              <w:left w:val="nil"/>
              <w:bottom w:val="single" w:sz="8" w:space="0" w:color="auto"/>
              <w:right w:val="single" w:sz="8" w:space="0" w:color="auto"/>
            </w:tcBorders>
            <w:shd w:val="clear" w:color="auto" w:fill="D9D9D9" w:themeFill="background1" w:themeFillShade="D9"/>
            <w:vAlign w:val="center"/>
          </w:tcPr>
          <w:p w14:paraId="0571C604" w14:textId="77777777" w:rsidR="003D210A" w:rsidRPr="00AD05C5" w:rsidRDefault="003D210A" w:rsidP="009A133F">
            <w:pPr>
              <w:spacing w:before="0" w:after="0"/>
              <w:jc w:val="right"/>
              <w:rPr>
                <w:b/>
                <w:bCs/>
                <w:noProof/>
                <w:color w:val="000000" w:themeColor="text1"/>
                <w:sz w:val="16"/>
                <w:szCs w:val="16"/>
                <w:lang w:val="en-IE" w:eastAsia="en-IE"/>
              </w:rPr>
            </w:pPr>
            <w:r>
              <w:rPr>
                <w:noProof/>
                <w:color w:val="000000"/>
                <w:sz w:val="16"/>
                <w:szCs w:val="16"/>
              </w:rPr>
              <w:t>0,084</w:t>
            </w:r>
          </w:p>
        </w:tc>
      </w:tr>
      <w:tr w:rsidR="003D210A" w:rsidRPr="00290112" w14:paraId="0A25C15A" w14:textId="77777777" w:rsidTr="009A133F">
        <w:trPr>
          <w:trHeight w:val="300"/>
        </w:trPr>
        <w:tc>
          <w:tcPr>
            <w:tcW w:w="1926" w:type="pct"/>
            <w:tcBorders>
              <w:top w:val="nil"/>
              <w:left w:val="single" w:sz="8" w:space="0" w:color="auto"/>
              <w:bottom w:val="single" w:sz="8" w:space="0" w:color="auto"/>
              <w:right w:val="single" w:sz="8" w:space="0" w:color="auto"/>
            </w:tcBorders>
            <w:shd w:val="clear" w:color="auto" w:fill="CCCCCC"/>
            <w:vAlign w:val="center"/>
            <w:hideMark/>
          </w:tcPr>
          <w:p w14:paraId="696A9BA3" w14:textId="77777777" w:rsidR="003D210A" w:rsidRPr="00290112" w:rsidRDefault="003D210A" w:rsidP="009A133F">
            <w:pPr>
              <w:spacing w:before="0" w:after="0"/>
              <w:jc w:val="center"/>
              <w:rPr>
                <w:b/>
                <w:bCs/>
                <w:noProof/>
                <w:color w:val="000000"/>
                <w:sz w:val="16"/>
                <w:szCs w:val="16"/>
                <w:lang w:val="en-IE" w:eastAsia="en-IE"/>
              </w:rPr>
            </w:pPr>
            <w:r w:rsidRPr="00290112">
              <w:rPr>
                <w:b/>
                <w:bCs/>
                <w:noProof/>
                <w:color w:val="000000"/>
                <w:sz w:val="16"/>
                <w:szCs w:val="16"/>
                <w:lang w:val="en-IE" w:eastAsia="en-IE"/>
              </w:rPr>
              <w:t>Subtotal HEADING 7</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39E1AE2E" w14:textId="77777777" w:rsidR="003D210A" w:rsidRPr="00290112" w:rsidRDefault="003D210A" w:rsidP="009A133F">
            <w:pPr>
              <w:spacing w:before="0" w:after="0"/>
              <w:jc w:val="right"/>
              <w:rPr>
                <w:b/>
                <w:bCs/>
                <w:noProof/>
                <w:color w:val="000000"/>
                <w:sz w:val="16"/>
                <w:szCs w:val="16"/>
                <w:lang w:val="en-IE" w:eastAsia="en-IE"/>
              </w:rPr>
            </w:pPr>
            <w:r>
              <w:rPr>
                <w:b/>
                <w:bCs/>
                <w:noProof/>
                <w:color w:val="000000"/>
                <w:sz w:val="16"/>
                <w:szCs w:val="16"/>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21E3FF1E" w14:textId="77777777" w:rsidR="003D210A" w:rsidRPr="00290112" w:rsidRDefault="003D210A" w:rsidP="009A133F">
            <w:pPr>
              <w:spacing w:before="0" w:after="0"/>
              <w:jc w:val="right"/>
              <w:rPr>
                <w:b/>
                <w:bCs/>
                <w:noProof/>
                <w:color w:val="000000"/>
                <w:sz w:val="16"/>
                <w:szCs w:val="16"/>
                <w:lang w:val="en-IE" w:eastAsia="en-IE"/>
              </w:rPr>
            </w:pPr>
            <w:r>
              <w:rPr>
                <w:b/>
                <w:bCs/>
                <w:noProof/>
                <w:color w:val="000000"/>
                <w:sz w:val="16"/>
                <w:szCs w:val="16"/>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42BEE4A9" w14:textId="77777777" w:rsidR="003D210A" w:rsidRPr="00290112" w:rsidRDefault="003D210A" w:rsidP="009A133F">
            <w:pPr>
              <w:spacing w:before="0" w:after="0"/>
              <w:jc w:val="right"/>
              <w:rPr>
                <w:b/>
                <w:bCs/>
                <w:noProof/>
                <w:color w:val="000000"/>
                <w:sz w:val="16"/>
                <w:szCs w:val="16"/>
                <w:lang w:val="en-IE" w:eastAsia="en-IE"/>
              </w:rPr>
            </w:pPr>
            <w:r>
              <w:rPr>
                <w:b/>
                <w:bCs/>
                <w:noProof/>
                <w:color w:val="000000"/>
                <w:sz w:val="16"/>
                <w:szCs w:val="16"/>
              </w:rPr>
              <w:t>0,000</w:t>
            </w:r>
          </w:p>
        </w:tc>
        <w:tc>
          <w:tcPr>
            <w:tcW w:w="504" w:type="pct"/>
            <w:tcBorders>
              <w:top w:val="nil"/>
              <w:left w:val="nil"/>
              <w:bottom w:val="single" w:sz="8" w:space="0" w:color="auto"/>
              <w:right w:val="single" w:sz="8" w:space="0" w:color="auto"/>
            </w:tcBorders>
            <w:shd w:val="clear" w:color="auto" w:fill="D9D9D9" w:themeFill="background1" w:themeFillShade="D9"/>
            <w:vAlign w:val="center"/>
            <w:hideMark/>
          </w:tcPr>
          <w:p w14:paraId="3056FB2A" w14:textId="77777777" w:rsidR="003D210A" w:rsidRPr="00AD05C5" w:rsidRDefault="003D210A" w:rsidP="009A133F">
            <w:pPr>
              <w:spacing w:before="0" w:after="0"/>
              <w:jc w:val="right"/>
              <w:rPr>
                <w:b/>
                <w:bCs/>
                <w:noProof/>
                <w:color w:val="000000" w:themeColor="text1"/>
                <w:sz w:val="16"/>
                <w:szCs w:val="16"/>
                <w:lang w:val="en-IE" w:eastAsia="en-IE"/>
              </w:rPr>
            </w:pPr>
            <w:r>
              <w:rPr>
                <w:b/>
                <w:bCs/>
                <w:noProof/>
                <w:color w:val="000000"/>
                <w:sz w:val="16"/>
                <w:szCs w:val="16"/>
              </w:rPr>
              <w:t>0,388</w:t>
            </w:r>
          </w:p>
        </w:tc>
        <w:tc>
          <w:tcPr>
            <w:tcW w:w="551" w:type="pct"/>
            <w:tcBorders>
              <w:top w:val="nil"/>
              <w:left w:val="nil"/>
              <w:bottom w:val="single" w:sz="8" w:space="0" w:color="auto"/>
              <w:right w:val="single" w:sz="8" w:space="0" w:color="auto"/>
            </w:tcBorders>
            <w:shd w:val="clear" w:color="auto" w:fill="D9D9D9" w:themeFill="background1" w:themeFillShade="D9"/>
            <w:vAlign w:val="center"/>
            <w:hideMark/>
          </w:tcPr>
          <w:p w14:paraId="13EE56F2" w14:textId="77777777" w:rsidR="003D210A" w:rsidRPr="00AD05C5" w:rsidRDefault="003D210A" w:rsidP="009A133F">
            <w:pPr>
              <w:spacing w:before="0" w:after="0"/>
              <w:jc w:val="right"/>
              <w:rPr>
                <w:b/>
                <w:bCs/>
                <w:noProof/>
                <w:color w:val="000000" w:themeColor="text1"/>
                <w:sz w:val="16"/>
                <w:szCs w:val="16"/>
                <w:lang w:val="en-IE" w:eastAsia="en-IE"/>
              </w:rPr>
            </w:pPr>
            <w:r>
              <w:rPr>
                <w:b/>
                <w:bCs/>
                <w:noProof/>
                <w:color w:val="000000"/>
                <w:sz w:val="16"/>
                <w:szCs w:val="16"/>
              </w:rPr>
              <w:t>0,388</w:t>
            </w:r>
          </w:p>
        </w:tc>
        <w:tc>
          <w:tcPr>
            <w:tcW w:w="549" w:type="pct"/>
            <w:tcBorders>
              <w:top w:val="nil"/>
              <w:left w:val="nil"/>
              <w:bottom w:val="single" w:sz="8" w:space="0" w:color="auto"/>
              <w:right w:val="single" w:sz="8" w:space="0" w:color="auto"/>
            </w:tcBorders>
            <w:shd w:val="clear" w:color="auto" w:fill="D9D9D9" w:themeFill="background1" w:themeFillShade="D9"/>
            <w:vAlign w:val="center"/>
          </w:tcPr>
          <w:p w14:paraId="398A4FD7" w14:textId="77777777" w:rsidR="003D210A" w:rsidRPr="00AD05C5" w:rsidRDefault="003D210A" w:rsidP="009A133F">
            <w:pPr>
              <w:spacing w:before="0" w:after="0"/>
              <w:jc w:val="right"/>
              <w:rPr>
                <w:b/>
                <w:bCs/>
                <w:noProof/>
                <w:color w:val="000000" w:themeColor="text1"/>
                <w:sz w:val="16"/>
                <w:szCs w:val="16"/>
                <w:lang w:val="en-IE" w:eastAsia="en-IE"/>
              </w:rPr>
            </w:pPr>
            <w:r>
              <w:rPr>
                <w:b/>
                <w:bCs/>
                <w:noProof/>
                <w:color w:val="000000"/>
                <w:sz w:val="16"/>
                <w:szCs w:val="16"/>
              </w:rPr>
              <w:t>2,716</w:t>
            </w:r>
          </w:p>
        </w:tc>
      </w:tr>
      <w:tr w:rsidR="003D210A" w:rsidRPr="00290112" w14:paraId="17EE1A99" w14:textId="77777777" w:rsidTr="009A133F">
        <w:trPr>
          <w:trHeight w:val="300"/>
        </w:trPr>
        <w:tc>
          <w:tcPr>
            <w:tcW w:w="4451" w:type="pct"/>
            <w:gridSpan w:val="6"/>
            <w:tcBorders>
              <w:top w:val="single" w:sz="8" w:space="0" w:color="auto"/>
              <w:left w:val="single" w:sz="8" w:space="0" w:color="auto"/>
              <w:bottom w:val="single" w:sz="8" w:space="0" w:color="auto"/>
              <w:right w:val="single" w:sz="4" w:space="0" w:color="auto"/>
            </w:tcBorders>
            <w:vAlign w:val="center"/>
            <w:hideMark/>
          </w:tcPr>
          <w:p w14:paraId="65774FCB" w14:textId="77777777" w:rsidR="003D210A" w:rsidRPr="00290112" w:rsidRDefault="003D210A" w:rsidP="009A133F">
            <w:pPr>
              <w:spacing w:before="0" w:after="0"/>
              <w:jc w:val="left"/>
              <w:rPr>
                <w:b/>
                <w:bCs/>
                <w:noProof/>
                <w:sz w:val="16"/>
                <w:szCs w:val="16"/>
                <w:lang w:val="en-IE" w:eastAsia="en-IE"/>
              </w:rPr>
            </w:pPr>
            <w:r w:rsidRPr="00290112">
              <w:rPr>
                <w:b/>
                <w:bCs/>
                <w:noProof/>
                <w:sz w:val="16"/>
                <w:szCs w:val="16"/>
                <w:lang w:val="en-IE" w:eastAsia="en-IE"/>
              </w:rPr>
              <w:t>Outside HEADING 7</w:t>
            </w:r>
          </w:p>
        </w:tc>
        <w:tc>
          <w:tcPr>
            <w:tcW w:w="549" w:type="pct"/>
            <w:tcBorders>
              <w:top w:val="single" w:sz="8" w:space="0" w:color="auto"/>
              <w:left w:val="single" w:sz="8" w:space="0" w:color="auto"/>
              <w:bottom w:val="single" w:sz="8" w:space="0" w:color="auto"/>
              <w:right w:val="single" w:sz="4" w:space="0" w:color="auto"/>
            </w:tcBorders>
          </w:tcPr>
          <w:p w14:paraId="2D3CFE22" w14:textId="77777777" w:rsidR="003D210A" w:rsidRPr="00290112" w:rsidRDefault="003D210A" w:rsidP="009A133F">
            <w:pPr>
              <w:spacing w:before="0" w:after="0"/>
              <w:jc w:val="left"/>
              <w:rPr>
                <w:b/>
                <w:bCs/>
                <w:noProof/>
                <w:sz w:val="16"/>
                <w:szCs w:val="16"/>
                <w:lang w:val="en-IE" w:eastAsia="en-IE"/>
              </w:rPr>
            </w:pPr>
          </w:p>
        </w:tc>
      </w:tr>
      <w:tr w:rsidR="003D210A" w:rsidRPr="00290112" w14:paraId="493E4AFD" w14:textId="77777777" w:rsidTr="009A133F">
        <w:trPr>
          <w:trHeight w:val="300"/>
        </w:trPr>
        <w:tc>
          <w:tcPr>
            <w:tcW w:w="1926" w:type="pct"/>
            <w:tcBorders>
              <w:top w:val="nil"/>
              <w:left w:val="single" w:sz="8" w:space="0" w:color="auto"/>
              <w:bottom w:val="single" w:sz="8" w:space="0" w:color="auto"/>
              <w:right w:val="single" w:sz="8" w:space="0" w:color="auto"/>
            </w:tcBorders>
            <w:vAlign w:val="center"/>
            <w:hideMark/>
          </w:tcPr>
          <w:p w14:paraId="247F148F" w14:textId="77777777" w:rsidR="003D210A" w:rsidRPr="00290112" w:rsidRDefault="003D210A" w:rsidP="009A133F">
            <w:pPr>
              <w:spacing w:before="0" w:after="0"/>
              <w:jc w:val="left"/>
              <w:rPr>
                <w:noProof/>
                <w:color w:val="000000"/>
                <w:sz w:val="16"/>
                <w:szCs w:val="16"/>
                <w:lang w:val="en-IE" w:eastAsia="en-IE"/>
              </w:rPr>
            </w:pPr>
            <w:r w:rsidRPr="00290112">
              <w:rPr>
                <w:noProof/>
                <w:color w:val="000000"/>
                <w:sz w:val="16"/>
                <w:szCs w:val="16"/>
                <w:lang w:val="en-IE" w:eastAsia="en-IE"/>
              </w:rPr>
              <w:t xml:space="preserve">Human resources </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3A447589" w14:textId="77777777" w:rsidR="003D210A" w:rsidRPr="00290112" w:rsidRDefault="003D210A" w:rsidP="009A133F">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6F5DDC76" w14:textId="77777777" w:rsidR="003D210A" w:rsidRPr="00290112" w:rsidRDefault="003D210A" w:rsidP="009A133F">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7EDF96F2" w14:textId="77777777" w:rsidR="003D210A" w:rsidRPr="00290112" w:rsidRDefault="003D210A" w:rsidP="009A133F">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04" w:type="pct"/>
            <w:tcBorders>
              <w:top w:val="nil"/>
              <w:left w:val="nil"/>
              <w:bottom w:val="single" w:sz="8" w:space="0" w:color="auto"/>
              <w:right w:val="single" w:sz="8" w:space="0" w:color="auto"/>
            </w:tcBorders>
            <w:shd w:val="clear" w:color="auto" w:fill="D9D9D9" w:themeFill="background1" w:themeFillShade="D9"/>
            <w:vAlign w:val="center"/>
            <w:hideMark/>
          </w:tcPr>
          <w:p w14:paraId="62AEBA52" w14:textId="77777777" w:rsidR="003D210A" w:rsidRPr="00290112" w:rsidRDefault="003D210A" w:rsidP="009A133F">
            <w:pPr>
              <w:spacing w:before="0" w:after="0"/>
              <w:jc w:val="right"/>
              <w:rPr>
                <w:noProof/>
                <w:color w:val="000000"/>
                <w:sz w:val="16"/>
                <w:szCs w:val="16"/>
                <w:lang w:val="en-IE" w:eastAsia="en-IE"/>
              </w:rPr>
            </w:pPr>
            <w:r>
              <w:rPr>
                <w:noProof/>
                <w:color w:val="000000"/>
                <w:sz w:val="16"/>
                <w:szCs w:val="16"/>
              </w:rPr>
              <w:t>1,910</w:t>
            </w:r>
          </w:p>
        </w:tc>
        <w:tc>
          <w:tcPr>
            <w:tcW w:w="551" w:type="pct"/>
            <w:tcBorders>
              <w:top w:val="nil"/>
              <w:left w:val="nil"/>
              <w:bottom w:val="single" w:sz="8" w:space="0" w:color="auto"/>
              <w:right w:val="single" w:sz="8" w:space="0" w:color="auto"/>
            </w:tcBorders>
            <w:shd w:val="clear" w:color="auto" w:fill="D9D9D9" w:themeFill="background1" w:themeFillShade="D9"/>
            <w:vAlign w:val="center"/>
            <w:hideMark/>
          </w:tcPr>
          <w:p w14:paraId="642ED818" w14:textId="77777777" w:rsidR="003D210A" w:rsidRPr="00290112" w:rsidRDefault="003D210A" w:rsidP="009A133F">
            <w:pPr>
              <w:spacing w:before="0" w:after="0"/>
              <w:jc w:val="right"/>
              <w:rPr>
                <w:b/>
                <w:bCs/>
                <w:noProof/>
                <w:color w:val="000000"/>
                <w:sz w:val="16"/>
                <w:szCs w:val="16"/>
                <w:lang w:val="en-IE" w:eastAsia="en-IE"/>
              </w:rPr>
            </w:pPr>
            <w:r>
              <w:rPr>
                <w:b/>
                <w:bCs/>
                <w:noProof/>
                <w:color w:val="000000"/>
                <w:sz w:val="16"/>
                <w:szCs w:val="16"/>
              </w:rPr>
              <w:t>1,910</w:t>
            </w:r>
          </w:p>
        </w:tc>
        <w:tc>
          <w:tcPr>
            <w:tcW w:w="549" w:type="pct"/>
            <w:tcBorders>
              <w:top w:val="nil"/>
              <w:left w:val="nil"/>
              <w:bottom w:val="single" w:sz="8" w:space="0" w:color="auto"/>
              <w:right w:val="single" w:sz="8" w:space="0" w:color="auto"/>
            </w:tcBorders>
            <w:shd w:val="clear" w:color="auto" w:fill="D9D9D9" w:themeFill="background1" w:themeFillShade="D9"/>
            <w:vAlign w:val="center"/>
          </w:tcPr>
          <w:p w14:paraId="7424F7AB" w14:textId="77777777" w:rsidR="003D210A" w:rsidRPr="00290112" w:rsidRDefault="003D210A" w:rsidP="009A133F">
            <w:pPr>
              <w:spacing w:before="0" w:after="0"/>
              <w:jc w:val="right"/>
              <w:rPr>
                <w:b/>
                <w:bCs/>
                <w:noProof/>
                <w:color w:val="000000"/>
                <w:sz w:val="16"/>
                <w:szCs w:val="16"/>
                <w:lang w:val="en-IE" w:eastAsia="en-IE"/>
              </w:rPr>
            </w:pPr>
            <w:r>
              <w:rPr>
                <w:noProof/>
                <w:color w:val="000000"/>
                <w:sz w:val="16"/>
                <w:szCs w:val="16"/>
              </w:rPr>
              <w:t>13,370</w:t>
            </w:r>
          </w:p>
        </w:tc>
      </w:tr>
      <w:tr w:rsidR="003D210A" w:rsidRPr="00290112" w14:paraId="741F389E" w14:textId="77777777" w:rsidTr="009A133F">
        <w:trPr>
          <w:trHeight w:val="300"/>
        </w:trPr>
        <w:tc>
          <w:tcPr>
            <w:tcW w:w="1926" w:type="pct"/>
            <w:tcBorders>
              <w:top w:val="nil"/>
              <w:left w:val="single" w:sz="8" w:space="0" w:color="auto"/>
              <w:bottom w:val="single" w:sz="8" w:space="0" w:color="auto"/>
              <w:right w:val="single" w:sz="8" w:space="0" w:color="auto"/>
            </w:tcBorders>
            <w:vAlign w:val="center"/>
            <w:hideMark/>
          </w:tcPr>
          <w:p w14:paraId="75CFAD17" w14:textId="77777777" w:rsidR="003D210A" w:rsidRPr="00290112" w:rsidRDefault="003D210A" w:rsidP="009A133F">
            <w:pPr>
              <w:spacing w:before="0" w:after="0"/>
              <w:jc w:val="left"/>
              <w:rPr>
                <w:noProof/>
                <w:color w:val="000000"/>
                <w:sz w:val="16"/>
                <w:szCs w:val="16"/>
                <w:lang w:val="en-IE" w:eastAsia="en-IE"/>
              </w:rPr>
            </w:pPr>
            <w:r w:rsidRPr="00290112">
              <w:rPr>
                <w:noProof/>
                <w:color w:val="000000"/>
                <w:sz w:val="16"/>
                <w:szCs w:val="16"/>
                <w:lang w:val="en-IE" w:eastAsia="en-IE"/>
              </w:rPr>
              <w:t>Other expenditure of an administrative nature</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3B303BC0" w14:textId="77777777" w:rsidR="003D210A" w:rsidRPr="00290112" w:rsidRDefault="003D210A" w:rsidP="009A133F">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4470F9E9" w14:textId="77777777" w:rsidR="003D210A" w:rsidRPr="00290112" w:rsidRDefault="003D210A" w:rsidP="009A133F">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3D302C39" w14:textId="77777777" w:rsidR="003D210A" w:rsidRPr="00290112" w:rsidRDefault="003D210A" w:rsidP="009A133F">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04" w:type="pct"/>
            <w:tcBorders>
              <w:top w:val="nil"/>
              <w:left w:val="nil"/>
              <w:bottom w:val="single" w:sz="8" w:space="0" w:color="auto"/>
              <w:right w:val="single" w:sz="8" w:space="0" w:color="auto"/>
            </w:tcBorders>
            <w:shd w:val="clear" w:color="auto" w:fill="D9D9D9" w:themeFill="background1" w:themeFillShade="D9"/>
            <w:vAlign w:val="center"/>
            <w:hideMark/>
          </w:tcPr>
          <w:p w14:paraId="7C1D529B" w14:textId="77777777" w:rsidR="003D210A" w:rsidRPr="00290112" w:rsidRDefault="003D210A" w:rsidP="009A133F">
            <w:pPr>
              <w:spacing w:before="0" w:after="0"/>
              <w:jc w:val="right"/>
              <w:rPr>
                <w:noProof/>
                <w:color w:val="000000"/>
                <w:sz w:val="16"/>
                <w:szCs w:val="16"/>
                <w:lang w:val="en-IE" w:eastAsia="en-IE"/>
              </w:rPr>
            </w:pPr>
            <w:r>
              <w:rPr>
                <w:noProof/>
                <w:color w:val="000000"/>
                <w:sz w:val="16"/>
                <w:szCs w:val="16"/>
              </w:rPr>
              <w:t>0,024</w:t>
            </w:r>
          </w:p>
        </w:tc>
        <w:tc>
          <w:tcPr>
            <w:tcW w:w="551" w:type="pct"/>
            <w:tcBorders>
              <w:top w:val="nil"/>
              <w:left w:val="nil"/>
              <w:bottom w:val="single" w:sz="8" w:space="0" w:color="auto"/>
              <w:right w:val="single" w:sz="8" w:space="0" w:color="auto"/>
            </w:tcBorders>
            <w:shd w:val="clear" w:color="auto" w:fill="D9D9D9" w:themeFill="background1" w:themeFillShade="D9"/>
            <w:vAlign w:val="center"/>
            <w:hideMark/>
          </w:tcPr>
          <w:p w14:paraId="0BF70497" w14:textId="77777777" w:rsidR="003D210A" w:rsidRPr="00290112" w:rsidRDefault="003D210A" w:rsidP="009A133F">
            <w:pPr>
              <w:spacing w:before="0" w:after="0"/>
              <w:jc w:val="right"/>
              <w:rPr>
                <w:b/>
                <w:bCs/>
                <w:noProof/>
                <w:color w:val="000000"/>
                <w:sz w:val="16"/>
                <w:szCs w:val="16"/>
                <w:lang w:val="en-IE" w:eastAsia="en-IE"/>
              </w:rPr>
            </w:pPr>
            <w:r>
              <w:rPr>
                <w:b/>
                <w:bCs/>
                <w:noProof/>
                <w:color w:val="000000"/>
                <w:sz w:val="16"/>
                <w:szCs w:val="16"/>
              </w:rPr>
              <w:t>0,024</w:t>
            </w:r>
          </w:p>
        </w:tc>
        <w:tc>
          <w:tcPr>
            <w:tcW w:w="549" w:type="pct"/>
            <w:tcBorders>
              <w:top w:val="nil"/>
              <w:left w:val="nil"/>
              <w:bottom w:val="single" w:sz="8" w:space="0" w:color="auto"/>
              <w:right w:val="single" w:sz="8" w:space="0" w:color="auto"/>
            </w:tcBorders>
            <w:shd w:val="clear" w:color="auto" w:fill="D9D9D9" w:themeFill="background1" w:themeFillShade="D9"/>
            <w:vAlign w:val="center"/>
          </w:tcPr>
          <w:p w14:paraId="1E77C722" w14:textId="77777777" w:rsidR="003D210A" w:rsidRPr="00290112" w:rsidRDefault="003D210A" w:rsidP="009A133F">
            <w:pPr>
              <w:spacing w:before="0" w:after="0"/>
              <w:jc w:val="right"/>
              <w:rPr>
                <w:b/>
                <w:bCs/>
                <w:noProof/>
                <w:color w:val="000000"/>
                <w:sz w:val="16"/>
                <w:szCs w:val="16"/>
                <w:lang w:val="en-IE" w:eastAsia="en-IE"/>
              </w:rPr>
            </w:pPr>
            <w:r>
              <w:rPr>
                <w:noProof/>
                <w:color w:val="000000"/>
                <w:sz w:val="16"/>
                <w:szCs w:val="16"/>
              </w:rPr>
              <w:t>0,168</w:t>
            </w:r>
          </w:p>
        </w:tc>
      </w:tr>
      <w:tr w:rsidR="003D210A" w:rsidRPr="00290112" w14:paraId="7BB2D9B5" w14:textId="77777777" w:rsidTr="009A133F">
        <w:trPr>
          <w:trHeight w:val="300"/>
        </w:trPr>
        <w:tc>
          <w:tcPr>
            <w:tcW w:w="1926" w:type="pct"/>
            <w:tcBorders>
              <w:top w:val="nil"/>
              <w:left w:val="single" w:sz="8" w:space="0" w:color="auto"/>
              <w:bottom w:val="single" w:sz="8" w:space="0" w:color="auto"/>
              <w:right w:val="single" w:sz="8" w:space="0" w:color="auto"/>
            </w:tcBorders>
            <w:shd w:val="clear" w:color="auto" w:fill="CCCCCC"/>
            <w:vAlign w:val="center"/>
            <w:hideMark/>
          </w:tcPr>
          <w:p w14:paraId="6CCBFA5C" w14:textId="77777777" w:rsidR="003D210A" w:rsidRPr="00290112" w:rsidRDefault="003D210A" w:rsidP="009A133F">
            <w:pPr>
              <w:spacing w:before="0" w:after="0"/>
              <w:jc w:val="center"/>
              <w:rPr>
                <w:b/>
                <w:bCs/>
                <w:noProof/>
                <w:color w:val="000000"/>
                <w:sz w:val="16"/>
                <w:szCs w:val="16"/>
                <w:lang w:val="en-IE" w:eastAsia="en-IE"/>
              </w:rPr>
            </w:pPr>
            <w:r w:rsidRPr="00290112">
              <w:rPr>
                <w:b/>
                <w:bCs/>
                <w:noProof/>
                <w:color w:val="000000"/>
                <w:sz w:val="16"/>
                <w:szCs w:val="16"/>
                <w:lang w:val="en-IE" w:eastAsia="en-IE"/>
              </w:rPr>
              <w:t>Subtotal outside HEADING 7</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68508A17" w14:textId="77777777" w:rsidR="003D210A" w:rsidRPr="00290112" w:rsidRDefault="003D210A" w:rsidP="009A133F">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74CE7922" w14:textId="77777777" w:rsidR="003D210A" w:rsidRPr="00290112" w:rsidRDefault="003D210A" w:rsidP="009A133F">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3009F2F5" w14:textId="77777777" w:rsidR="003D210A" w:rsidRPr="00290112" w:rsidRDefault="003D210A" w:rsidP="009A133F">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04" w:type="pct"/>
            <w:tcBorders>
              <w:top w:val="nil"/>
              <w:left w:val="nil"/>
              <w:bottom w:val="single" w:sz="8" w:space="0" w:color="auto"/>
              <w:right w:val="single" w:sz="8" w:space="0" w:color="auto"/>
            </w:tcBorders>
            <w:shd w:val="clear" w:color="auto" w:fill="D9D9D9" w:themeFill="background1" w:themeFillShade="D9"/>
            <w:vAlign w:val="center"/>
            <w:hideMark/>
          </w:tcPr>
          <w:p w14:paraId="08BA602C" w14:textId="77777777" w:rsidR="003D210A" w:rsidRPr="00290112" w:rsidRDefault="003D210A" w:rsidP="009A133F">
            <w:pPr>
              <w:spacing w:before="0" w:after="0"/>
              <w:jc w:val="right"/>
              <w:rPr>
                <w:b/>
                <w:bCs/>
                <w:noProof/>
                <w:color w:val="000000"/>
                <w:sz w:val="16"/>
                <w:szCs w:val="16"/>
                <w:lang w:val="en-IE" w:eastAsia="en-IE"/>
              </w:rPr>
            </w:pPr>
            <w:r>
              <w:rPr>
                <w:b/>
                <w:bCs/>
                <w:noProof/>
                <w:color w:val="000000"/>
                <w:sz w:val="16"/>
                <w:szCs w:val="16"/>
              </w:rPr>
              <w:t>1,934</w:t>
            </w:r>
          </w:p>
        </w:tc>
        <w:tc>
          <w:tcPr>
            <w:tcW w:w="551" w:type="pct"/>
            <w:tcBorders>
              <w:top w:val="nil"/>
              <w:left w:val="nil"/>
              <w:bottom w:val="single" w:sz="8" w:space="0" w:color="auto"/>
              <w:right w:val="single" w:sz="8" w:space="0" w:color="auto"/>
            </w:tcBorders>
            <w:shd w:val="clear" w:color="auto" w:fill="D9D9D9" w:themeFill="background1" w:themeFillShade="D9"/>
            <w:vAlign w:val="center"/>
            <w:hideMark/>
          </w:tcPr>
          <w:p w14:paraId="7108302E" w14:textId="77777777" w:rsidR="003D210A" w:rsidRPr="00290112" w:rsidRDefault="003D210A" w:rsidP="009A133F">
            <w:pPr>
              <w:spacing w:before="0" w:after="0"/>
              <w:jc w:val="right"/>
              <w:rPr>
                <w:b/>
                <w:bCs/>
                <w:noProof/>
                <w:color w:val="000000"/>
                <w:sz w:val="16"/>
                <w:szCs w:val="16"/>
                <w:lang w:val="en-IE" w:eastAsia="en-IE"/>
              </w:rPr>
            </w:pPr>
            <w:r>
              <w:rPr>
                <w:b/>
                <w:bCs/>
                <w:noProof/>
                <w:color w:val="000000"/>
                <w:sz w:val="16"/>
                <w:szCs w:val="16"/>
              </w:rPr>
              <w:t>1,934</w:t>
            </w:r>
          </w:p>
        </w:tc>
        <w:tc>
          <w:tcPr>
            <w:tcW w:w="549" w:type="pct"/>
            <w:tcBorders>
              <w:top w:val="nil"/>
              <w:left w:val="nil"/>
              <w:bottom w:val="single" w:sz="8" w:space="0" w:color="auto"/>
              <w:right w:val="single" w:sz="8" w:space="0" w:color="auto"/>
            </w:tcBorders>
            <w:shd w:val="clear" w:color="auto" w:fill="D9D9D9" w:themeFill="background1" w:themeFillShade="D9"/>
            <w:vAlign w:val="center"/>
          </w:tcPr>
          <w:p w14:paraId="622D3764" w14:textId="77777777" w:rsidR="003D210A" w:rsidRPr="00290112" w:rsidRDefault="003D210A" w:rsidP="009A133F">
            <w:pPr>
              <w:spacing w:before="0" w:after="0"/>
              <w:jc w:val="right"/>
              <w:rPr>
                <w:b/>
                <w:bCs/>
                <w:noProof/>
                <w:color w:val="000000"/>
                <w:sz w:val="16"/>
                <w:szCs w:val="16"/>
                <w:lang w:val="en-IE" w:eastAsia="en-IE"/>
              </w:rPr>
            </w:pPr>
            <w:r>
              <w:rPr>
                <w:b/>
                <w:bCs/>
                <w:noProof/>
                <w:color w:val="000000"/>
                <w:sz w:val="16"/>
                <w:szCs w:val="16"/>
              </w:rPr>
              <w:t>13,538</w:t>
            </w:r>
          </w:p>
        </w:tc>
      </w:tr>
      <w:tr w:rsidR="003D210A" w:rsidRPr="00290112" w14:paraId="5681A08E" w14:textId="77777777" w:rsidTr="009A133F">
        <w:trPr>
          <w:trHeight w:val="300"/>
        </w:trPr>
        <w:tc>
          <w:tcPr>
            <w:tcW w:w="4451" w:type="pct"/>
            <w:gridSpan w:val="6"/>
            <w:tcBorders>
              <w:top w:val="single" w:sz="8" w:space="0" w:color="auto"/>
              <w:left w:val="single" w:sz="8" w:space="0" w:color="auto"/>
              <w:bottom w:val="single" w:sz="8" w:space="0" w:color="auto"/>
              <w:right w:val="single" w:sz="4" w:space="0" w:color="auto"/>
            </w:tcBorders>
            <w:noWrap/>
            <w:vAlign w:val="center"/>
            <w:hideMark/>
          </w:tcPr>
          <w:p w14:paraId="1756E18D" w14:textId="77777777" w:rsidR="003D210A" w:rsidRPr="00290112" w:rsidRDefault="003D210A" w:rsidP="009A133F">
            <w:pPr>
              <w:spacing w:before="0" w:after="0"/>
              <w:jc w:val="center"/>
              <w:rPr>
                <w:noProof/>
                <w:color w:val="000000"/>
                <w:sz w:val="16"/>
                <w:szCs w:val="16"/>
                <w:lang w:val="en-IE" w:eastAsia="en-IE"/>
              </w:rPr>
            </w:pPr>
            <w:r w:rsidRPr="00290112">
              <w:rPr>
                <w:noProof/>
                <w:color w:val="000000"/>
                <w:sz w:val="16"/>
                <w:szCs w:val="16"/>
                <w:lang w:val="en-IE" w:eastAsia="en-IE"/>
              </w:rPr>
              <w:t> </w:t>
            </w:r>
          </w:p>
        </w:tc>
        <w:tc>
          <w:tcPr>
            <w:tcW w:w="549" w:type="pct"/>
            <w:tcBorders>
              <w:top w:val="single" w:sz="8" w:space="0" w:color="auto"/>
              <w:left w:val="single" w:sz="8" w:space="0" w:color="auto"/>
              <w:bottom w:val="single" w:sz="8" w:space="0" w:color="auto"/>
              <w:right w:val="single" w:sz="4" w:space="0" w:color="auto"/>
            </w:tcBorders>
          </w:tcPr>
          <w:p w14:paraId="7B17AE2B" w14:textId="77777777" w:rsidR="003D210A" w:rsidRPr="00290112" w:rsidRDefault="003D210A" w:rsidP="009A133F">
            <w:pPr>
              <w:spacing w:before="0" w:after="0"/>
              <w:jc w:val="center"/>
              <w:rPr>
                <w:noProof/>
                <w:color w:val="000000"/>
                <w:sz w:val="16"/>
                <w:szCs w:val="16"/>
                <w:lang w:val="en-IE" w:eastAsia="en-IE"/>
              </w:rPr>
            </w:pPr>
          </w:p>
        </w:tc>
      </w:tr>
      <w:tr w:rsidR="003D210A" w:rsidRPr="00290112" w14:paraId="7B7C5F52" w14:textId="77777777" w:rsidTr="009A133F">
        <w:trPr>
          <w:trHeight w:val="300"/>
        </w:trPr>
        <w:tc>
          <w:tcPr>
            <w:tcW w:w="1926" w:type="pct"/>
            <w:tcBorders>
              <w:top w:val="nil"/>
              <w:left w:val="single" w:sz="8" w:space="0" w:color="auto"/>
              <w:bottom w:val="single" w:sz="8" w:space="0" w:color="auto"/>
              <w:right w:val="single" w:sz="8" w:space="0" w:color="auto"/>
            </w:tcBorders>
            <w:vAlign w:val="center"/>
            <w:hideMark/>
          </w:tcPr>
          <w:p w14:paraId="45F94805" w14:textId="77777777" w:rsidR="003D210A" w:rsidRPr="00290112" w:rsidRDefault="003D210A" w:rsidP="009A133F">
            <w:pPr>
              <w:spacing w:before="0" w:after="0"/>
              <w:jc w:val="center"/>
              <w:rPr>
                <w:b/>
                <w:bCs/>
                <w:noProof/>
                <w:color w:val="000000"/>
                <w:sz w:val="16"/>
                <w:szCs w:val="16"/>
                <w:lang w:val="en-IE" w:eastAsia="en-IE"/>
              </w:rPr>
            </w:pPr>
            <w:r w:rsidRPr="00290112">
              <w:rPr>
                <w:b/>
                <w:bCs/>
                <w:noProof/>
                <w:color w:val="000000"/>
                <w:sz w:val="16"/>
                <w:szCs w:val="16"/>
                <w:lang w:val="en-IE" w:eastAsia="en-IE"/>
              </w:rPr>
              <w:t>TOTAL</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074CB8E5" w14:textId="77777777" w:rsidR="003D210A" w:rsidRPr="00290112" w:rsidRDefault="003D210A" w:rsidP="009A133F">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255DCAD6" w14:textId="77777777" w:rsidR="003D210A" w:rsidRPr="00290112" w:rsidRDefault="003D210A" w:rsidP="009A133F">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1A3B3C93" w14:textId="77777777" w:rsidR="003D210A" w:rsidRPr="00290112" w:rsidRDefault="003D210A" w:rsidP="009A133F">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04" w:type="pct"/>
            <w:tcBorders>
              <w:top w:val="nil"/>
              <w:left w:val="nil"/>
              <w:bottom w:val="single" w:sz="8" w:space="0" w:color="auto"/>
              <w:right w:val="single" w:sz="8" w:space="0" w:color="auto"/>
            </w:tcBorders>
            <w:shd w:val="clear" w:color="auto" w:fill="D9D9D9" w:themeFill="background1" w:themeFillShade="D9"/>
            <w:vAlign w:val="center"/>
            <w:hideMark/>
          </w:tcPr>
          <w:p w14:paraId="6D8F9C28" w14:textId="77777777" w:rsidR="003D210A" w:rsidRPr="00A23738" w:rsidRDefault="003D210A" w:rsidP="009A133F">
            <w:pPr>
              <w:spacing w:before="0" w:after="0"/>
              <w:jc w:val="right"/>
              <w:rPr>
                <w:b/>
                <w:noProof/>
                <w:color w:val="FF0000"/>
                <w:sz w:val="16"/>
                <w:szCs w:val="16"/>
                <w:lang w:val="en-IE" w:eastAsia="en-IE"/>
              </w:rPr>
            </w:pPr>
            <w:r>
              <w:rPr>
                <w:b/>
                <w:bCs/>
                <w:noProof/>
                <w:color w:val="000000"/>
                <w:sz w:val="16"/>
                <w:szCs w:val="16"/>
              </w:rPr>
              <w:t>2,322</w:t>
            </w:r>
          </w:p>
        </w:tc>
        <w:tc>
          <w:tcPr>
            <w:tcW w:w="551" w:type="pct"/>
            <w:tcBorders>
              <w:top w:val="nil"/>
              <w:left w:val="nil"/>
              <w:bottom w:val="single" w:sz="8" w:space="0" w:color="auto"/>
              <w:right w:val="single" w:sz="8" w:space="0" w:color="auto"/>
            </w:tcBorders>
            <w:shd w:val="clear" w:color="auto" w:fill="D9D9D9" w:themeFill="background1" w:themeFillShade="D9"/>
            <w:vAlign w:val="center"/>
            <w:hideMark/>
          </w:tcPr>
          <w:p w14:paraId="396692AF" w14:textId="77777777" w:rsidR="003D210A" w:rsidRPr="00A23738" w:rsidRDefault="003D210A" w:rsidP="009A133F">
            <w:pPr>
              <w:spacing w:before="0" w:after="0"/>
              <w:jc w:val="right"/>
              <w:rPr>
                <w:b/>
                <w:noProof/>
                <w:color w:val="FF0000"/>
                <w:sz w:val="16"/>
                <w:szCs w:val="16"/>
                <w:lang w:val="en-IE" w:eastAsia="en-IE"/>
              </w:rPr>
            </w:pPr>
            <w:r>
              <w:rPr>
                <w:b/>
                <w:bCs/>
                <w:noProof/>
                <w:color w:val="000000"/>
                <w:sz w:val="16"/>
                <w:szCs w:val="16"/>
              </w:rPr>
              <w:t>2,322</w:t>
            </w:r>
          </w:p>
        </w:tc>
        <w:tc>
          <w:tcPr>
            <w:tcW w:w="549" w:type="pct"/>
            <w:tcBorders>
              <w:top w:val="nil"/>
              <w:left w:val="nil"/>
              <w:bottom w:val="single" w:sz="8" w:space="0" w:color="auto"/>
              <w:right w:val="single" w:sz="8" w:space="0" w:color="auto"/>
            </w:tcBorders>
            <w:shd w:val="clear" w:color="auto" w:fill="D9D9D9" w:themeFill="background1" w:themeFillShade="D9"/>
            <w:vAlign w:val="center"/>
          </w:tcPr>
          <w:p w14:paraId="2F1609A2" w14:textId="77777777" w:rsidR="003D210A" w:rsidRPr="00A23738" w:rsidRDefault="003D210A" w:rsidP="009A133F">
            <w:pPr>
              <w:spacing w:before="0" w:after="0"/>
              <w:jc w:val="right"/>
              <w:rPr>
                <w:b/>
                <w:noProof/>
                <w:color w:val="000000"/>
                <w:sz w:val="16"/>
                <w:szCs w:val="16"/>
                <w:lang w:val="en-IE" w:eastAsia="en-IE"/>
              </w:rPr>
            </w:pPr>
            <w:r>
              <w:rPr>
                <w:b/>
                <w:bCs/>
                <w:noProof/>
                <w:color w:val="000000"/>
                <w:sz w:val="16"/>
                <w:szCs w:val="16"/>
              </w:rPr>
              <w:t>16,254</w:t>
            </w:r>
          </w:p>
        </w:tc>
      </w:tr>
    </w:tbl>
    <w:p w14:paraId="6D61B3F6" w14:textId="77777777" w:rsidR="00AF7A86" w:rsidRDefault="00AF7A86" w:rsidP="00AF7A86">
      <w:pPr>
        <w:pStyle w:val="ManualHeading3"/>
        <w:rPr>
          <w:noProof/>
        </w:rPr>
      </w:pPr>
      <w:bookmarkStart w:id="164" w:name="_Toc172893712"/>
      <w:r>
        <w:rPr>
          <w:noProof/>
        </w:rPr>
        <w:t>3.2.3.</w:t>
      </w:r>
      <w:r w:rsidR="004E09E3">
        <w:rPr>
          <w:noProof/>
        </w:rPr>
        <w:t>2</w:t>
      </w:r>
      <w:r>
        <w:rPr>
          <w:noProof/>
        </w:rPr>
        <w:t>.</w:t>
      </w:r>
      <w:r>
        <w:rPr>
          <w:noProof/>
        </w:rPr>
        <w:tab/>
        <w:t>Total appropriations</w:t>
      </w:r>
      <w:bookmarkEnd w:id="164"/>
    </w:p>
    <w:tbl>
      <w:tblPr>
        <w:tblW w:w="9289" w:type="dxa"/>
        <w:tblLook w:val="04A0" w:firstRow="1" w:lastRow="0" w:firstColumn="1" w:lastColumn="0" w:noHBand="0" w:noVBand="1"/>
      </w:tblPr>
      <w:tblGrid>
        <w:gridCol w:w="3531"/>
        <w:gridCol w:w="993"/>
        <w:gridCol w:w="928"/>
        <w:gridCol w:w="927"/>
        <w:gridCol w:w="934"/>
        <w:gridCol w:w="1042"/>
        <w:gridCol w:w="934"/>
      </w:tblGrid>
      <w:tr w:rsidR="00722FD4" w:rsidRPr="00290112" w14:paraId="4279690F" w14:textId="77777777" w:rsidTr="009A133F">
        <w:trPr>
          <w:trHeight w:val="519"/>
        </w:trPr>
        <w:tc>
          <w:tcPr>
            <w:tcW w:w="3531"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5841E937" w14:textId="77777777" w:rsidR="00722FD4" w:rsidRPr="00290112" w:rsidRDefault="00722FD4"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TOTA</w:t>
            </w:r>
            <w:r>
              <w:rPr>
                <w:b/>
                <w:bCs/>
                <w:noProof/>
                <w:color w:val="000000"/>
                <w:sz w:val="18"/>
                <w:szCs w:val="18"/>
                <w:lang w:val="en-IE" w:eastAsia="en-IE"/>
              </w:rPr>
              <w:t xml:space="preserve">L                                                        </w:t>
            </w:r>
            <w:r w:rsidRPr="00290112">
              <w:rPr>
                <w:b/>
                <w:bCs/>
                <w:noProof/>
                <w:color w:val="000000"/>
                <w:sz w:val="18"/>
                <w:szCs w:val="18"/>
                <w:lang w:val="en-IE" w:eastAsia="en-IE"/>
              </w:rPr>
              <w:t>VOTED APPROPRIATIONS</w:t>
            </w:r>
            <w:r>
              <w:rPr>
                <w:b/>
                <w:bCs/>
                <w:noProof/>
                <w:color w:val="000000"/>
                <w:sz w:val="18"/>
                <w:szCs w:val="18"/>
                <w:lang w:val="en-IE" w:eastAsia="en-IE"/>
              </w:rPr>
              <w:t xml:space="preserve">                    </w:t>
            </w:r>
            <w:r w:rsidRPr="00290112">
              <w:rPr>
                <w:b/>
                <w:bCs/>
                <w:noProof/>
                <w:color w:val="000000"/>
                <w:sz w:val="18"/>
                <w:szCs w:val="18"/>
                <w:lang w:val="en-IE" w:eastAsia="en-IE"/>
              </w:rPr>
              <w:t xml:space="preserve"> </w:t>
            </w:r>
            <w:r>
              <w:rPr>
                <w:b/>
                <w:bCs/>
                <w:noProof/>
                <w:color w:val="000000"/>
                <w:sz w:val="18"/>
                <w:szCs w:val="18"/>
                <w:lang w:val="en-IE" w:eastAsia="en-IE"/>
              </w:rPr>
              <w:t xml:space="preserve">            </w:t>
            </w:r>
            <w:r w:rsidRPr="00290112">
              <w:rPr>
                <w:b/>
                <w:bCs/>
                <w:noProof/>
                <w:color w:val="000000"/>
                <w:sz w:val="18"/>
                <w:szCs w:val="18"/>
                <w:lang w:val="en-IE" w:eastAsia="en-IE"/>
              </w:rPr>
              <w:t>+</w:t>
            </w:r>
            <w:r>
              <w:rPr>
                <w:b/>
                <w:bCs/>
                <w:noProof/>
                <w:color w:val="000000"/>
                <w:sz w:val="18"/>
                <w:szCs w:val="18"/>
                <w:lang w:val="en-IE" w:eastAsia="en-IE"/>
              </w:rPr>
              <w:t xml:space="preserve">                                                                    </w:t>
            </w:r>
            <w:r w:rsidRPr="00290112">
              <w:rPr>
                <w:b/>
                <w:bCs/>
                <w:noProof/>
                <w:color w:val="000000"/>
                <w:sz w:val="18"/>
                <w:szCs w:val="18"/>
                <w:lang w:val="en-IE" w:eastAsia="en-IE"/>
              </w:rPr>
              <w:t>EXTERNAL ASSIGNED REVENUES</w:t>
            </w:r>
          </w:p>
        </w:tc>
        <w:tc>
          <w:tcPr>
            <w:tcW w:w="993" w:type="dxa"/>
            <w:tcBorders>
              <w:top w:val="single" w:sz="8" w:space="0" w:color="auto"/>
              <w:left w:val="nil"/>
              <w:bottom w:val="nil"/>
              <w:right w:val="single" w:sz="8" w:space="0" w:color="auto"/>
            </w:tcBorders>
            <w:vAlign w:val="center"/>
            <w:hideMark/>
          </w:tcPr>
          <w:p w14:paraId="739CBEC4" w14:textId="77777777" w:rsidR="00722FD4" w:rsidRPr="00290112" w:rsidRDefault="00722FD4" w:rsidP="009A133F">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928" w:type="dxa"/>
            <w:tcBorders>
              <w:top w:val="single" w:sz="8" w:space="0" w:color="auto"/>
              <w:left w:val="nil"/>
              <w:bottom w:val="nil"/>
              <w:right w:val="single" w:sz="8" w:space="0" w:color="auto"/>
            </w:tcBorders>
            <w:vAlign w:val="center"/>
            <w:hideMark/>
          </w:tcPr>
          <w:p w14:paraId="5F4F5299" w14:textId="77777777" w:rsidR="00722FD4" w:rsidRPr="00290112" w:rsidRDefault="00722FD4" w:rsidP="009A133F">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927" w:type="dxa"/>
            <w:tcBorders>
              <w:top w:val="single" w:sz="8" w:space="0" w:color="auto"/>
              <w:left w:val="nil"/>
              <w:bottom w:val="nil"/>
              <w:right w:val="single" w:sz="8" w:space="0" w:color="auto"/>
            </w:tcBorders>
            <w:vAlign w:val="center"/>
            <w:hideMark/>
          </w:tcPr>
          <w:p w14:paraId="012098EB" w14:textId="77777777" w:rsidR="00722FD4" w:rsidRPr="00290112" w:rsidRDefault="00722FD4" w:rsidP="009A133F">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934" w:type="dxa"/>
            <w:tcBorders>
              <w:top w:val="single" w:sz="8" w:space="0" w:color="auto"/>
              <w:left w:val="nil"/>
              <w:bottom w:val="nil"/>
              <w:right w:val="single" w:sz="8" w:space="0" w:color="auto"/>
            </w:tcBorders>
            <w:vAlign w:val="center"/>
            <w:hideMark/>
          </w:tcPr>
          <w:p w14:paraId="5A9720F9" w14:textId="77777777" w:rsidR="00722FD4" w:rsidRPr="00290112" w:rsidRDefault="00722FD4" w:rsidP="009A133F">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1042"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72D8D3BC" w14:textId="77777777" w:rsidR="00722FD4" w:rsidRPr="00290112" w:rsidRDefault="00722FD4"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TOTAL</w:t>
            </w:r>
            <w:r>
              <w:rPr>
                <w:b/>
                <w:bCs/>
                <w:noProof/>
                <w:color w:val="000000"/>
                <w:sz w:val="18"/>
                <w:szCs w:val="18"/>
                <w:lang w:val="en-IE" w:eastAsia="en-IE"/>
              </w:rPr>
              <w:t xml:space="preserve"> </w:t>
            </w:r>
            <w:r w:rsidRPr="00290112">
              <w:rPr>
                <w:b/>
                <w:bCs/>
                <w:noProof/>
                <w:color w:val="000000"/>
                <w:sz w:val="18"/>
                <w:szCs w:val="18"/>
                <w:lang w:val="en-IE" w:eastAsia="en-IE"/>
              </w:rPr>
              <w:t>2021 - 2027</w:t>
            </w:r>
          </w:p>
        </w:tc>
        <w:tc>
          <w:tcPr>
            <w:tcW w:w="934" w:type="dxa"/>
            <w:vMerge w:val="restart"/>
            <w:tcBorders>
              <w:top w:val="single" w:sz="8" w:space="0" w:color="auto"/>
              <w:left w:val="single" w:sz="8" w:space="0" w:color="auto"/>
              <w:right w:val="single" w:sz="8" w:space="0" w:color="auto"/>
            </w:tcBorders>
          </w:tcPr>
          <w:p w14:paraId="033FD274" w14:textId="77777777" w:rsidR="00722FD4" w:rsidRPr="00290112" w:rsidRDefault="00722FD4" w:rsidP="009A133F">
            <w:pPr>
              <w:spacing w:before="0" w:after="0"/>
              <w:jc w:val="center"/>
              <w:rPr>
                <w:b/>
                <w:bCs/>
                <w:noProof/>
                <w:color w:val="000000"/>
                <w:sz w:val="18"/>
                <w:szCs w:val="18"/>
                <w:lang w:val="en-IE" w:eastAsia="en-IE"/>
              </w:rPr>
            </w:pPr>
            <w:r>
              <w:rPr>
                <w:b/>
                <w:bCs/>
                <w:noProof/>
                <w:color w:val="000000"/>
                <w:sz w:val="18"/>
                <w:szCs w:val="18"/>
                <w:lang w:val="en-IE" w:eastAsia="en-IE"/>
              </w:rPr>
              <w:t>POST 2027</w:t>
            </w:r>
          </w:p>
        </w:tc>
      </w:tr>
      <w:tr w:rsidR="00722FD4" w:rsidRPr="00290112" w14:paraId="1C96C0BD" w14:textId="77777777" w:rsidTr="009A133F">
        <w:trPr>
          <w:trHeight w:val="519"/>
        </w:trPr>
        <w:tc>
          <w:tcPr>
            <w:tcW w:w="3531" w:type="dxa"/>
            <w:vMerge/>
            <w:vAlign w:val="center"/>
            <w:hideMark/>
          </w:tcPr>
          <w:p w14:paraId="46C031C7" w14:textId="77777777" w:rsidR="00722FD4" w:rsidRPr="00290112" w:rsidRDefault="00722FD4" w:rsidP="009A133F">
            <w:pPr>
              <w:spacing w:before="0" w:after="0"/>
              <w:jc w:val="left"/>
              <w:rPr>
                <w:b/>
                <w:bCs/>
                <w:noProof/>
                <w:color w:val="000000"/>
                <w:sz w:val="18"/>
                <w:szCs w:val="18"/>
                <w:lang w:val="en-IE" w:eastAsia="en-IE"/>
              </w:rPr>
            </w:pPr>
          </w:p>
        </w:tc>
        <w:tc>
          <w:tcPr>
            <w:tcW w:w="993" w:type="dxa"/>
            <w:tcBorders>
              <w:top w:val="nil"/>
              <w:left w:val="nil"/>
              <w:bottom w:val="single" w:sz="8" w:space="0" w:color="auto"/>
              <w:right w:val="single" w:sz="8" w:space="0" w:color="auto"/>
            </w:tcBorders>
            <w:vAlign w:val="center"/>
            <w:hideMark/>
          </w:tcPr>
          <w:p w14:paraId="56427B27" w14:textId="77777777" w:rsidR="00722FD4" w:rsidRPr="00290112" w:rsidRDefault="00722FD4"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2024</w:t>
            </w:r>
          </w:p>
        </w:tc>
        <w:tc>
          <w:tcPr>
            <w:tcW w:w="928" w:type="dxa"/>
            <w:tcBorders>
              <w:top w:val="nil"/>
              <w:left w:val="nil"/>
              <w:bottom w:val="single" w:sz="8" w:space="0" w:color="auto"/>
              <w:right w:val="single" w:sz="8" w:space="0" w:color="auto"/>
            </w:tcBorders>
            <w:vAlign w:val="center"/>
            <w:hideMark/>
          </w:tcPr>
          <w:p w14:paraId="4F7B7B88" w14:textId="77777777" w:rsidR="00722FD4" w:rsidRPr="00290112" w:rsidRDefault="00722FD4"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2025</w:t>
            </w:r>
          </w:p>
        </w:tc>
        <w:tc>
          <w:tcPr>
            <w:tcW w:w="927" w:type="dxa"/>
            <w:tcBorders>
              <w:top w:val="nil"/>
              <w:left w:val="nil"/>
              <w:bottom w:val="single" w:sz="8" w:space="0" w:color="auto"/>
              <w:right w:val="single" w:sz="8" w:space="0" w:color="auto"/>
            </w:tcBorders>
            <w:vAlign w:val="center"/>
            <w:hideMark/>
          </w:tcPr>
          <w:p w14:paraId="4F3EED9E" w14:textId="77777777" w:rsidR="00722FD4" w:rsidRPr="00290112" w:rsidRDefault="00722FD4"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2026</w:t>
            </w:r>
          </w:p>
        </w:tc>
        <w:tc>
          <w:tcPr>
            <w:tcW w:w="934" w:type="dxa"/>
            <w:tcBorders>
              <w:top w:val="nil"/>
              <w:left w:val="nil"/>
              <w:bottom w:val="single" w:sz="8" w:space="0" w:color="auto"/>
              <w:right w:val="single" w:sz="8" w:space="0" w:color="auto"/>
            </w:tcBorders>
            <w:vAlign w:val="center"/>
            <w:hideMark/>
          </w:tcPr>
          <w:p w14:paraId="3C2E9EBD" w14:textId="77777777" w:rsidR="00722FD4" w:rsidRPr="00290112" w:rsidRDefault="00722FD4" w:rsidP="009A133F">
            <w:pPr>
              <w:spacing w:before="0" w:after="0"/>
              <w:jc w:val="center"/>
              <w:rPr>
                <w:b/>
                <w:bCs/>
                <w:noProof/>
                <w:color w:val="000000"/>
                <w:sz w:val="18"/>
                <w:szCs w:val="18"/>
                <w:lang w:val="en-IE" w:eastAsia="en-IE"/>
              </w:rPr>
            </w:pPr>
            <w:r w:rsidRPr="00290112">
              <w:rPr>
                <w:b/>
                <w:bCs/>
                <w:noProof/>
                <w:color w:val="000000"/>
                <w:sz w:val="18"/>
                <w:szCs w:val="18"/>
                <w:lang w:val="en-IE" w:eastAsia="en-IE"/>
              </w:rPr>
              <w:t>2027</w:t>
            </w:r>
          </w:p>
        </w:tc>
        <w:tc>
          <w:tcPr>
            <w:tcW w:w="1042" w:type="dxa"/>
            <w:vMerge/>
            <w:tcBorders>
              <w:right w:val="single" w:sz="8" w:space="0" w:color="auto"/>
            </w:tcBorders>
            <w:vAlign w:val="center"/>
            <w:hideMark/>
          </w:tcPr>
          <w:p w14:paraId="638C986B" w14:textId="77777777" w:rsidR="00722FD4" w:rsidRPr="00290112" w:rsidRDefault="00722FD4" w:rsidP="009A133F">
            <w:pPr>
              <w:spacing w:before="0" w:after="0"/>
              <w:jc w:val="left"/>
              <w:rPr>
                <w:b/>
                <w:bCs/>
                <w:noProof/>
                <w:color w:val="000000"/>
                <w:sz w:val="18"/>
                <w:szCs w:val="18"/>
                <w:lang w:val="en-IE" w:eastAsia="en-IE"/>
              </w:rPr>
            </w:pPr>
          </w:p>
        </w:tc>
        <w:tc>
          <w:tcPr>
            <w:tcW w:w="934" w:type="dxa"/>
            <w:vMerge/>
            <w:tcBorders>
              <w:left w:val="single" w:sz="8" w:space="0" w:color="auto"/>
              <w:right w:val="single" w:sz="8" w:space="0" w:color="auto"/>
            </w:tcBorders>
          </w:tcPr>
          <w:p w14:paraId="23C01FF5" w14:textId="77777777" w:rsidR="00722FD4" w:rsidRPr="00290112" w:rsidRDefault="00722FD4" w:rsidP="009A133F">
            <w:pPr>
              <w:spacing w:before="0" w:after="0"/>
              <w:jc w:val="left"/>
              <w:rPr>
                <w:b/>
                <w:bCs/>
                <w:noProof/>
                <w:color w:val="000000"/>
                <w:sz w:val="18"/>
                <w:szCs w:val="18"/>
                <w:lang w:val="en-IE" w:eastAsia="en-IE"/>
              </w:rPr>
            </w:pPr>
          </w:p>
        </w:tc>
      </w:tr>
      <w:tr w:rsidR="00722FD4" w:rsidRPr="00290112" w14:paraId="2CA43B1D" w14:textId="77777777" w:rsidTr="009A133F">
        <w:trPr>
          <w:trHeight w:val="300"/>
        </w:trPr>
        <w:tc>
          <w:tcPr>
            <w:tcW w:w="8355" w:type="dxa"/>
            <w:gridSpan w:val="6"/>
            <w:tcBorders>
              <w:top w:val="single" w:sz="8" w:space="0" w:color="auto"/>
              <w:left w:val="single" w:sz="8" w:space="0" w:color="auto"/>
              <w:bottom w:val="single" w:sz="8" w:space="0" w:color="auto"/>
              <w:right w:val="single" w:sz="4" w:space="0" w:color="auto"/>
            </w:tcBorders>
            <w:vAlign w:val="center"/>
            <w:hideMark/>
          </w:tcPr>
          <w:p w14:paraId="5E6CD81E" w14:textId="77777777" w:rsidR="00722FD4" w:rsidRPr="00290112" w:rsidRDefault="00722FD4" w:rsidP="009A133F">
            <w:pPr>
              <w:spacing w:before="0" w:after="0"/>
              <w:jc w:val="left"/>
              <w:rPr>
                <w:b/>
                <w:bCs/>
                <w:noProof/>
                <w:sz w:val="16"/>
                <w:szCs w:val="16"/>
                <w:lang w:val="en-IE" w:eastAsia="en-IE"/>
              </w:rPr>
            </w:pPr>
            <w:r w:rsidRPr="00290112">
              <w:rPr>
                <w:b/>
                <w:bCs/>
                <w:noProof/>
                <w:sz w:val="16"/>
                <w:szCs w:val="16"/>
                <w:lang w:val="en-IE" w:eastAsia="en-IE"/>
              </w:rPr>
              <w:t>HEADING 7</w:t>
            </w:r>
          </w:p>
        </w:tc>
        <w:tc>
          <w:tcPr>
            <w:tcW w:w="934" w:type="dxa"/>
            <w:tcBorders>
              <w:top w:val="single" w:sz="8" w:space="0" w:color="auto"/>
              <w:left w:val="single" w:sz="8" w:space="0" w:color="auto"/>
              <w:bottom w:val="single" w:sz="8" w:space="0" w:color="auto"/>
              <w:right w:val="single" w:sz="4" w:space="0" w:color="auto"/>
            </w:tcBorders>
          </w:tcPr>
          <w:p w14:paraId="10ABDF5A" w14:textId="77777777" w:rsidR="00722FD4" w:rsidRPr="00290112" w:rsidRDefault="00722FD4" w:rsidP="009A133F">
            <w:pPr>
              <w:spacing w:before="0" w:after="0"/>
              <w:jc w:val="left"/>
              <w:rPr>
                <w:b/>
                <w:bCs/>
                <w:noProof/>
                <w:sz w:val="16"/>
                <w:szCs w:val="16"/>
                <w:lang w:val="en-IE" w:eastAsia="en-IE"/>
              </w:rPr>
            </w:pPr>
          </w:p>
        </w:tc>
      </w:tr>
      <w:tr w:rsidR="00722FD4" w:rsidRPr="00290112" w14:paraId="413F39AB" w14:textId="77777777" w:rsidTr="009A133F">
        <w:trPr>
          <w:trHeight w:val="300"/>
        </w:trPr>
        <w:tc>
          <w:tcPr>
            <w:tcW w:w="3531" w:type="dxa"/>
            <w:tcBorders>
              <w:top w:val="nil"/>
              <w:left w:val="single" w:sz="8" w:space="0" w:color="auto"/>
              <w:bottom w:val="single" w:sz="8" w:space="0" w:color="auto"/>
              <w:right w:val="single" w:sz="8" w:space="0" w:color="auto"/>
            </w:tcBorders>
            <w:vAlign w:val="center"/>
            <w:hideMark/>
          </w:tcPr>
          <w:p w14:paraId="337CA2F3" w14:textId="77777777" w:rsidR="00722FD4" w:rsidRPr="00290112" w:rsidRDefault="00722FD4" w:rsidP="009A133F">
            <w:pPr>
              <w:spacing w:before="0" w:after="0"/>
              <w:jc w:val="left"/>
              <w:rPr>
                <w:noProof/>
                <w:color w:val="000000"/>
                <w:sz w:val="16"/>
                <w:szCs w:val="16"/>
                <w:lang w:val="en-IE" w:eastAsia="en-IE"/>
              </w:rPr>
            </w:pPr>
            <w:r w:rsidRPr="00290112">
              <w:rPr>
                <w:noProof/>
                <w:color w:val="000000"/>
                <w:sz w:val="16"/>
                <w:szCs w:val="16"/>
                <w:lang w:val="en-IE" w:eastAsia="en-IE"/>
              </w:rPr>
              <w:t xml:space="preserve">Human resources </w:t>
            </w:r>
          </w:p>
        </w:tc>
        <w:tc>
          <w:tcPr>
            <w:tcW w:w="993" w:type="dxa"/>
            <w:tcBorders>
              <w:top w:val="nil"/>
              <w:left w:val="nil"/>
              <w:bottom w:val="single" w:sz="8" w:space="0" w:color="auto"/>
              <w:right w:val="single" w:sz="8" w:space="0" w:color="auto"/>
            </w:tcBorders>
            <w:shd w:val="clear" w:color="auto" w:fill="D9D9D9" w:themeFill="background1" w:themeFillShade="D9"/>
            <w:vAlign w:val="center"/>
            <w:hideMark/>
          </w:tcPr>
          <w:p w14:paraId="4F840ED5"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28" w:type="dxa"/>
            <w:tcBorders>
              <w:top w:val="nil"/>
              <w:left w:val="nil"/>
              <w:bottom w:val="single" w:sz="8" w:space="0" w:color="auto"/>
              <w:right w:val="single" w:sz="8" w:space="0" w:color="auto"/>
            </w:tcBorders>
            <w:shd w:val="clear" w:color="auto" w:fill="D9D9D9" w:themeFill="background1" w:themeFillShade="D9"/>
            <w:vAlign w:val="center"/>
            <w:hideMark/>
          </w:tcPr>
          <w:p w14:paraId="1839D0F5"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27" w:type="dxa"/>
            <w:tcBorders>
              <w:top w:val="nil"/>
              <w:left w:val="nil"/>
              <w:bottom w:val="single" w:sz="8" w:space="0" w:color="auto"/>
              <w:right w:val="single" w:sz="8" w:space="0" w:color="auto"/>
            </w:tcBorders>
            <w:shd w:val="clear" w:color="auto" w:fill="D9D9D9" w:themeFill="background1" w:themeFillShade="D9"/>
            <w:vAlign w:val="center"/>
            <w:hideMark/>
          </w:tcPr>
          <w:p w14:paraId="7D11F6BB"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34" w:type="dxa"/>
            <w:tcBorders>
              <w:top w:val="nil"/>
              <w:left w:val="nil"/>
              <w:bottom w:val="single" w:sz="8" w:space="0" w:color="auto"/>
              <w:right w:val="single" w:sz="8" w:space="0" w:color="auto"/>
            </w:tcBorders>
            <w:shd w:val="clear" w:color="auto" w:fill="D9D9D9" w:themeFill="background1" w:themeFillShade="D9"/>
            <w:vAlign w:val="center"/>
            <w:hideMark/>
          </w:tcPr>
          <w:p w14:paraId="353358D3" w14:textId="77777777" w:rsidR="00722FD4" w:rsidRPr="00177E6B" w:rsidRDefault="00722FD4" w:rsidP="009A133F">
            <w:pPr>
              <w:spacing w:before="0" w:after="0"/>
              <w:jc w:val="right"/>
              <w:rPr>
                <w:b/>
                <w:bCs/>
                <w:noProof/>
                <w:color w:val="000000" w:themeColor="text1"/>
                <w:sz w:val="16"/>
                <w:szCs w:val="16"/>
                <w:lang w:val="en-IE"/>
              </w:rPr>
            </w:pPr>
            <w:r>
              <w:rPr>
                <w:noProof/>
                <w:color w:val="000000"/>
                <w:sz w:val="16"/>
                <w:szCs w:val="16"/>
              </w:rPr>
              <w:t>0,376</w:t>
            </w:r>
          </w:p>
        </w:tc>
        <w:tc>
          <w:tcPr>
            <w:tcW w:w="1042" w:type="dxa"/>
            <w:tcBorders>
              <w:top w:val="nil"/>
              <w:left w:val="nil"/>
              <w:bottom w:val="single" w:sz="8" w:space="0" w:color="auto"/>
              <w:right w:val="single" w:sz="8" w:space="0" w:color="auto"/>
            </w:tcBorders>
            <w:shd w:val="clear" w:color="auto" w:fill="D9D9D9" w:themeFill="background1" w:themeFillShade="D9"/>
            <w:vAlign w:val="center"/>
            <w:hideMark/>
          </w:tcPr>
          <w:p w14:paraId="0DE357EB" w14:textId="77777777" w:rsidR="00722FD4" w:rsidRPr="00177E6B" w:rsidRDefault="00722FD4" w:rsidP="009A133F">
            <w:pPr>
              <w:spacing w:before="0" w:after="0"/>
              <w:jc w:val="right"/>
              <w:rPr>
                <w:b/>
                <w:bCs/>
                <w:noProof/>
                <w:color w:val="000000" w:themeColor="text1"/>
                <w:sz w:val="16"/>
                <w:szCs w:val="16"/>
                <w:lang w:val="en-IE"/>
              </w:rPr>
            </w:pPr>
            <w:r>
              <w:rPr>
                <w:b/>
                <w:bCs/>
                <w:noProof/>
                <w:color w:val="000000"/>
                <w:sz w:val="16"/>
                <w:szCs w:val="16"/>
              </w:rPr>
              <w:t>0,376</w:t>
            </w:r>
          </w:p>
        </w:tc>
        <w:tc>
          <w:tcPr>
            <w:tcW w:w="934" w:type="dxa"/>
            <w:tcBorders>
              <w:top w:val="nil"/>
              <w:left w:val="nil"/>
              <w:bottom w:val="single" w:sz="8" w:space="0" w:color="auto"/>
              <w:right w:val="single" w:sz="8" w:space="0" w:color="auto"/>
            </w:tcBorders>
            <w:shd w:val="clear" w:color="auto" w:fill="D9D9D9" w:themeFill="background1" w:themeFillShade="D9"/>
            <w:vAlign w:val="center"/>
          </w:tcPr>
          <w:p w14:paraId="65B08DDD" w14:textId="77777777" w:rsidR="00722FD4" w:rsidRPr="00177E6B" w:rsidDel="0057525D" w:rsidRDefault="00722FD4" w:rsidP="009A133F">
            <w:pPr>
              <w:spacing w:before="0" w:after="0"/>
              <w:jc w:val="right"/>
              <w:rPr>
                <w:b/>
                <w:bCs/>
                <w:noProof/>
                <w:color w:val="000000" w:themeColor="text1"/>
                <w:sz w:val="16"/>
                <w:szCs w:val="16"/>
              </w:rPr>
            </w:pPr>
            <w:r>
              <w:rPr>
                <w:noProof/>
                <w:color w:val="000000"/>
                <w:sz w:val="16"/>
                <w:szCs w:val="16"/>
              </w:rPr>
              <w:t>2,632</w:t>
            </w:r>
          </w:p>
        </w:tc>
      </w:tr>
      <w:tr w:rsidR="00722FD4" w:rsidRPr="00290112" w14:paraId="074F9878" w14:textId="77777777" w:rsidTr="009A133F">
        <w:trPr>
          <w:trHeight w:val="300"/>
        </w:trPr>
        <w:tc>
          <w:tcPr>
            <w:tcW w:w="3531" w:type="dxa"/>
            <w:tcBorders>
              <w:top w:val="nil"/>
              <w:left w:val="single" w:sz="8" w:space="0" w:color="auto"/>
              <w:bottom w:val="single" w:sz="8" w:space="0" w:color="auto"/>
              <w:right w:val="single" w:sz="8" w:space="0" w:color="auto"/>
            </w:tcBorders>
            <w:vAlign w:val="center"/>
            <w:hideMark/>
          </w:tcPr>
          <w:p w14:paraId="31941B8E" w14:textId="77777777" w:rsidR="00722FD4" w:rsidRPr="00290112" w:rsidRDefault="00722FD4" w:rsidP="009A133F">
            <w:pPr>
              <w:spacing w:before="0" w:after="0"/>
              <w:jc w:val="left"/>
              <w:rPr>
                <w:noProof/>
                <w:color w:val="000000"/>
                <w:sz w:val="16"/>
                <w:szCs w:val="16"/>
                <w:lang w:val="en-IE" w:eastAsia="en-IE"/>
              </w:rPr>
            </w:pPr>
            <w:r w:rsidRPr="00290112">
              <w:rPr>
                <w:noProof/>
                <w:color w:val="000000"/>
                <w:sz w:val="16"/>
                <w:szCs w:val="16"/>
                <w:lang w:val="en-IE" w:eastAsia="en-IE"/>
              </w:rPr>
              <w:t xml:space="preserve">Other administrative expenditure </w:t>
            </w:r>
          </w:p>
        </w:tc>
        <w:tc>
          <w:tcPr>
            <w:tcW w:w="993" w:type="dxa"/>
            <w:tcBorders>
              <w:top w:val="nil"/>
              <w:left w:val="nil"/>
              <w:bottom w:val="single" w:sz="8" w:space="0" w:color="auto"/>
              <w:right w:val="single" w:sz="8" w:space="0" w:color="auto"/>
            </w:tcBorders>
            <w:shd w:val="clear" w:color="auto" w:fill="D9D9D9" w:themeFill="background1" w:themeFillShade="D9"/>
            <w:vAlign w:val="center"/>
            <w:hideMark/>
          </w:tcPr>
          <w:p w14:paraId="19F1E689"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28" w:type="dxa"/>
            <w:tcBorders>
              <w:top w:val="nil"/>
              <w:left w:val="nil"/>
              <w:bottom w:val="single" w:sz="8" w:space="0" w:color="auto"/>
              <w:right w:val="single" w:sz="8" w:space="0" w:color="auto"/>
            </w:tcBorders>
            <w:shd w:val="clear" w:color="auto" w:fill="D9D9D9" w:themeFill="background1" w:themeFillShade="D9"/>
            <w:vAlign w:val="center"/>
            <w:hideMark/>
          </w:tcPr>
          <w:p w14:paraId="7025E857"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27" w:type="dxa"/>
            <w:tcBorders>
              <w:top w:val="nil"/>
              <w:left w:val="nil"/>
              <w:bottom w:val="single" w:sz="8" w:space="0" w:color="auto"/>
              <w:right w:val="single" w:sz="8" w:space="0" w:color="auto"/>
            </w:tcBorders>
            <w:shd w:val="clear" w:color="auto" w:fill="D9D9D9" w:themeFill="background1" w:themeFillShade="D9"/>
            <w:vAlign w:val="center"/>
            <w:hideMark/>
          </w:tcPr>
          <w:p w14:paraId="794F31E3"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34" w:type="dxa"/>
            <w:tcBorders>
              <w:top w:val="nil"/>
              <w:left w:val="nil"/>
              <w:bottom w:val="single" w:sz="8" w:space="0" w:color="auto"/>
              <w:right w:val="single" w:sz="8" w:space="0" w:color="auto"/>
            </w:tcBorders>
            <w:shd w:val="clear" w:color="auto" w:fill="D9D9D9" w:themeFill="background1" w:themeFillShade="D9"/>
            <w:vAlign w:val="center"/>
            <w:hideMark/>
          </w:tcPr>
          <w:p w14:paraId="6E39BB09" w14:textId="77777777" w:rsidR="00722FD4" w:rsidRPr="00177E6B" w:rsidRDefault="00722FD4" w:rsidP="009A133F">
            <w:pPr>
              <w:spacing w:before="0" w:after="0"/>
              <w:jc w:val="right"/>
              <w:rPr>
                <w:noProof/>
                <w:color w:val="000000" w:themeColor="text1"/>
                <w:sz w:val="16"/>
                <w:szCs w:val="16"/>
                <w:lang w:val="en-IE" w:eastAsia="en-IE"/>
              </w:rPr>
            </w:pPr>
            <w:r>
              <w:rPr>
                <w:noProof/>
                <w:color w:val="000000"/>
                <w:sz w:val="16"/>
                <w:szCs w:val="16"/>
              </w:rPr>
              <w:t>0,012</w:t>
            </w:r>
          </w:p>
        </w:tc>
        <w:tc>
          <w:tcPr>
            <w:tcW w:w="1042" w:type="dxa"/>
            <w:tcBorders>
              <w:top w:val="nil"/>
              <w:left w:val="nil"/>
              <w:bottom w:val="single" w:sz="8" w:space="0" w:color="auto"/>
              <w:right w:val="single" w:sz="8" w:space="0" w:color="auto"/>
            </w:tcBorders>
            <w:shd w:val="clear" w:color="auto" w:fill="D9D9D9" w:themeFill="background1" w:themeFillShade="D9"/>
            <w:vAlign w:val="center"/>
            <w:hideMark/>
          </w:tcPr>
          <w:p w14:paraId="37C945ED" w14:textId="77777777" w:rsidR="00722FD4" w:rsidRPr="00177E6B" w:rsidRDefault="00722FD4" w:rsidP="009A133F">
            <w:pPr>
              <w:spacing w:before="0" w:after="0"/>
              <w:jc w:val="right"/>
              <w:rPr>
                <w:b/>
                <w:bCs/>
                <w:noProof/>
                <w:color w:val="000000" w:themeColor="text1"/>
                <w:sz w:val="16"/>
                <w:szCs w:val="16"/>
                <w:lang w:val="en-IE" w:eastAsia="en-IE"/>
              </w:rPr>
            </w:pPr>
            <w:r>
              <w:rPr>
                <w:b/>
                <w:bCs/>
                <w:noProof/>
                <w:color w:val="000000"/>
                <w:sz w:val="16"/>
                <w:szCs w:val="16"/>
              </w:rPr>
              <w:t>0,012</w:t>
            </w:r>
          </w:p>
        </w:tc>
        <w:tc>
          <w:tcPr>
            <w:tcW w:w="934" w:type="dxa"/>
            <w:tcBorders>
              <w:top w:val="nil"/>
              <w:left w:val="nil"/>
              <w:bottom w:val="single" w:sz="8" w:space="0" w:color="auto"/>
              <w:right w:val="single" w:sz="8" w:space="0" w:color="auto"/>
            </w:tcBorders>
            <w:shd w:val="clear" w:color="auto" w:fill="D9D9D9" w:themeFill="background1" w:themeFillShade="D9"/>
            <w:vAlign w:val="center"/>
          </w:tcPr>
          <w:p w14:paraId="3F8C601A" w14:textId="77777777" w:rsidR="00722FD4" w:rsidRPr="00177E6B" w:rsidRDefault="00722FD4" w:rsidP="009A133F">
            <w:pPr>
              <w:spacing w:before="0" w:after="0"/>
              <w:jc w:val="right"/>
              <w:rPr>
                <w:b/>
                <w:bCs/>
                <w:noProof/>
                <w:color w:val="000000" w:themeColor="text1"/>
                <w:sz w:val="16"/>
                <w:szCs w:val="16"/>
                <w:lang w:val="en-IE" w:eastAsia="en-IE"/>
              </w:rPr>
            </w:pPr>
            <w:r>
              <w:rPr>
                <w:noProof/>
                <w:color w:val="000000"/>
                <w:sz w:val="16"/>
                <w:szCs w:val="16"/>
              </w:rPr>
              <w:t>0,084</w:t>
            </w:r>
          </w:p>
        </w:tc>
      </w:tr>
      <w:tr w:rsidR="00722FD4" w:rsidRPr="00290112" w14:paraId="4A7FB11A" w14:textId="77777777" w:rsidTr="009A133F">
        <w:trPr>
          <w:trHeight w:val="300"/>
        </w:trPr>
        <w:tc>
          <w:tcPr>
            <w:tcW w:w="3531" w:type="dxa"/>
            <w:tcBorders>
              <w:top w:val="nil"/>
              <w:left w:val="single" w:sz="8" w:space="0" w:color="auto"/>
              <w:bottom w:val="single" w:sz="8" w:space="0" w:color="auto"/>
              <w:right w:val="single" w:sz="8" w:space="0" w:color="auto"/>
            </w:tcBorders>
            <w:shd w:val="clear" w:color="auto" w:fill="CCCCCC"/>
            <w:vAlign w:val="center"/>
            <w:hideMark/>
          </w:tcPr>
          <w:p w14:paraId="1398F0F7" w14:textId="77777777" w:rsidR="00722FD4" w:rsidRPr="00290112" w:rsidRDefault="00722FD4" w:rsidP="009A133F">
            <w:pPr>
              <w:spacing w:before="0" w:after="0"/>
              <w:jc w:val="center"/>
              <w:rPr>
                <w:b/>
                <w:bCs/>
                <w:noProof/>
                <w:color w:val="000000"/>
                <w:sz w:val="16"/>
                <w:szCs w:val="16"/>
                <w:lang w:val="en-IE" w:eastAsia="en-IE"/>
              </w:rPr>
            </w:pPr>
            <w:r w:rsidRPr="00290112">
              <w:rPr>
                <w:b/>
                <w:bCs/>
                <w:noProof/>
                <w:color w:val="000000"/>
                <w:sz w:val="16"/>
                <w:szCs w:val="16"/>
                <w:lang w:val="en-IE" w:eastAsia="en-IE"/>
              </w:rPr>
              <w:t>Subtotal HEADING 7</w:t>
            </w:r>
          </w:p>
        </w:tc>
        <w:tc>
          <w:tcPr>
            <w:tcW w:w="993" w:type="dxa"/>
            <w:tcBorders>
              <w:top w:val="nil"/>
              <w:left w:val="nil"/>
              <w:bottom w:val="single" w:sz="8" w:space="0" w:color="auto"/>
              <w:right w:val="single" w:sz="8" w:space="0" w:color="auto"/>
            </w:tcBorders>
            <w:shd w:val="clear" w:color="auto" w:fill="D9D9D9" w:themeFill="background1" w:themeFillShade="D9"/>
            <w:vAlign w:val="center"/>
            <w:hideMark/>
          </w:tcPr>
          <w:p w14:paraId="6D60DE23"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0,000</w:t>
            </w:r>
          </w:p>
        </w:tc>
        <w:tc>
          <w:tcPr>
            <w:tcW w:w="928" w:type="dxa"/>
            <w:tcBorders>
              <w:top w:val="nil"/>
              <w:left w:val="nil"/>
              <w:bottom w:val="single" w:sz="8" w:space="0" w:color="auto"/>
              <w:right w:val="single" w:sz="8" w:space="0" w:color="auto"/>
            </w:tcBorders>
            <w:shd w:val="clear" w:color="auto" w:fill="D9D9D9" w:themeFill="background1" w:themeFillShade="D9"/>
            <w:vAlign w:val="center"/>
            <w:hideMark/>
          </w:tcPr>
          <w:p w14:paraId="3836DD93"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0,000</w:t>
            </w:r>
          </w:p>
        </w:tc>
        <w:tc>
          <w:tcPr>
            <w:tcW w:w="927" w:type="dxa"/>
            <w:tcBorders>
              <w:top w:val="nil"/>
              <w:left w:val="nil"/>
              <w:bottom w:val="single" w:sz="8" w:space="0" w:color="auto"/>
              <w:right w:val="single" w:sz="8" w:space="0" w:color="auto"/>
            </w:tcBorders>
            <w:shd w:val="clear" w:color="auto" w:fill="D9D9D9" w:themeFill="background1" w:themeFillShade="D9"/>
            <w:vAlign w:val="center"/>
            <w:hideMark/>
          </w:tcPr>
          <w:p w14:paraId="2BDF29CB"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0,000</w:t>
            </w:r>
          </w:p>
        </w:tc>
        <w:tc>
          <w:tcPr>
            <w:tcW w:w="934" w:type="dxa"/>
            <w:tcBorders>
              <w:top w:val="nil"/>
              <w:left w:val="nil"/>
              <w:bottom w:val="single" w:sz="8" w:space="0" w:color="auto"/>
              <w:right w:val="single" w:sz="8" w:space="0" w:color="auto"/>
            </w:tcBorders>
            <w:shd w:val="clear" w:color="auto" w:fill="D9D9D9" w:themeFill="background1" w:themeFillShade="D9"/>
            <w:vAlign w:val="center"/>
            <w:hideMark/>
          </w:tcPr>
          <w:p w14:paraId="2B531EF9" w14:textId="77777777" w:rsidR="00722FD4" w:rsidRPr="00177E6B" w:rsidRDefault="00722FD4" w:rsidP="009A133F">
            <w:pPr>
              <w:spacing w:before="0" w:after="0"/>
              <w:jc w:val="right"/>
              <w:rPr>
                <w:b/>
                <w:bCs/>
                <w:noProof/>
                <w:color w:val="000000" w:themeColor="text1"/>
                <w:sz w:val="16"/>
                <w:szCs w:val="16"/>
                <w:lang w:val="en-IE" w:eastAsia="en-IE"/>
              </w:rPr>
            </w:pPr>
            <w:r>
              <w:rPr>
                <w:b/>
                <w:bCs/>
                <w:noProof/>
                <w:color w:val="000000"/>
                <w:sz w:val="16"/>
                <w:szCs w:val="16"/>
              </w:rPr>
              <w:t>0,388</w:t>
            </w:r>
          </w:p>
        </w:tc>
        <w:tc>
          <w:tcPr>
            <w:tcW w:w="1042" w:type="dxa"/>
            <w:tcBorders>
              <w:top w:val="nil"/>
              <w:left w:val="nil"/>
              <w:bottom w:val="single" w:sz="8" w:space="0" w:color="auto"/>
              <w:right w:val="single" w:sz="8" w:space="0" w:color="auto"/>
            </w:tcBorders>
            <w:shd w:val="clear" w:color="auto" w:fill="D9D9D9" w:themeFill="background1" w:themeFillShade="D9"/>
            <w:vAlign w:val="center"/>
            <w:hideMark/>
          </w:tcPr>
          <w:p w14:paraId="2ED80236" w14:textId="77777777" w:rsidR="00722FD4" w:rsidRPr="00177E6B" w:rsidRDefault="00722FD4" w:rsidP="009A133F">
            <w:pPr>
              <w:spacing w:before="0" w:after="0"/>
              <w:jc w:val="right"/>
              <w:rPr>
                <w:b/>
                <w:bCs/>
                <w:noProof/>
                <w:color w:val="000000" w:themeColor="text1"/>
                <w:sz w:val="16"/>
                <w:szCs w:val="16"/>
                <w:lang w:val="en-IE" w:eastAsia="en-IE"/>
              </w:rPr>
            </w:pPr>
            <w:r>
              <w:rPr>
                <w:b/>
                <w:bCs/>
                <w:noProof/>
                <w:color w:val="000000"/>
                <w:sz w:val="16"/>
                <w:szCs w:val="16"/>
              </w:rPr>
              <w:t>0,388</w:t>
            </w:r>
          </w:p>
        </w:tc>
        <w:tc>
          <w:tcPr>
            <w:tcW w:w="934" w:type="dxa"/>
            <w:tcBorders>
              <w:top w:val="nil"/>
              <w:left w:val="nil"/>
              <w:bottom w:val="single" w:sz="8" w:space="0" w:color="auto"/>
              <w:right w:val="single" w:sz="8" w:space="0" w:color="auto"/>
            </w:tcBorders>
            <w:shd w:val="clear" w:color="auto" w:fill="D9D9D9" w:themeFill="background1" w:themeFillShade="D9"/>
            <w:vAlign w:val="center"/>
          </w:tcPr>
          <w:p w14:paraId="2FD99D99" w14:textId="77777777" w:rsidR="00722FD4" w:rsidRPr="00177E6B" w:rsidRDefault="00722FD4" w:rsidP="009A133F">
            <w:pPr>
              <w:spacing w:before="0" w:after="0"/>
              <w:jc w:val="right"/>
              <w:rPr>
                <w:b/>
                <w:bCs/>
                <w:noProof/>
                <w:color w:val="000000" w:themeColor="text1"/>
                <w:sz w:val="16"/>
                <w:szCs w:val="16"/>
                <w:lang w:val="en-IE" w:eastAsia="en-IE"/>
              </w:rPr>
            </w:pPr>
            <w:r>
              <w:rPr>
                <w:b/>
                <w:bCs/>
                <w:noProof/>
                <w:color w:val="000000"/>
                <w:sz w:val="16"/>
                <w:szCs w:val="16"/>
              </w:rPr>
              <w:t>2,716</w:t>
            </w:r>
          </w:p>
        </w:tc>
      </w:tr>
      <w:tr w:rsidR="00722FD4" w:rsidRPr="00290112" w14:paraId="1BE9B8F5" w14:textId="77777777" w:rsidTr="009A133F">
        <w:trPr>
          <w:trHeight w:val="300"/>
        </w:trPr>
        <w:tc>
          <w:tcPr>
            <w:tcW w:w="8355" w:type="dxa"/>
            <w:gridSpan w:val="6"/>
            <w:tcBorders>
              <w:top w:val="single" w:sz="8" w:space="0" w:color="auto"/>
              <w:left w:val="single" w:sz="8" w:space="0" w:color="auto"/>
              <w:bottom w:val="single" w:sz="8" w:space="0" w:color="auto"/>
              <w:right w:val="single" w:sz="4" w:space="0" w:color="auto"/>
            </w:tcBorders>
            <w:vAlign w:val="center"/>
            <w:hideMark/>
          </w:tcPr>
          <w:p w14:paraId="1FBA06F7" w14:textId="77777777" w:rsidR="00722FD4" w:rsidRPr="00290112" w:rsidRDefault="00722FD4" w:rsidP="009A133F">
            <w:pPr>
              <w:spacing w:before="0" w:after="0"/>
              <w:jc w:val="left"/>
              <w:rPr>
                <w:b/>
                <w:bCs/>
                <w:noProof/>
                <w:sz w:val="16"/>
                <w:szCs w:val="16"/>
                <w:lang w:val="en-IE" w:eastAsia="en-IE"/>
              </w:rPr>
            </w:pPr>
            <w:r w:rsidRPr="00290112">
              <w:rPr>
                <w:b/>
                <w:bCs/>
                <w:noProof/>
                <w:sz w:val="16"/>
                <w:szCs w:val="16"/>
                <w:lang w:val="en-IE" w:eastAsia="en-IE"/>
              </w:rPr>
              <w:t>Outside HEADING 7</w:t>
            </w:r>
          </w:p>
        </w:tc>
        <w:tc>
          <w:tcPr>
            <w:tcW w:w="934" w:type="dxa"/>
            <w:tcBorders>
              <w:top w:val="single" w:sz="8" w:space="0" w:color="auto"/>
              <w:left w:val="single" w:sz="8" w:space="0" w:color="auto"/>
              <w:bottom w:val="single" w:sz="8" w:space="0" w:color="auto"/>
              <w:right w:val="single" w:sz="4" w:space="0" w:color="auto"/>
            </w:tcBorders>
          </w:tcPr>
          <w:p w14:paraId="3EAA0760" w14:textId="77777777" w:rsidR="00722FD4" w:rsidRPr="00290112" w:rsidRDefault="00722FD4" w:rsidP="009A133F">
            <w:pPr>
              <w:spacing w:before="0" w:after="0"/>
              <w:jc w:val="left"/>
              <w:rPr>
                <w:b/>
                <w:bCs/>
                <w:noProof/>
                <w:sz w:val="16"/>
                <w:szCs w:val="16"/>
                <w:lang w:val="en-IE" w:eastAsia="en-IE"/>
              </w:rPr>
            </w:pPr>
          </w:p>
        </w:tc>
      </w:tr>
      <w:tr w:rsidR="00722FD4" w:rsidRPr="00290112" w14:paraId="14B5F058" w14:textId="77777777" w:rsidTr="009A133F">
        <w:trPr>
          <w:trHeight w:val="300"/>
        </w:trPr>
        <w:tc>
          <w:tcPr>
            <w:tcW w:w="3531" w:type="dxa"/>
            <w:tcBorders>
              <w:top w:val="nil"/>
              <w:left w:val="single" w:sz="8" w:space="0" w:color="auto"/>
              <w:bottom w:val="single" w:sz="8" w:space="0" w:color="auto"/>
              <w:right w:val="single" w:sz="8" w:space="0" w:color="auto"/>
            </w:tcBorders>
            <w:vAlign w:val="center"/>
            <w:hideMark/>
          </w:tcPr>
          <w:p w14:paraId="706942A0" w14:textId="77777777" w:rsidR="00722FD4" w:rsidRPr="00290112" w:rsidRDefault="00722FD4" w:rsidP="009A133F">
            <w:pPr>
              <w:spacing w:before="0" w:after="0"/>
              <w:jc w:val="left"/>
              <w:rPr>
                <w:noProof/>
                <w:color w:val="000000"/>
                <w:sz w:val="16"/>
                <w:szCs w:val="16"/>
                <w:lang w:val="en-IE" w:eastAsia="en-IE"/>
              </w:rPr>
            </w:pPr>
            <w:r w:rsidRPr="00290112">
              <w:rPr>
                <w:noProof/>
                <w:color w:val="000000"/>
                <w:sz w:val="16"/>
                <w:szCs w:val="16"/>
                <w:lang w:val="en-IE" w:eastAsia="en-IE"/>
              </w:rPr>
              <w:t xml:space="preserve">Human resources </w:t>
            </w:r>
          </w:p>
        </w:tc>
        <w:tc>
          <w:tcPr>
            <w:tcW w:w="993" w:type="dxa"/>
            <w:tcBorders>
              <w:top w:val="nil"/>
              <w:left w:val="nil"/>
              <w:bottom w:val="single" w:sz="8" w:space="0" w:color="auto"/>
              <w:right w:val="single" w:sz="8" w:space="0" w:color="auto"/>
            </w:tcBorders>
            <w:shd w:val="clear" w:color="auto" w:fill="D9D9D9" w:themeFill="background1" w:themeFillShade="D9"/>
            <w:vAlign w:val="center"/>
            <w:hideMark/>
          </w:tcPr>
          <w:p w14:paraId="112DFA1A"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28" w:type="dxa"/>
            <w:tcBorders>
              <w:top w:val="nil"/>
              <w:left w:val="nil"/>
              <w:bottom w:val="single" w:sz="8" w:space="0" w:color="auto"/>
              <w:right w:val="single" w:sz="8" w:space="0" w:color="auto"/>
            </w:tcBorders>
            <w:shd w:val="clear" w:color="auto" w:fill="D9D9D9" w:themeFill="background1" w:themeFillShade="D9"/>
            <w:vAlign w:val="center"/>
            <w:hideMark/>
          </w:tcPr>
          <w:p w14:paraId="2BE0623B"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27" w:type="dxa"/>
            <w:tcBorders>
              <w:top w:val="nil"/>
              <w:left w:val="nil"/>
              <w:bottom w:val="single" w:sz="8" w:space="0" w:color="auto"/>
              <w:right w:val="single" w:sz="8" w:space="0" w:color="auto"/>
            </w:tcBorders>
            <w:shd w:val="clear" w:color="auto" w:fill="D9D9D9" w:themeFill="background1" w:themeFillShade="D9"/>
            <w:vAlign w:val="center"/>
            <w:hideMark/>
          </w:tcPr>
          <w:p w14:paraId="5A254068"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34" w:type="dxa"/>
            <w:tcBorders>
              <w:top w:val="nil"/>
              <w:left w:val="nil"/>
              <w:bottom w:val="single" w:sz="8" w:space="0" w:color="auto"/>
              <w:right w:val="single" w:sz="8" w:space="0" w:color="auto"/>
            </w:tcBorders>
            <w:shd w:val="clear" w:color="auto" w:fill="D9D9D9" w:themeFill="background1" w:themeFillShade="D9"/>
            <w:vAlign w:val="center"/>
            <w:hideMark/>
          </w:tcPr>
          <w:p w14:paraId="6224C0DA"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1,910</w:t>
            </w:r>
          </w:p>
        </w:tc>
        <w:tc>
          <w:tcPr>
            <w:tcW w:w="1042" w:type="dxa"/>
            <w:tcBorders>
              <w:top w:val="nil"/>
              <w:left w:val="nil"/>
              <w:bottom w:val="single" w:sz="8" w:space="0" w:color="auto"/>
              <w:right w:val="single" w:sz="8" w:space="0" w:color="auto"/>
            </w:tcBorders>
            <w:shd w:val="clear" w:color="auto" w:fill="D9D9D9" w:themeFill="background1" w:themeFillShade="D9"/>
            <w:vAlign w:val="center"/>
            <w:hideMark/>
          </w:tcPr>
          <w:p w14:paraId="37075AB1"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1,910</w:t>
            </w:r>
          </w:p>
        </w:tc>
        <w:tc>
          <w:tcPr>
            <w:tcW w:w="934" w:type="dxa"/>
            <w:tcBorders>
              <w:top w:val="nil"/>
              <w:left w:val="nil"/>
              <w:bottom w:val="single" w:sz="8" w:space="0" w:color="auto"/>
              <w:right w:val="single" w:sz="8" w:space="0" w:color="auto"/>
            </w:tcBorders>
            <w:shd w:val="clear" w:color="auto" w:fill="D9D9D9" w:themeFill="background1" w:themeFillShade="D9"/>
            <w:vAlign w:val="center"/>
          </w:tcPr>
          <w:p w14:paraId="302EF691" w14:textId="77777777" w:rsidR="00722FD4" w:rsidRPr="00290112" w:rsidRDefault="00722FD4" w:rsidP="009A133F">
            <w:pPr>
              <w:spacing w:before="0" w:after="0"/>
              <w:jc w:val="right"/>
              <w:rPr>
                <w:b/>
                <w:bCs/>
                <w:noProof/>
                <w:color w:val="000000"/>
                <w:sz w:val="16"/>
                <w:szCs w:val="16"/>
                <w:lang w:val="en-IE" w:eastAsia="en-IE"/>
              </w:rPr>
            </w:pPr>
            <w:r>
              <w:rPr>
                <w:noProof/>
                <w:color w:val="000000"/>
                <w:sz w:val="16"/>
                <w:szCs w:val="16"/>
              </w:rPr>
              <w:t>13,370</w:t>
            </w:r>
          </w:p>
        </w:tc>
      </w:tr>
      <w:tr w:rsidR="00722FD4" w:rsidRPr="00290112" w14:paraId="65A34C74" w14:textId="77777777" w:rsidTr="009A133F">
        <w:trPr>
          <w:trHeight w:val="300"/>
        </w:trPr>
        <w:tc>
          <w:tcPr>
            <w:tcW w:w="3531" w:type="dxa"/>
            <w:tcBorders>
              <w:top w:val="nil"/>
              <w:left w:val="single" w:sz="8" w:space="0" w:color="auto"/>
              <w:bottom w:val="single" w:sz="8" w:space="0" w:color="auto"/>
              <w:right w:val="single" w:sz="8" w:space="0" w:color="auto"/>
            </w:tcBorders>
            <w:vAlign w:val="center"/>
            <w:hideMark/>
          </w:tcPr>
          <w:p w14:paraId="22D22761" w14:textId="77777777" w:rsidR="00722FD4" w:rsidRPr="00290112" w:rsidRDefault="00722FD4" w:rsidP="009A133F">
            <w:pPr>
              <w:spacing w:before="0" w:after="0"/>
              <w:jc w:val="left"/>
              <w:rPr>
                <w:noProof/>
                <w:color w:val="000000"/>
                <w:sz w:val="16"/>
                <w:szCs w:val="16"/>
                <w:lang w:val="en-IE" w:eastAsia="en-IE"/>
              </w:rPr>
            </w:pPr>
            <w:r w:rsidRPr="00290112">
              <w:rPr>
                <w:noProof/>
                <w:color w:val="000000"/>
                <w:sz w:val="16"/>
                <w:szCs w:val="16"/>
                <w:lang w:val="en-IE" w:eastAsia="en-IE"/>
              </w:rPr>
              <w:t>Other expenditure of an administrative nature</w:t>
            </w:r>
          </w:p>
        </w:tc>
        <w:tc>
          <w:tcPr>
            <w:tcW w:w="993" w:type="dxa"/>
            <w:tcBorders>
              <w:top w:val="nil"/>
              <w:left w:val="nil"/>
              <w:bottom w:val="single" w:sz="8" w:space="0" w:color="auto"/>
              <w:right w:val="single" w:sz="8" w:space="0" w:color="auto"/>
            </w:tcBorders>
            <w:shd w:val="clear" w:color="auto" w:fill="D9D9D9" w:themeFill="background1" w:themeFillShade="D9"/>
            <w:vAlign w:val="center"/>
            <w:hideMark/>
          </w:tcPr>
          <w:p w14:paraId="733D6BAF"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28" w:type="dxa"/>
            <w:tcBorders>
              <w:top w:val="nil"/>
              <w:left w:val="nil"/>
              <w:bottom w:val="single" w:sz="8" w:space="0" w:color="auto"/>
              <w:right w:val="single" w:sz="8" w:space="0" w:color="auto"/>
            </w:tcBorders>
            <w:shd w:val="clear" w:color="auto" w:fill="D9D9D9" w:themeFill="background1" w:themeFillShade="D9"/>
            <w:vAlign w:val="center"/>
            <w:hideMark/>
          </w:tcPr>
          <w:p w14:paraId="1659024D"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27" w:type="dxa"/>
            <w:tcBorders>
              <w:top w:val="nil"/>
              <w:left w:val="nil"/>
              <w:bottom w:val="single" w:sz="8" w:space="0" w:color="auto"/>
              <w:right w:val="single" w:sz="8" w:space="0" w:color="auto"/>
            </w:tcBorders>
            <w:shd w:val="clear" w:color="auto" w:fill="D9D9D9" w:themeFill="background1" w:themeFillShade="D9"/>
            <w:vAlign w:val="center"/>
            <w:hideMark/>
          </w:tcPr>
          <w:p w14:paraId="6FBA02D6"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0,000</w:t>
            </w:r>
          </w:p>
        </w:tc>
        <w:tc>
          <w:tcPr>
            <w:tcW w:w="934" w:type="dxa"/>
            <w:tcBorders>
              <w:top w:val="nil"/>
              <w:left w:val="nil"/>
              <w:bottom w:val="single" w:sz="8" w:space="0" w:color="auto"/>
              <w:right w:val="single" w:sz="8" w:space="0" w:color="auto"/>
            </w:tcBorders>
            <w:shd w:val="clear" w:color="auto" w:fill="D9D9D9" w:themeFill="background1" w:themeFillShade="D9"/>
            <w:vAlign w:val="center"/>
            <w:hideMark/>
          </w:tcPr>
          <w:p w14:paraId="4E0BB4CB" w14:textId="77777777" w:rsidR="00722FD4" w:rsidRPr="00290112" w:rsidRDefault="00722FD4" w:rsidP="009A133F">
            <w:pPr>
              <w:spacing w:before="0" w:after="0"/>
              <w:jc w:val="right"/>
              <w:rPr>
                <w:noProof/>
                <w:color w:val="000000"/>
                <w:sz w:val="16"/>
                <w:szCs w:val="16"/>
                <w:lang w:val="en-IE" w:eastAsia="en-IE"/>
              </w:rPr>
            </w:pPr>
            <w:r>
              <w:rPr>
                <w:noProof/>
                <w:color w:val="000000"/>
                <w:sz w:val="16"/>
                <w:szCs w:val="16"/>
              </w:rPr>
              <w:t>0,024</w:t>
            </w:r>
          </w:p>
        </w:tc>
        <w:tc>
          <w:tcPr>
            <w:tcW w:w="1042" w:type="dxa"/>
            <w:tcBorders>
              <w:top w:val="nil"/>
              <w:left w:val="nil"/>
              <w:bottom w:val="single" w:sz="8" w:space="0" w:color="auto"/>
              <w:right w:val="single" w:sz="8" w:space="0" w:color="auto"/>
            </w:tcBorders>
            <w:shd w:val="clear" w:color="auto" w:fill="D9D9D9" w:themeFill="background1" w:themeFillShade="D9"/>
            <w:vAlign w:val="center"/>
            <w:hideMark/>
          </w:tcPr>
          <w:p w14:paraId="32239CB3"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0,024</w:t>
            </w:r>
          </w:p>
        </w:tc>
        <w:tc>
          <w:tcPr>
            <w:tcW w:w="934" w:type="dxa"/>
            <w:tcBorders>
              <w:top w:val="nil"/>
              <w:left w:val="nil"/>
              <w:bottom w:val="single" w:sz="8" w:space="0" w:color="auto"/>
              <w:right w:val="single" w:sz="8" w:space="0" w:color="auto"/>
            </w:tcBorders>
            <w:shd w:val="clear" w:color="auto" w:fill="D9D9D9" w:themeFill="background1" w:themeFillShade="D9"/>
            <w:vAlign w:val="center"/>
          </w:tcPr>
          <w:p w14:paraId="1B3F4769" w14:textId="77777777" w:rsidR="00722FD4" w:rsidRPr="00290112" w:rsidRDefault="00722FD4" w:rsidP="009A133F">
            <w:pPr>
              <w:spacing w:before="0" w:after="0"/>
              <w:jc w:val="right"/>
              <w:rPr>
                <w:b/>
                <w:bCs/>
                <w:noProof/>
                <w:color w:val="000000"/>
                <w:sz w:val="16"/>
                <w:szCs w:val="16"/>
                <w:lang w:val="en-IE" w:eastAsia="en-IE"/>
              </w:rPr>
            </w:pPr>
            <w:r>
              <w:rPr>
                <w:noProof/>
                <w:color w:val="000000"/>
                <w:sz w:val="16"/>
                <w:szCs w:val="16"/>
              </w:rPr>
              <w:t>0,168</w:t>
            </w:r>
          </w:p>
        </w:tc>
      </w:tr>
      <w:tr w:rsidR="00722FD4" w:rsidRPr="00290112" w14:paraId="3E980672" w14:textId="77777777" w:rsidTr="009A133F">
        <w:trPr>
          <w:trHeight w:val="300"/>
        </w:trPr>
        <w:tc>
          <w:tcPr>
            <w:tcW w:w="3531" w:type="dxa"/>
            <w:tcBorders>
              <w:top w:val="nil"/>
              <w:left w:val="single" w:sz="8" w:space="0" w:color="auto"/>
              <w:bottom w:val="single" w:sz="8" w:space="0" w:color="auto"/>
              <w:right w:val="single" w:sz="8" w:space="0" w:color="auto"/>
            </w:tcBorders>
            <w:shd w:val="clear" w:color="auto" w:fill="CCCCCC"/>
            <w:vAlign w:val="center"/>
            <w:hideMark/>
          </w:tcPr>
          <w:p w14:paraId="44B8D8A7" w14:textId="77777777" w:rsidR="00722FD4" w:rsidRPr="00290112" w:rsidRDefault="00722FD4" w:rsidP="009A133F">
            <w:pPr>
              <w:spacing w:before="0" w:after="0"/>
              <w:jc w:val="center"/>
              <w:rPr>
                <w:b/>
                <w:bCs/>
                <w:noProof/>
                <w:color w:val="000000"/>
                <w:sz w:val="16"/>
                <w:szCs w:val="16"/>
                <w:lang w:val="en-IE" w:eastAsia="en-IE"/>
              </w:rPr>
            </w:pPr>
            <w:r w:rsidRPr="00290112">
              <w:rPr>
                <w:b/>
                <w:bCs/>
                <w:noProof/>
                <w:color w:val="000000"/>
                <w:sz w:val="16"/>
                <w:szCs w:val="16"/>
                <w:lang w:val="en-IE" w:eastAsia="en-IE"/>
              </w:rPr>
              <w:t>Subtotal outside HEADING 7</w:t>
            </w:r>
          </w:p>
        </w:tc>
        <w:tc>
          <w:tcPr>
            <w:tcW w:w="993" w:type="dxa"/>
            <w:tcBorders>
              <w:top w:val="nil"/>
              <w:left w:val="nil"/>
              <w:bottom w:val="single" w:sz="8" w:space="0" w:color="auto"/>
              <w:right w:val="single" w:sz="8" w:space="0" w:color="auto"/>
            </w:tcBorders>
            <w:shd w:val="clear" w:color="auto" w:fill="D9D9D9" w:themeFill="background1" w:themeFillShade="D9"/>
            <w:vAlign w:val="center"/>
            <w:hideMark/>
          </w:tcPr>
          <w:p w14:paraId="025C68B2"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0,000</w:t>
            </w:r>
          </w:p>
        </w:tc>
        <w:tc>
          <w:tcPr>
            <w:tcW w:w="928" w:type="dxa"/>
            <w:tcBorders>
              <w:top w:val="nil"/>
              <w:left w:val="nil"/>
              <w:bottom w:val="single" w:sz="8" w:space="0" w:color="auto"/>
              <w:right w:val="single" w:sz="8" w:space="0" w:color="auto"/>
            </w:tcBorders>
            <w:shd w:val="clear" w:color="auto" w:fill="D9D9D9" w:themeFill="background1" w:themeFillShade="D9"/>
            <w:vAlign w:val="center"/>
            <w:hideMark/>
          </w:tcPr>
          <w:p w14:paraId="2E2928F7"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0,000</w:t>
            </w:r>
          </w:p>
        </w:tc>
        <w:tc>
          <w:tcPr>
            <w:tcW w:w="927" w:type="dxa"/>
            <w:tcBorders>
              <w:top w:val="nil"/>
              <w:left w:val="nil"/>
              <w:bottom w:val="single" w:sz="8" w:space="0" w:color="auto"/>
              <w:right w:val="single" w:sz="8" w:space="0" w:color="auto"/>
            </w:tcBorders>
            <w:shd w:val="clear" w:color="auto" w:fill="D9D9D9" w:themeFill="background1" w:themeFillShade="D9"/>
            <w:vAlign w:val="center"/>
            <w:hideMark/>
          </w:tcPr>
          <w:p w14:paraId="7C155D54"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0,000</w:t>
            </w:r>
          </w:p>
        </w:tc>
        <w:tc>
          <w:tcPr>
            <w:tcW w:w="934" w:type="dxa"/>
            <w:tcBorders>
              <w:top w:val="nil"/>
              <w:left w:val="nil"/>
              <w:bottom w:val="single" w:sz="8" w:space="0" w:color="auto"/>
              <w:right w:val="single" w:sz="8" w:space="0" w:color="auto"/>
            </w:tcBorders>
            <w:shd w:val="clear" w:color="auto" w:fill="D9D9D9" w:themeFill="background1" w:themeFillShade="D9"/>
            <w:vAlign w:val="center"/>
            <w:hideMark/>
          </w:tcPr>
          <w:p w14:paraId="5AAA48F0"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1,934</w:t>
            </w:r>
          </w:p>
        </w:tc>
        <w:tc>
          <w:tcPr>
            <w:tcW w:w="1042" w:type="dxa"/>
            <w:tcBorders>
              <w:top w:val="nil"/>
              <w:left w:val="nil"/>
              <w:bottom w:val="single" w:sz="8" w:space="0" w:color="auto"/>
              <w:right w:val="single" w:sz="8" w:space="0" w:color="auto"/>
            </w:tcBorders>
            <w:shd w:val="clear" w:color="auto" w:fill="D9D9D9" w:themeFill="background1" w:themeFillShade="D9"/>
            <w:vAlign w:val="center"/>
            <w:hideMark/>
          </w:tcPr>
          <w:p w14:paraId="51BD0EE8"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1,934</w:t>
            </w:r>
          </w:p>
        </w:tc>
        <w:tc>
          <w:tcPr>
            <w:tcW w:w="934" w:type="dxa"/>
            <w:tcBorders>
              <w:top w:val="nil"/>
              <w:left w:val="nil"/>
              <w:bottom w:val="single" w:sz="8" w:space="0" w:color="auto"/>
              <w:right w:val="single" w:sz="8" w:space="0" w:color="auto"/>
            </w:tcBorders>
            <w:shd w:val="clear" w:color="auto" w:fill="D9D9D9" w:themeFill="background1" w:themeFillShade="D9"/>
            <w:vAlign w:val="center"/>
          </w:tcPr>
          <w:p w14:paraId="5CF1AD73"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13,370</w:t>
            </w:r>
          </w:p>
        </w:tc>
      </w:tr>
      <w:tr w:rsidR="00722FD4" w:rsidRPr="00290112" w14:paraId="6E95F52A" w14:textId="77777777" w:rsidTr="009A133F">
        <w:trPr>
          <w:trHeight w:val="300"/>
        </w:trPr>
        <w:tc>
          <w:tcPr>
            <w:tcW w:w="8355" w:type="dxa"/>
            <w:gridSpan w:val="6"/>
            <w:tcBorders>
              <w:top w:val="single" w:sz="8" w:space="0" w:color="auto"/>
              <w:left w:val="single" w:sz="8" w:space="0" w:color="auto"/>
              <w:bottom w:val="single" w:sz="8" w:space="0" w:color="auto"/>
              <w:right w:val="single" w:sz="4" w:space="0" w:color="auto"/>
            </w:tcBorders>
            <w:noWrap/>
            <w:vAlign w:val="center"/>
            <w:hideMark/>
          </w:tcPr>
          <w:p w14:paraId="693C0BF1" w14:textId="77777777" w:rsidR="00722FD4" w:rsidRPr="00290112" w:rsidRDefault="00722FD4" w:rsidP="009A133F">
            <w:pPr>
              <w:spacing w:before="0" w:after="0"/>
              <w:jc w:val="center"/>
              <w:rPr>
                <w:noProof/>
                <w:color w:val="000000"/>
                <w:sz w:val="16"/>
                <w:szCs w:val="16"/>
                <w:lang w:val="en-IE" w:eastAsia="en-IE"/>
              </w:rPr>
            </w:pPr>
            <w:r w:rsidRPr="00290112">
              <w:rPr>
                <w:noProof/>
                <w:color w:val="000000"/>
                <w:sz w:val="16"/>
                <w:szCs w:val="16"/>
                <w:lang w:val="en-IE" w:eastAsia="en-IE"/>
              </w:rPr>
              <w:t> </w:t>
            </w:r>
          </w:p>
        </w:tc>
        <w:tc>
          <w:tcPr>
            <w:tcW w:w="934" w:type="dxa"/>
            <w:tcBorders>
              <w:top w:val="single" w:sz="8" w:space="0" w:color="auto"/>
              <w:left w:val="single" w:sz="8" w:space="0" w:color="auto"/>
              <w:bottom w:val="single" w:sz="8" w:space="0" w:color="auto"/>
              <w:right w:val="single" w:sz="4" w:space="0" w:color="auto"/>
            </w:tcBorders>
          </w:tcPr>
          <w:p w14:paraId="3FA31629" w14:textId="77777777" w:rsidR="00722FD4" w:rsidRPr="00290112" w:rsidRDefault="00722FD4" w:rsidP="009A133F">
            <w:pPr>
              <w:spacing w:before="0" w:after="0"/>
              <w:jc w:val="center"/>
              <w:rPr>
                <w:noProof/>
                <w:color w:val="000000"/>
                <w:sz w:val="16"/>
                <w:szCs w:val="16"/>
                <w:lang w:val="en-IE" w:eastAsia="en-IE"/>
              </w:rPr>
            </w:pPr>
          </w:p>
        </w:tc>
      </w:tr>
      <w:tr w:rsidR="00722FD4" w:rsidRPr="00290112" w14:paraId="0AB3BD84" w14:textId="77777777" w:rsidTr="009A133F">
        <w:trPr>
          <w:trHeight w:val="312"/>
        </w:trPr>
        <w:tc>
          <w:tcPr>
            <w:tcW w:w="3531" w:type="dxa"/>
            <w:tcBorders>
              <w:top w:val="single" w:sz="12" w:space="0" w:color="auto"/>
              <w:left w:val="single" w:sz="12" w:space="0" w:color="auto"/>
              <w:bottom w:val="single" w:sz="12" w:space="0" w:color="auto"/>
              <w:right w:val="single" w:sz="8" w:space="0" w:color="auto"/>
            </w:tcBorders>
            <w:vAlign w:val="center"/>
            <w:hideMark/>
          </w:tcPr>
          <w:p w14:paraId="09EB3709" w14:textId="77777777" w:rsidR="00722FD4" w:rsidRPr="00290112" w:rsidRDefault="00722FD4" w:rsidP="009A133F">
            <w:pPr>
              <w:spacing w:before="0" w:after="0"/>
              <w:jc w:val="center"/>
              <w:rPr>
                <w:b/>
                <w:bCs/>
                <w:noProof/>
                <w:color w:val="000000"/>
                <w:sz w:val="16"/>
                <w:szCs w:val="16"/>
                <w:lang w:val="en-IE" w:eastAsia="en-IE"/>
              </w:rPr>
            </w:pPr>
            <w:r w:rsidRPr="00290112">
              <w:rPr>
                <w:b/>
                <w:bCs/>
                <w:noProof/>
                <w:color w:val="000000"/>
                <w:sz w:val="16"/>
                <w:szCs w:val="16"/>
                <w:lang w:val="en-IE" w:eastAsia="en-IE"/>
              </w:rPr>
              <w:t>TOTAL</w:t>
            </w:r>
          </w:p>
        </w:tc>
        <w:tc>
          <w:tcPr>
            <w:tcW w:w="993"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1FAB019A"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0,000</w:t>
            </w:r>
          </w:p>
        </w:tc>
        <w:tc>
          <w:tcPr>
            <w:tcW w:w="928"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7E6946A9" w14:textId="77777777" w:rsidR="00722FD4" w:rsidRPr="00290112" w:rsidRDefault="00722FD4" w:rsidP="009A133F">
            <w:pPr>
              <w:spacing w:before="0" w:after="0"/>
              <w:jc w:val="right"/>
              <w:rPr>
                <w:b/>
                <w:bCs/>
                <w:noProof/>
                <w:color w:val="000000"/>
                <w:sz w:val="16"/>
                <w:szCs w:val="16"/>
                <w:lang w:val="en-IE" w:eastAsia="en-IE"/>
              </w:rPr>
            </w:pPr>
            <w:r>
              <w:rPr>
                <w:b/>
                <w:bCs/>
                <w:noProof/>
                <w:color w:val="000000"/>
                <w:sz w:val="16"/>
                <w:szCs w:val="16"/>
              </w:rPr>
              <w:t>0,000</w:t>
            </w:r>
          </w:p>
        </w:tc>
        <w:tc>
          <w:tcPr>
            <w:tcW w:w="927"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27C8B9CE" w14:textId="77777777" w:rsidR="00722FD4" w:rsidRPr="00A23738" w:rsidRDefault="00722FD4" w:rsidP="009A133F">
            <w:pPr>
              <w:spacing w:before="0" w:after="0"/>
              <w:jc w:val="right"/>
              <w:rPr>
                <w:b/>
                <w:bCs/>
                <w:noProof/>
                <w:color w:val="000000"/>
                <w:sz w:val="16"/>
                <w:szCs w:val="16"/>
                <w:lang w:val="en-IE" w:eastAsia="en-IE"/>
              </w:rPr>
            </w:pPr>
            <w:r>
              <w:rPr>
                <w:b/>
                <w:bCs/>
                <w:noProof/>
                <w:color w:val="000000"/>
                <w:sz w:val="16"/>
                <w:szCs w:val="16"/>
              </w:rPr>
              <w:t>0,000</w:t>
            </w:r>
          </w:p>
        </w:tc>
        <w:tc>
          <w:tcPr>
            <w:tcW w:w="934"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5A8CE9C7" w14:textId="77777777" w:rsidR="00722FD4" w:rsidRPr="00A23738" w:rsidRDefault="00722FD4" w:rsidP="009A133F">
            <w:pPr>
              <w:spacing w:before="0" w:after="0"/>
              <w:jc w:val="right"/>
              <w:rPr>
                <w:b/>
                <w:bCs/>
                <w:noProof/>
                <w:color w:val="FF0000"/>
                <w:sz w:val="16"/>
                <w:szCs w:val="16"/>
                <w:lang w:val="en-IE" w:eastAsia="en-IE"/>
              </w:rPr>
            </w:pPr>
            <w:r>
              <w:rPr>
                <w:b/>
                <w:bCs/>
                <w:noProof/>
                <w:color w:val="000000"/>
                <w:sz w:val="16"/>
                <w:szCs w:val="16"/>
              </w:rPr>
              <w:t>2,322</w:t>
            </w:r>
          </w:p>
        </w:tc>
        <w:tc>
          <w:tcPr>
            <w:tcW w:w="1042"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6AF15E3E" w14:textId="77777777" w:rsidR="00722FD4" w:rsidRPr="00A23738" w:rsidRDefault="00722FD4" w:rsidP="009A133F">
            <w:pPr>
              <w:spacing w:before="0" w:after="0"/>
              <w:jc w:val="right"/>
              <w:rPr>
                <w:b/>
                <w:bCs/>
                <w:noProof/>
                <w:color w:val="FF0000"/>
                <w:sz w:val="16"/>
                <w:szCs w:val="16"/>
                <w:lang w:val="en-IE" w:eastAsia="en-IE"/>
              </w:rPr>
            </w:pPr>
            <w:r>
              <w:rPr>
                <w:b/>
                <w:bCs/>
                <w:noProof/>
                <w:color w:val="000000"/>
                <w:sz w:val="16"/>
                <w:szCs w:val="16"/>
              </w:rPr>
              <w:t>2,322</w:t>
            </w:r>
          </w:p>
        </w:tc>
        <w:tc>
          <w:tcPr>
            <w:tcW w:w="934" w:type="dxa"/>
            <w:tcBorders>
              <w:top w:val="single" w:sz="12" w:space="0" w:color="auto"/>
              <w:left w:val="nil"/>
              <w:bottom w:val="single" w:sz="12" w:space="0" w:color="auto"/>
              <w:right w:val="single" w:sz="8" w:space="0" w:color="auto"/>
            </w:tcBorders>
            <w:shd w:val="clear" w:color="auto" w:fill="D9D9D9" w:themeFill="background1" w:themeFillShade="D9"/>
            <w:vAlign w:val="center"/>
          </w:tcPr>
          <w:p w14:paraId="48B96064" w14:textId="77777777" w:rsidR="00722FD4" w:rsidRPr="00A23738" w:rsidRDefault="00722FD4" w:rsidP="009A133F">
            <w:pPr>
              <w:spacing w:before="0" w:after="0"/>
              <w:jc w:val="right"/>
              <w:rPr>
                <w:b/>
                <w:bCs/>
                <w:noProof/>
                <w:color w:val="000000"/>
                <w:sz w:val="16"/>
                <w:szCs w:val="16"/>
                <w:lang w:val="en-IE" w:eastAsia="en-IE"/>
              </w:rPr>
            </w:pPr>
            <w:r>
              <w:rPr>
                <w:b/>
                <w:bCs/>
                <w:noProof/>
                <w:color w:val="000000"/>
                <w:sz w:val="16"/>
                <w:szCs w:val="16"/>
              </w:rPr>
              <w:t>16,254</w:t>
            </w:r>
          </w:p>
        </w:tc>
      </w:tr>
    </w:tbl>
    <w:p w14:paraId="2C7A149F" w14:textId="77777777" w:rsidR="00722FD4" w:rsidRDefault="00722FD4" w:rsidP="00722FD4">
      <w:pPr>
        <w:pStyle w:val="Text1"/>
        <w:rPr>
          <w:noProof/>
        </w:rPr>
      </w:pPr>
    </w:p>
    <w:p w14:paraId="6275DCEB" w14:textId="77777777" w:rsidR="00AF7A86" w:rsidRPr="00290112" w:rsidRDefault="00AF7A86" w:rsidP="00AF7A86">
      <w:pPr>
        <w:rPr>
          <w:noProof/>
          <w:sz w:val="22"/>
          <w:szCs w:val="28"/>
          <w:lang w:val="en-IE"/>
        </w:rPr>
      </w:pPr>
      <w:bookmarkStart w:id="165" w:name="_Toc172893713"/>
      <w:r w:rsidRPr="00290112">
        <w:rPr>
          <w:noProof/>
          <w:sz w:val="22"/>
          <w:szCs w:val="28"/>
          <w:lang w:val="en-IE"/>
        </w:rPr>
        <w:t>The appropriations required for human resources</w:t>
      </w:r>
      <w:r>
        <w:rPr>
          <w:noProof/>
          <w:sz w:val="22"/>
          <w:szCs w:val="28"/>
          <w:lang w:val="en-IE"/>
        </w:rPr>
        <w:t xml:space="preserve"> under H7</w:t>
      </w:r>
      <w:r w:rsidRPr="00290112">
        <w:rPr>
          <w:noProof/>
          <w:sz w:val="22"/>
          <w:szCs w:val="28"/>
          <w:lang w:val="en-IE"/>
        </w:rPr>
        <w:t xml:space="preserve"> and other expenditure of an administrative nature will be met by appropriations from the DG that are already assigned to management of the action and/or have been redeployed within the DG, together</w:t>
      </w:r>
      <w:r>
        <w:rPr>
          <w:noProof/>
          <w:sz w:val="22"/>
          <w:szCs w:val="28"/>
          <w:lang w:val="en-IE"/>
        </w:rPr>
        <w:t>,</w:t>
      </w:r>
      <w:r w:rsidRPr="00290112">
        <w:rPr>
          <w:noProof/>
          <w:sz w:val="22"/>
          <w:szCs w:val="28"/>
          <w:lang w:val="en-IE"/>
        </w:rPr>
        <w:t xml:space="preserve"> if necessary</w:t>
      </w:r>
      <w:r>
        <w:rPr>
          <w:noProof/>
          <w:sz w:val="22"/>
          <w:szCs w:val="28"/>
          <w:lang w:val="en-IE"/>
        </w:rPr>
        <w:t>,</w:t>
      </w:r>
      <w:r w:rsidRPr="00290112">
        <w:rPr>
          <w:noProof/>
          <w:sz w:val="22"/>
          <w:szCs w:val="28"/>
          <w:lang w:val="en-IE"/>
        </w:rPr>
        <w:t xml:space="preserve"> with any additional allocation which may be granted to the managing DG under the annual allocation procedure and in the light of budgetary constraints.</w:t>
      </w:r>
    </w:p>
    <w:p w14:paraId="5EA9164F" w14:textId="77777777" w:rsidR="00AF7A86" w:rsidRPr="006F433D" w:rsidRDefault="00AF7A86" w:rsidP="00AF7A86">
      <w:pPr>
        <w:pStyle w:val="ManualHeading3"/>
        <w:rPr>
          <w:noProof/>
          <w:lang w:val="en-IE"/>
        </w:rPr>
      </w:pPr>
    </w:p>
    <w:p w14:paraId="17C9C6F8" w14:textId="77777777" w:rsidR="00AF7A86" w:rsidRPr="00235FE8" w:rsidRDefault="00AF7A86" w:rsidP="00AF7A86">
      <w:pPr>
        <w:pStyle w:val="ManualHeading3"/>
        <w:rPr>
          <w:rStyle w:val="Marker110000"/>
          <w:i w:val="0"/>
          <w:noProof/>
        </w:rPr>
      </w:pPr>
      <w:r w:rsidRPr="0021790A">
        <w:rPr>
          <w:noProof/>
        </w:rPr>
        <w:t>3.2.</w:t>
      </w:r>
      <w:r>
        <w:rPr>
          <w:noProof/>
        </w:rPr>
        <w:t>4</w:t>
      </w:r>
      <w:r w:rsidRPr="0021790A">
        <w:rPr>
          <w:noProof/>
        </w:rPr>
        <w:t>.</w:t>
      </w:r>
      <w:r w:rsidRPr="0021790A">
        <w:rPr>
          <w:noProof/>
        </w:rPr>
        <w:tab/>
      </w:r>
      <w:bookmarkStart w:id="166" w:name="_Hlk177486230"/>
      <w:r w:rsidRPr="00A238FB">
        <w:rPr>
          <w:noProof/>
        </w:rPr>
        <w:t>Estimated requirements of human resources</w:t>
      </w:r>
      <w:bookmarkEnd w:id="165"/>
      <w:bookmarkEnd w:id="166"/>
    </w:p>
    <w:p w14:paraId="32E2CBA5" w14:textId="77777777" w:rsidR="00AF7A86" w:rsidRDefault="00AF7A86" w:rsidP="00AF7A86">
      <w:pPr>
        <w:pStyle w:val="ListDash1"/>
        <w:rPr>
          <w:noProof/>
        </w:rPr>
      </w:pPr>
      <w:r>
        <w:rPr>
          <w:rFonts w:ascii="Wingdings" w:eastAsia="Wingdings" w:hAnsi="Wingdings" w:cs="Wingdings"/>
          <w:noProof/>
        </w:rPr>
        <w:t></w:t>
      </w:r>
      <w:r>
        <w:rPr>
          <w:noProof/>
        </w:rPr>
        <w:tab/>
        <w:t xml:space="preserve">The proposal/initiative does not require the use of human resources </w:t>
      </w:r>
    </w:p>
    <w:p w14:paraId="41AB5195" w14:textId="77777777" w:rsidR="00AF7A86" w:rsidRDefault="00AF7A86" w:rsidP="00AF7A86">
      <w:pPr>
        <w:pStyle w:val="ListDash1"/>
        <w:rPr>
          <w:noProof/>
        </w:rPr>
      </w:pPr>
      <w:r>
        <w:rPr>
          <w:noProof/>
        </w:rPr>
        <w:t>X The proposal/initiative requires the use of human resources, as explained below</w:t>
      </w:r>
    </w:p>
    <w:p w14:paraId="64659665" w14:textId="77777777" w:rsidR="00AF7A86" w:rsidRDefault="00AF7A86" w:rsidP="00AF7A86">
      <w:pPr>
        <w:pStyle w:val="ManualHeading3"/>
        <w:rPr>
          <w:noProof/>
        </w:rPr>
      </w:pPr>
      <w:bookmarkStart w:id="167" w:name="_Toc172893714"/>
      <w:r w:rsidRPr="003268F2">
        <w:rPr>
          <w:noProof/>
        </w:rPr>
        <w:t>3.2.</w:t>
      </w:r>
      <w:r>
        <w:rPr>
          <w:noProof/>
        </w:rPr>
        <w:t>4</w:t>
      </w:r>
      <w:r w:rsidRPr="003268F2">
        <w:rPr>
          <w:noProof/>
        </w:rPr>
        <w:t>.1</w:t>
      </w:r>
      <w:r>
        <w:rPr>
          <w:noProof/>
        </w:rPr>
        <w:t>.</w:t>
      </w:r>
      <w:r>
        <w:rPr>
          <w:noProof/>
        </w:rPr>
        <w:tab/>
        <w:t>Financed from voted budget</w:t>
      </w:r>
      <w:bookmarkEnd w:id="167"/>
      <w:r>
        <w:rPr>
          <w:rStyle w:val="FootnoteReference"/>
          <w:noProof/>
        </w:rPr>
        <w:footnoteReference w:id="83"/>
      </w:r>
    </w:p>
    <w:p w14:paraId="284795A8" w14:textId="77777777" w:rsidR="00AF7A86" w:rsidRDefault="00AF7A86" w:rsidP="00AF7A86">
      <w:pPr>
        <w:spacing w:after="60"/>
        <w:jc w:val="right"/>
        <w:rPr>
          <w:i/>
          <w:noProof/>
          <w:sz w:val="20"/>
          <w:lang w:val="en-IE"/>
        </w:rPr>
      </w:pPr>
      <w:r w:rsidRPr="003A769F">
        <w:rPr>
          <w:i/>
          <w:noProof/>
          <w:sz w:val="20"/>
          <w:lang w:val="en-IE"/>
        </w:rPr>
        <w:t>Estimate to be expressed in full</w:t>
      </w:r>
      <w:r>
        <w:rPr>
          <w:i/>
          <w:noProof/>
          <w:sz w:val="20"/>
          <w:lang w:val="en-IE"/>
        </w:rPr>
        <w:t>-</w:t>
      </w:r>
      <w:r w:rsidRPr="003A769F">
        <w:rPr>
          <w:i/>
          <w:noProof/>
          <w:sz w:val="20"/>
          <w:lang w:val="en-IE"/>
        </w:rPr>
        <w:t>time equivalent units</w:t>
      </w:r>
      <w:r>
        <w:rPr>
          <w:i/>
          <w:noProof/>
          <w:sz w:val="20"/>
          <w:lang w:val="en-IE"/>
        </w:rPr>
        <w:t xml:space="preserve"> (FTEs)</w:t>
      </w:r>
    </w:p>
    <w:p w14:paraId="5D451643" w14:textId="77777777" w:rsidR="00AF7A86" w:rsidRDefault="00AF7A86" w:rsidP="00AF7A86">
      <w:pPr>
        <w:pStyle w:val="Text1"/>
        <w:spacing w:before="60" w:after="60"/>
        <w:ind w:left="-426" w:right="-427"/>
        <w:rPr>
          <w:b/>
          <w:noProof/>
          <w:sz w:val="18"/>
          <w:szCs w:val="18"/>
          <w:lang w:val="en-IE"/>
        </w:rPr>
      </w:pPr>
      <w:bookmarkStart w:id="168" w:name="_Hlk156979231"/>
    </w:p>
    <w:tbl>
      <w:tblPr>
        <w:tblW w:w="5000" w:type="pct"/>
        <w:tblLook w:val="04A0" w:firstRow="1" w:lastRow="0" w:firstColumn="1" w:lastColumn="0" w:noHBand="0" w:noVBand="1"/>
      </w:tblPr>
      <w:tblGrid>
        <w:gridCol w:w="1368"/>
        <w:gridCol w:w="3530"/>
        <w:gridCol w:w="879"/>
        <w:gridCol w:w="879"/>
        <w:gridCol w:w="879"/>
        <w:gridCol w:w="877"/>
        <w:gridCol w:w="875"/>
      </w:tblGrid>
      <w:tr w:rsidR="00AF7A86" w:rsidRPr="00E52FD3" w14:paraId="089940DE" w14:textId="77777777">
        <w:trPr>
          <w:trHeight w:val="300"/>
        </w:trPr>
        <w:tc>
          <w:tcPr>
            <w:tcW w:w="2638"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E73E613" w14:textId="77777777" w:rsidR="00AF7A86" w:rsidRPr="00E52FD3" w:rsidRDefault="00AF7A86">
            <w:pPr>
              <w:spacing w:before="0" w:after="0"/>
              <w:jc w:val="center"/>
              <w:rPr>
                <w:b/>
                <w:bCs/>
                <w:noProof/>
                <w:color w:val="000000"/>
                <w:sz w:val="18"/>
                <w:szCs w:val="18"/>
                <w:lang w:val="en-IE" w:eastAsia="en-IE"/>
              </w:rPr>
            </w:pPr>
            <w:r w:rsidRPr="00E52FD3">
              <w:rPr>
                <w:b/>
                <w:bCs/>
                <w:noProof/>
                <w:color w:val="000000"/>
                <w:sz w:val="18"/>
                <w:szCs w:val="18"/>
                <w:lang w:val="en-IE" w:eastAsia="en-IE"/>
              </w:rPr>
              <w:t>VOTED APPROPRIATIONS</w:t>
            </w:r>
          </w:p>
        </w:tc>
        <w:tc>
          <w:tcPr>
            <w:tcW w:w="473" w:type="pct"/>
            <w:tcBorders>
              <w:top w:val="single" w:sz="8" w:space="0" w:color="auto"/>
              <w:left w:val="single" w:sz="4" w:space="0" w:color="auto"/>
              <w:bottom w:val="nil"/>
              <w:right w:val="single" w:sz="8" w:space="0" w:color="auto"/>
            </w:tcBorders>
            <w:vAlign w:val="center"/>
            <w:hideMark/>
          </w:tcPr>
          <w:p w14:paraId="7F4E49A7" w14:textId="77777777" w:rsidR="00AF7A86" w:rsidRPr="00E52FD3" w:rsidRDefault="00AF7A86">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473" w:type="pct"/>
            <w:tcBorders>
              <w:top w:val="single" w:sz="8" w:space="0" w:color="auto"/>
              <w:left w:val="nil"/>
              <w:bottom w:val="nil"/>
              <w:right w:val="single" w:sz="8" w:space="0" w:color="auto"/>
            </w:tcBorders>
            <w:vAlign w:val="center"/>
            <w:hideMark/>
          </w:tcPr>
          <w:p w14:paraId="796C9B4D" w14:textId="77777777" w:rsidR="00AF7A86" w:rsidRPr="00E52FD3" w:rsidRDefault="00AF7A86">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473" w:type="pct"/>
            <w:tcBorders>
              <w:top w:val="single" w:sz="8" w:space="0" w:color="auto"/>
              <w:left w:val="nil"/>
              <w:bottom w:val="nil"/>
              <w:right w:val="single" w:sz="8" w:space="0" w:color="auto"/>
            </w:tcBorders>
            <w:vAlign w:val="center"/>
            <w:hideMark/>
          </w:tcPr>
          <w:p w14:paraId="568EE11E" w14:textId="77777777" w:rsidR="00AF7A86" w:rsidRPr="00E52FD3" w:rsidRDefault="00AF7A86">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472" w:type="pct"/>
            <w:tcBorders>
              <w:top w:val="single" w:sz="8" w:space="0" w:color="auto"/>
              <w:left w:val="nil"/>
              <w:bottom w:val="nil"/>
              <w:right w:val="single" w:sz="8" w:space="0" w:color="auto"/>
            </w:tcBorders>
            <w:vAlign w:val="center"/>
            <w:hideMark/>
          </w:tcPr>
          <w:p w14:paraId="425F1763" w14:textId="77777777" w:rsidR="00AF7A86" w:rsidRPr="00E52FD3" w:rsidRDefault="00AF7A86">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471" w:type="pct"/>
            <w:tcBorders>
              <w:top w:val="single" w:sz="8" w:space="0" w:color="auto"/>
              <w:left w:val="nil"/>
              <w:bottom w:val="nil"/>
              <w:right w:val="single" w:sz="8" w:space="0" w:color="auto"/>
            </w:tcBorders>
          </w:tcPr>
          <w:p w14:paraId="5511027C" w14:textId="77777777" w:rsidR="00AF7A86" w:rsidRPr="00E52FD3" w:rsidRDefault="00AF7A86">
            <w:pPr>
              <w:spacing w:before="0" w:after="0"/>
              <w:jc w:val="center"/>
              <w:rPr>
                <w:noProof/>
                <w:color w:val="000000"/>
                <w:sz w:val="20"/>
                <w:szCs w:val="20"/>
                <w:lang w:val="en-IE" w:eastAsia="en-IE"/>
              </w:rPr>
            </w:pPr>
            <w:r>
              <w:rPr>
                <w:noProof/>
                <w:color w:val="000000"/>
                <w:sz w:val="20"/>
                <w:szCs w:val="20"/>
                <w:lang w:val="en-IE" w:eastAsia="en-IE"/>
              </w:rPr>
              <w:t>Post</w:t>
            </w:r>
          </w:p>
        </w:tc>
      </w:tr>
      <w:tr w:rsidR="00AF7A86" w:rsidRPr="00E52FD3" w14:paraId="7C23E3FD" w14:textId="77777777">
        <w:trPr>
          <w:trHeight w:val="300"/>
        </w:trPr>
        <w:tc>
          <w:tcPr>
            <w:tcW w:w="2638" w:type="pct"/>
            <w:gridSpan w:val="2"/>
            <w:vMerge/>
            <w:tcBorders>
              <w:top w:val="single" w:sz="4" w:space="0" w:color="auto"/>
              <w:left w:val="single" w:sz="4" w:space="0" w:color="auto"/>
              <w:bottom w:val="single" w:sz="4" w:space="0" w:color="auto"/>
              <w:right w:val="single" w:sz="4" w:space="0" w:color="auto"/>
            </w:tcBorders>
            <w:vAlign w:val="center"/>
            <w:hideMark/>
          </w:tcPr>
          <w:p w14:paraId="7A5A34C0" w14:textId="77777777" w:rsidR="00AF7A86" w:rsidRPr="00E52FD3" w:rsidRDefault="00AF7A86">
            <w:pPr>
              <w:spacing w:before="0" w:after="0"/>
              <w:jc w:val="left"/>
              <w:rPr>
                <w:b/>
                <w:bCs/>
                <w:noProof/>
                <w:color w:val="000000"/>
                <w:sz w:val="18"/>
                <w:szCs w:val="18"/>
                <w:lang w:val="en-IE" w:eastAsia="en-IE"/>
              </w:rPr>
            </w:pPr>
          </w:p>
        </w:tc>
        <w:tc>
          <w:tcPr>
            <w:tcW w:w="473" w:type="pct"/>
            <w:tcBorders>
              <w:top w:val="nil"/>
              <w:left w:val="single" w:sz="4" w:space="0" w:color="auto"/>
              <w:bottom w:val="single" w:sz="8" w:space="0" w:color="auto"/>
              <w:right w:val="single" w:sz="8" w:space="0" w:color="auto"/>
            </w:tcBorders>
            <w:vAlign w:val="center"/>
            <w:hideMark/>
          </w:tcPr>
          <w:p w14:paraId="71A69B1D" w14:textId="77777777" w:rsidR="00AF7A86" w:rsidRPr="00E52FD3" w:rsidRDefault="00AF7A86">
            <w:pPr>
              <w:spacing w:before="0" w:after="0"/>
              <w:jc w:val="center"/>
              <w:rPr>
                <w:b/>
                <w:bCs/>
                <w:noProof/>
                <w:color w:val="000000"/>
                <w:sz w:val="20"/>
                <w:szCs w:val="20"/>
                <w:lang w:val="en-IE" w:eastAsia="en-IE"/>
              </w:rPr>
            </w:pPr>
            <w:r w:rsidRPr="00E52FD3">
              <w:rPr>
                <w:b/>
                <w:bCs/>
                <w:noProof/>
                <w:color w:val="000000"/>
                <w:sz w:val="20"/>
                <w:szCs w:val="20"/>
                <w:lang w:val="en-IE" w:eastAsia="en-IE"/>
              </w:rPr>
              <w:t>2024</w:t>
            </w:r>
          </w:p>
        </w:tc>
        <w:tc>
          <w:tcPr>
            <w:tcW w:w="473" w:type="pct"/>
            <w:tcBorders>
              <w:top w:val="nil"/>
              <w:left w:val="nil"/>
              <w:bottom w:val="single" w:sz="8" w:space="0" w:color="auto"/>
              <w:right w:val="single" w:sz="8" w:space="0" w:color="auto"/>
            </w:tcBorders>
            <w:vAlign w:val="center"/>
            <w:hideMark/>
          </w:tcPr>
          <w:p w14:paraId="1F99A0FF" w14:textId="77777777" w:rsidR="00AF7A86" w:rsidRPr="00E52FD3" w:rsidRDefault="00AF7A86">
            <w:pPr>
              <w:spacing w:before="0" w:after="0"/>
              <w:jc w:val="center"/>
              <w:rPr>
                <w:b/>
                <w:bCs/>
                <w:noProof/>
                <w:color w:val="000000"/>
                <w:sz w:val="20"/>
                <w:szCs w:val="20"/>
                <w:lang w:val="en-IE" w:eastAsia="en-IE"/>
              </w:rPr>
            </w:pPr>
            <w:r w:rsidRPr="00E52FD3">
              <w:rPr>
                <w:b/>
                <w:bCs/>
                <w:noProof/>
                <w:color w:val="000000"/>
                <w:sz w:val="20"/>
                <w:szCs w:val="20"/>
                <w:lang w:val="en-IE" w:eastAsia="en-IE"/>
              </w:rPr>
              <w:t>2025</w:t>
            </w:r>
          </w:p>
        </w:tc>
        <w:tc>
          <w:tcPr>
            <w:tcW w:w="473" w:type="pct"/>
            <w:tcBorders>
              <w:top w:val="nil"/>
              <w:left w:val="nil"/>
              <w:bottom w:val="single" w:sz="8" w:space="0" w:color="auto"/>
              <w:right w:val="single" w:sz="8" w:space="0" w:color="auto"/>
            </w:tcBorders>
            <w:vAlign w:val="center"/>
            <w:hideMark/>
          </w:tcPr>
          <w:p w14:paraId="63C21B0B" w14:textId="77777777" w:rsidR="00AF7A86" w:rsidRPr="00E52FD3" w:rsidRDefault="00AF7A86">
            <w:pPr>
              <w:spacing w:before="0" w:after="0"/>
              <w:jc w:val="center"/>
              <w:rPr>
                <w:b/>
                <w:bCs/>
                <w:noProof/>
                <w:color w:val="000000"/>
                <w:sz w:val="20"/>
                <w:szCs w:val="20"/>
                <w:lang w:val="en-IE" w:eastAsia="en-IE"/>
              </w:rPr>
            </w:pPr>
            <w:r w:rsidRPr="00E52FD3">
              <w:rPr>
                <w:b/>
                <w:bCs/>
                <w:noProof/>
                <w:color w:val="000000"/>
                <w:sz w:val="20"/>
                <w:szCs w:val="20"/>
                <w:lang w:val="en-IE" w:eastAsia="en-IE"/>
              </w:rPr>
              <w:t>2026</w:t>
            </w:r>
          </w:p>
        </w:tc>
        <w:tc>
          <w:tcPr>
            <w:tcW w:w="472" w:type="pct"/>
            <w:tcBorders>
              <w:top w:val="nil"/>
              <w:left w:val="nil"/>
              <w:bottom w:val="single" w:sz="8" w:space="0" w:color="auto"/>
              <w:right w:val="single" w:sz="8" w:space="0" w:color="auto"/>
            </w:tcBorders>
            <w:vAlign w:val="center"/>
            <w:hideMark/>
          </w:tcPr>
          <w:p w14:paraId="28946EFB" w14:textId="77777777" w:rsidR="00AF7A86" w:rsidRPr="00E52FD3" w:rsidRDefault="00AF7A86">
            <w:pPr>
              <w:spacing w:before="0" w:after="0"/>
              <w:jc w:val="center"/>
              <w:rPr>
                <w:b/>
                <w:bCs/>
                <w:noProof/>
                <w:color w:val="000000"/>
                <w:sz w:val="20"/>
                <w:szCs w:val="20"/>
                <w:lang w:val="en-IE" w:eastAsia="en-IE"/>
              </w:rPr>
            </w:pPr>
            <w:r w:rsidRPr="00E52FD3">
              <w:rPr>
                <w:b/>
                <w:bCs/>
                <w:noProof/>
                <w:color w:val="000000"/>
                <w:sz w:val="20"/>
                <w:szCs w:val="20"/>
                <w:lang w:val="en-IE" w:eastAsia="en-IE"/>
              </w:rPr>
              <w:t>2027</w:t>
            </w:r>
          </w:p>
        </w:tc>
        <w:tc>
          <w:tcPr>
            <w:tcW w:w="471" w:type="pct"/>
            <w:tcBorders>
              <w:top w:val="nil"/>
              <w:left w:val="nil"/>
              <w:bottom w:val="single" w:sz="8" w:space="0" w:color="auto"/>
              <w:right w:val="single" w:sz="8" w:space="0" w:color="auto"/>
            </w:tcBorders>
          </w:tcPr>
          <w:p w14:paraId="617261EE" w14:textId="77777777" w:rsidR="00AF7A86" w:rsidRPr="00E52FD3" w:rsidRDefault="00AF7A86">
            <w:pPr>
              <w:spacing w:before="0" w:after="0"/>
              <w:jc w:val="center"/>
              <w:rPr>
                <w:b/>
                <w:bCs/>
                <w:noProof/>
                <w:color w:val="000000"/>
                <w:sz w:val="20"/>
                <w:szCs w:val="20"/>
                <w:lang w:val="en-IE" w:eastAsia="en-IE"/>
              </w:rPr>
            </w:pPr>
            <w:r>
              <w:rPr>
                <w:b/>
                <w:bCs/>
                <w:noProof/>
                <w:color w:val="000000"/>
                <w:sz w:val="20"/>
                <w:szCs w:val="20"/>
                <w:lang w:val="en-IE" w:eastAsia="en-IE"/>
              </w:rPr>
              <w:t>2027</w:t>
            </w:r>
          </w:p>
        </w:tc>
      </w:tr>
      <w:tr w:rsidR="00AF7A86" w:rsidRPr="00E52FD3" w14:paraId="176317DC" w14:textId="77777777">
        <w:trPr>
          <w:trHeight w:val="300"/>
        </w:trPr>
        <w:tc>
          <w:tcPr>
            <w:tcW w:w="4529" w:type="pct"/>
            <w:gridSpan w:val="6"/>
            <w:tcBorders>
              <w:top w:val="single" w:sz="4" w:space="0" w:color="auto"/>
              <w:left w:val="single" w:sz="4" w:space="0" w:color="auto"/>
              <w:bottom w:val="single" w:sz="4" w:space="0" w:color="auto"/>
              <w:right w:val="single" w:sz="4" w:space="0" w:color="auto"/>
            </w:tcBorders>
            <w:vAlign w:val="center"/>
            <w:hideMark/>
          </w:tcPr>
          <w:p w14:paraId="07EE5CC5" w14:textId="77777777" w:rsidR="00AF7A86" w:rsidRPr="00E52FD3" w:rsidRDefault="00AF7A86">
            <w:pPr>
              <w:spacing w:before="0" w:after="0"/>
              <w:jc w:val="left"/>
              <w:rPr>
                <w:rFonts w:ascii="Wingdings" w:hAnsi="Wingdings" w:cs="Calibri"/>
                <w:b/>
                <w:bCs/>
                <w:noProof/>
                <w:color w:val="000000"/>
                <w:sz w:val="16"/>
                <w:szCs w:val="16"/>
                <w:lang w:val="en-IE" w:eastAsia="en-IE"/>
              </w:rPr>
            </w:pPr>
            <w:r w:rsidRPr="00E52FD3">
              <w:rPr>
                <w:rFonts w:ascii="Wingdings" w:hAnsi="Wingdings" w:cs="Calibri"/>
                <w:b/>
                <w:bCs/>
                <w:noProof/>
                <w:color w:val="000000"/>
                <w:sz w:val="16"/>
                <w:szCs w:val="16"/>
                <w:lang w:val="en-IE" w:eastAsia="en-IE"/>
              </w:rPr>
              <w:t></w:t>
            </w:r>
            <w:r w:rsidRPr="00E52FD3">
              <w:rPr>
                <w:b/>
                <w:bCs/>
                <w:noProof/>
                <w:color w:val="000000"/>
                <w:sz w:val="16"/>
                <w:szCs w:val="16"/>
                <w:lang w:val="en-IE" w:eastAsia="en-IE"/>
              </w:rPr>
              <w:t xml:space="preserve"> Establishment plan posts (officials and temporary staff)</w:t>
            </w:r>
          </w:p>
        </w:tc>
        <w:tc>
          <w:tcPr>
            <w:tcW w:w="471" w:type="pct"/>
            <w:tcBorders>
              <w:top w:val="single" w:sz="8" w:space="0" w:color="auto"/>
              <w:left w:val="single" w:sz="4" w:space="0" w:color="auto"/>
              <w:bottom w:val="single" w:sz="8" w:space="0" w:color="auto"/>
              <w:right w:val="single" w:sz="4" w:space="0" w:color="auto"/>
            </w:tcBorders>
          </w:tcPr>
          <w:p w14:paraId="5E69AEC8" w14:textId="77777777" w:rsidR="00AF7A86" w:rsidRPr="00E52FD3" w:rsidRDefault="00AF7A86">
            <w:pPr>
              <w:spacing w:before="0" w:after="0"/>
              <w:jc w:val="left"/>
              <w:rPr>
                <w:rFonts w:ascii="Wingdings" w:hAnsi="Wingdings" w:cs="Calibri"/>
                <w:b/>
                <w:bCs/>
                <w:noProof/>
                <w:color w:val="000000"/>
                <w:sz w:val="16"/>
                <w:szCs w:val="16"/>
                <w:lang w:val="en-IE" w:eastAsia="en-IE"/>
              </w:rPr>
            </w:pPr>
          </w:p>
        </w:tc>
      </w:tr>
      <w:tr w:rsidR="00AF7A86" w:rsidRPr="00E52FD3" w14:paraId="0A08DA44"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4F97074C"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20 01 02 01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(Headquarters and Commission’s Representation Offices)</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6FFFC72C"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4288D7A6"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16C5CE1A"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3D808A45" w14:textId="77777777" w:rsidR="00AF7A86" w:rsidRPr="00E52FD3" w:rsidRDefault="00AF7A86">
            <w:pPr>
              <w:spacing w:before="0" w:after="0"/>
              <w:jc w:val="center"/>
              <w:rPr>
                <w:noProof/>
                <w:color w:val="000000"/>
                <w:sz w:val="16"/>
                <w:szCs w:val="16"/>
                <w:lang w:val="en-IE" w:eastAsia="en-IE"/>
              </w:rPr>
            </w:pPr>
            <w:r>
              <w:rPr>
                <w:noProof/>
                <w:color w:val="000000" w:themeColor="text1"/>
                <w:sz w:val="16"/>
                <w:szCs w:val="16"/>
                <w:lang w:val="en-IE" w:eastAsia="en-IE"/>
              </w:rPr>
              <w:t>2</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07455635" w14:textId="77777777" w:rsidR="00AF7A86" w:rsidDel="00CF3FE4" w:rsidRDefault="00AF7A86">
            <w:pPr>
              <w:spacing w:before="0" w:after="0"/>
              <w:jc w:val="center"/>
              <w:rPr>
                <w:noProof/>
                <w:color w:val="000000" w:themeColor="text1"/>
                <w:sz w:val="16"/>
                <w:szCs w:val="16"/>
                <w:lang w:val="en-IE" w:eastAsia="en-IE"/>
              </w:rPr>
            </w:pPr>
            <w:r>
              <w:rPr>
                <w:noProof/>
                <w:color w:val="000000" w:themeColor="text1"/>
                <w:sz w:val="16"/>
                <w:szCs w:val="16"/>
                <w:lang w:val="en-IE" w:eastAsia="en-IE"/>
              </w:rPr>
              <w:t>2</w:t>
            </w:r>
          </w:p>
        </w:tc>
      </w:tr>
      <w:tr w:rsidR="00AF7A86" w:rsidRPr="00E52FD3" w14:paraId="19372770"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10AA2039"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01 02 03 (EU Delegations)</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69A2E30D"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28ED5A57"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34AF95AC"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4F0DA7B3"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59E74B0D" w14:textId="77777777" w:rsidR="00AF7A86" w:rsidRPr="00E52FD3" w:rsidRDefault="00AF7A86">
            <w:pPr>
              <w:spacing w:before="0" w:after="0"/>
              <w:jc w:val="center"/>
              <w:rPr>
                <w:noProof/>
                <w:color w:val="000000"/>
                <w:sz w:val="16"/>
                <w:szCs w:val="16"/>
                <w:lang w:val="en-IE" w:eastAsia="en-IE"/>
              </w:rPr>
            </w:pPr>
          </w:p>
        </w:tc>
      </w:tr>
      <w:tr w:rsidR="00AF7A86" w:rsidRPr="00E52FD3" w14:paraId="5CB9FF2F"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73F0B4DF"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01 (Indirect research)</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7457D043"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67DD80EA"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37A78479"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3091EC47"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69221CDB" w14:textId="77777777" w:rsidR="00AF7A86" w:rsidRPr="00E52FD3" w:rsidRDefault="00AF7A86">
            <w:pPr>
              <w:spacing w:before="0" w:after="0"/>
              <w:jc w:val="center"/>
              <w:rPr>
                <w:noProof/>
                <w:color w:val="000000"/>
                <w:sz w:val="16"/>
                <w:szCs w:val="16"/>
                <w:lang w:val="en-IE" w:eastAsia="en-IE"/>
              </w:rPr>
            </w:pPr>
          </w:p>
        </w:tc>
      </w:tr>
      <w:tr w:rsidR="00AF7A86" w:rsidRPr="00E52FD3" w14:paraId="65B7D4B8"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667F910D"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11 (Direct research)</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46EC9DE7"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7E727C42"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0915EBE9"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29080DE8" w14:textId="77777777" w:rsidR="00AF7A86" w:rsidRPr="00E52FD3" w:rsidRDefault="00AF7A86">
            <w:pPr>
              <w:spacing w:before="0" w:after="0"/>
              <w:jc w:val="center"/>
              <w:rPr>
                <w:noProof/>
                <w:color w:val="000000"/>
                <w:sz w:val="16"/>
                <w:szCs w:val="16"/>
                <w:lang w:val="en-IE" w:eastAsia="en-IE"/>
              </w:rPr>
            </w:pPr>
            <w:r>
              <w:rPr>
                <w:noProof/>
                <w:color w:val="000000"/>
                <w:sz w:val="16"/>
                <w:szCs w:val="16"/>
                <w:lang w:val="en-IE" w:eastAsia="en-IE"/>
              </w:rPr>
              <w:t>4</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350A42F7" w14:textId="77777777" w:rsidR="00AF7A86" w:rsidRPr="00E52FD3" w:rsidRDefault="00AF7A86">
            <w:pPr>
              <w:spacing w:before="0" w:after="0"/>
              <w:jc w:val="center"/>
              <w:rPr>
                <w:noProof/>
                <w:color w:val="000000"/>
                <w:sz w:val="16"/>
                <w:szCs w:val="16"/>
                <w:lang w:val="en-IE" w:eastAsia="en-IE"/>
              </w:rPr>
            </w:pPr>
            <w:r>
              <w:rPr>
                <w:noProof/>
                <w:color w:val="000000"/>
                <w:sz w:val="16"/>
                <w:szCs w:val="16"/>
                <w:lang w:val="en-IE" w:eastAsia="en-IE"/>
              </w:rPr>
              <w:t>4</w:t>
            </w:r>
          </w:p>
        </w:tc>
      </w:tr>
      <w:tr w:rsidR="00AF7A86" w:rsidRPr="00E52FD3" w14:paraId="627DA931"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586892A0"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3ECDE0A9"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7B3099BE"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128712E0"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62EBD0CC"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0BB60F82" w14:textId="77777777" w:rsidR="00AF7A86" w:rsidRPr="00E52FD3" w:rsidRDefault="00AF7A86">
            <w:pPr>
              <w:spacing w:before="0" w:after="0"/>
              <w:jc w:val="center"/>
              <w:rPr>
                <w:noProof/>
                <w:color w:val="000000"/>
                <w:sz w:val="16"/>
                <w:szCs w:val="16"/>
                <w:lang w:val="en-IE" w:eastAsia="en-IE"/>
              </w:rPr>
            </w:pPr>
          </w:p>
        </w:tc>
      </w:tr>
      <w:tr w:rsidR="00AF7A86" w:rsidRPr="00E52FD3" w14:paraId="6A215864" w14:textId="77777777">
        <w:trPr>
          <w:trHeight w:val="300"/>
        </w:trPr>
        <w:tc>
          <w:tcPr>
            <w:tcW w:w="4529" w:type="pct"/>
            <w:gridSpan w:val="6"/>
            <w:tcBorders>
              <w:top w:val="single" w:sz="4" w:space="0" w:color="auto"/>
              <w:left w:val="single" w:sz="4" w:space="0" w:color="auto"/>
              <w:bottom w:val="single" w:sz="4" w:space="0" w:color="auto"/>
              <w:right w:val="single" w:sz="4" w:space="0" w:color="auto"/>
            </w:tcBorders>
            <w:vAlign w:val="center"/>
            <w:hideMark/>
          </w:tcPr>
          <w:p w14:paraId="09D0BB22" w14:textId="77777777" w:rsidR="00AF7A86" w:rsidRPr="00E52FD3" w:rsidRDefault="00AF7A86">
            <w:pPr>
              <w:spacing w:before="0" w:after="0"/>
              <w:jc w:val="left"/>
              <w:rPr>
                <w:rFonts w:ascii="Wingdings" w:hAnsi="Wingdings" w:cs="Calibri"/>
                <w:b/>
                <w:bCs/>
                <w:noProof/>
                <w:color w:val="000000"/>
                <w:sz w:val="16"/>
                <w:szCs w:val="16"/>
                <w:lang w:val="en-IE" w:eastAsia="en-IE"/>
              </w:rPr>
            </w:pPr>
            <w:r w:rsidRPr="00E52FD3">
              <w:rPr>
                <w:rFonts w:ascii="Calibri" w:hAnsi="Calibri" w:cs="Calibri"/>
                <w:b/>
                <w:bCs/>
                <w:noProof/>
                <w:color w:val="000000"/>
                <w:sz w:val="16"/>
                <w:szCs w:val="16"/>
                <w:lang w:val="en-IE" w:eastAsia="en-IE"/>
              </w:rPr>
              <w:t>•</w:t>
            </w:r>
            <w:r w:rsidRPr="00E52FD3">
              <w:rPr>
                <w:b/>
                <w:bCs/>
                <w:noProof/>
                <w:color w:val="000000"/>
                <w:sz w:val="16"/>
                <w:szCs w:val="16"/>
                <w:lang w:val="en-IE" w:eastAsia="en-IE"/>
              </w:rPr>
              <w:t xml:space="preserve"> External staff (in F</w:t>
            </w:r>
            <w:r>
              <w:rPr>
                <w:b/>
                <w:bCs/>
                <w:noProof/>
                <w:color w:val="000000"/>
                <w:sz w:val="16"/>
                <w:szCs w:val="16"/>
                <w:lang w:val="en-IE" w:eastAsia="en-IE"/>
              </w:rPr>
              <w:t>TEs</w:t>
            </w:r>
            <w:r w:rsidRPr="00E52FD3">
              <w:rPr>
                <w:b/>
                <w:bCs/>
                <w:noProof/>
                <w:color w:val="000000"/>
                <w:sz w:val="16"/>
                <w:szCs w:val="16"/>
                <w:lang w:val="en-IE" w:eastAsia="en-IE"/>
              </w:rPr>
              <w:t>)</w:t>
            </w:r>
          </w:p>
        </w:tc>
        <w:tc>
          <w:tcPr>
            <w:tcW w:w="471" w:type="pct"/>
            <w:tcBorders>
              <w:top w:val="single" w:sz="8" w:space="0" w:color="auto"/>
              <w:left w:val="single" w:sz="4" w:space="0" w:color="auto"/>
              <w:bottom w:val="single" w:sz="8" w:space="0" w:color="auto"/>
              <w:right w:val="single" w:sz="4" w:space="0" w:color="auto"/>
            </w:tcBorders>
            <w:vAlign w:val="center"/>
          </w:tcPr>
          <w:p w14:paraId="27A7C445" w14:textId="77777777" w:rsidR="00AF7A86" w:rsidRPr="00E52FD3" w:rsidRDefault="00AF7A86">
            <w:pPr>
              <w:spacing w:before="0" w:after="0"/>
              <w:jc w:val="center"/>
              <w:rPr>
                <w:rFonts w:ascii="Calibri" w:hAnsi="Calibri" w:cs="Calibri"/>
                <w:b/>
                <w:bCs/>
                <w:noProof/>
                <w:color w:val="000000"/>
                <w:sz w:val="16"/>
                <w:szCs w:val="16"/>
                <w:lang w:val="en-IE" w:eastAsia="en-IE"/>
              </w:rPr>
            </w:pPr>
          </w:p>
        </w:tc>
      </w:tr>
      <w:tr w:rsidR="00AF7A86" w:rsidRPr="00E52FD3" w14:paraId="01973E48"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1C48DF8E"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20 02 01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(AC, END from the ‘global envelope’)</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32B4FB4A"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64192244"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3344897C"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675B1A69"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2D11091C" w14:textId="77777777" w:rsidR="00AF7A86" w:rsidRPr="00E52FD3" w:rsidRDefault="00AF7A86">
            <w:pPr>
              <w:spacing w:before="0" w:after="0"/>
              <w:jc w:val="center"/>
              <w:rPr>
                <w:noProof/>
                <w:color w:val="000000"/>
                <w:sz w:val="16"/>
                <w:szCs w:val="16"/>
                <w:lang w:val="en-IE" w:eastAsia="en-IE"/>
              </w:rPr>
            </w:pPr>
          </w:p>
        </w:tc>
      </w:tr>
      <w:tr w:rsidR="00AF7A86" w:rsidRPr="00E52FD3" w14:paraId="0D1F38F7"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223D1218"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02 03 (AC, AL, END and JPD in the EU Delegations)</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1BEBF691"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465EE178"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40FC910C"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3455506D"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47FB41FC" w14:textId="77777777" w:rsidR="00AF7A86" w:rsidRPr="00E52FD3" w:rsidRDefault="00AF7A86">
            <w:pPr>
              <w:spacing w:before="0" w:after="0"/>
              <w:jc w:val="center"/>
              <w:rPr>
                <w:noProof/>
                <w:color w:val="000000"/>
                <w:sz w:val="16"/>
                <w:szCs w:val="16"/>
                <w:lang w:val="en-IE" w:eastAsia="en-IE"/>
              </w:rPr>
            </w:pPr>
          </w:p>
        </w:tc>
      </w:tr>
      <w:tr w:rsidR="00AF7A86" w:rsidRPr="00E52FD3" w14:paraId="15C0CF44" w14:textId="77777777">
        <w:trPr>
          <w:trHeight w:val="300"/>
        </w:trPr>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01D91C19"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Admin. Support line</w:t>
            </w:r>
            <w:r w:rsidRPr="00E52FD3">
              <w:rPr>
                <w:noProof/>
                <w:color w:val="000000"/>
                <w:sz w:val="16"/>
                <w:szCs w:val="16"/>
                <w:lang w:val="en-IE" w:eastAsia="en-IE"/>
              </w:rPr>
              <w:br/>
              <w:t>[XX.01.YY.YY]</w:t>
            </w:r>
          </w:p>
        </w:tc>
        <w:tc>
          <w:tcPr>
            <w:tcW w:w="1900" w:type="pct"/>
            <w:tcBorders>
              <w:top w:val="single" w:sz="4" w:space="0" w:color="auto"/>
              <w:left w:val="single" w:sz="4" w:space="0" w:color="auto"/>
              <w:bottom w:val="single" w:sz="4" w:space="0" w:color="auto"/>
              <w:right w:val="single" w:sz="4" w:space="0" w:color="auto"/>
            </w:tcBorders>
            <w:vAlign w:val="center"/>
            <w:hideMark/>
          </w:tcPr>
          <w:p w14:paraId="01179FB0"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at Headquarters</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0255C3B0"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2F40E982"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684AFE3E"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200887A0"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0247C0EC" w14:textId="77777777" w:rsidR="00AF7A86" w:rsidRPr="00E52FD3" w:rsidRDefault="00AF7A86">
            <w:pPr>
              <w:spacing w:before="0" w:after="0"/>
              <w:jc w:val="center"/>
              <w:rPr>
                <w:noProof/>
                <w:color w:val="000000"/>
                <w:sz w:val="16"/>
                <w:szCs w:val="16"/>
                <w:lang w:val="en-IE" w:eastAsia="en-IE"/>
              </w:rPr>
            </w:pPr>
          </w:p>
        </w:tc>
      </w:tr>
      <w:tr w:rsidR="00AF7A86" w:rsidRPr="00E52FD3" w14:paraId="330D0010" w14:textId="77777777">
        <w:trPr>
          <w:trHeight w:val="300"/>
        </w:trPr>
        <w:tc>
          <w:tcPr>
            <w:tcW w:w="737" w:type="pct"/>
            <w:vMerge/>
            <w:tcBorders>
              <w:top w:val="single" w:sz="4" w:space="0" w:color="auto"/>
              <w:left w:val="single" w:sz="4" w:space="0" w:color="auto"/>
              <w:bottom w:val="single" w:sz="4" w:space="0" w:color="auto"/>
              <w:right w:val="single" w:sz="4" w:space="0" w:color="auto"/>
            </w:tcBorders>
            <w:vAlign w:val="center"/>
            <w:hideMark/>
          </w:tcPr>
          <w:p w14:paraId="20DC19A8" w14:textId="77777777" w:rsidR="00AF7A86" w:rsidRPr="00E52FD3" w:rsidRDefault="00AF7A86">
            <w:pPr>
              <w:spacing w:before="0" w:after="0"/>
              <w:jc w:val="left"/>
              <w:rPr>
                <w:noProof/>
                <w:color w:val="000000"/>
                <w:sz w:val="16"/>
                <w:szCs w:val="16"/>
                <w:lang w:val="en-IE" w:eastAsia="en-IE"/>
              </w:rPr>
            </w:pPr>
          </w:p>
        </w:tc>
        <w:tc>
          <w:tcPr>
            <w:tcW w:w="1900" w:type="pct"/>
            <w:tcBorders>
              <w:top w:val="single" w:sz="4" w:space="0" w:color="auto"/>
              <w:left w:val="single" w:sz="4" w:space="0" w:color="auto"/>
              <w:bottom w:val="single" w:sz="4" w:space="0" w:color="auto"/>
              <w:right w:val="single" w:sz="4" w:space="0" w:color="auto"/>
            </w:tcBorders>
            <w:vAlign w:val="center"/>
            <w:hideMark/>
          </w:tcPr>
          <w:p w14:paraId="36D1041E"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xml:space="preserve">- in EU Delegations </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0B97D4AF"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5AC6F29F"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1D56AEAE"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217818C9"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175BAD1D" w14:textId="77777777" w:rsidR="00AF7A86" w:rsidRPr="00E52FD3" w:rsidRDefault="00AF7A86">
            <w:pPr>
              <w:spacing w:before="0" w:after="0"/>
              <w:jc w:val="center"/>
              <w:rPr>
                <w:noProof/>
                <w:color w:val="000000"/>
                <w:sz w:val="16"/>
                <w:szCs w:val="16"/>
                <w:lang w:val="en-IE" w:eastAsia="en-IE"/>
              </w:rPr>
            </w:pPr>
          </w:p>
        </w:tc>
      </w:tr>
      <w:tr w:rsidR="00AF7A86" w:rsidRPr="00E52FD3" w14:paraId="5A45BCE4"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14C82714"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01 01 01 02</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(AC, END - Indirect research)</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5D8FE5C2"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746E25DB"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40AF2F5B"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1BB88602"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10F9CD4D" w14:textId="77777777" w:rsidR="00AF7A86" w:rsidRPr="00E52FD3" w:rsidRDefault="00AF7A86">
            <w:pPr>
              <w:spacing w:before="0" w:after="0"/>
              <w:jc w:val="center"/>
              <w:rPr>
                <w:noProof/>
                <w:color w:val="000000"/>
                <w:sz w:val="16"/>
                <w:szCs w:val="16"/>
                <w:lang w:val="en-IE" w:eastAsia="en-IE"/>
              </w:rPr>
            </w:pPr>
          </w:p>
        </w:tc>
      </w:tr>
      <w:tr w:rsidR="00AF7A86" w:rsidRPr="00E52FD3" w14:paraId="0F00231F"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406C6054"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xml:space="preserve"> 01 01 01 12 (AC, END - Direct research)</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18B846C4"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707F9548"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698EE151"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2966CB80"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6799B6A1" w14:textId="77777777" w:rsidR="00AF7A86" w:rsidRPr="00E52FD3" w:rsidRDefault="00AF7A86">
            <w:pPr>
              <w:spacing w:before="0" w:after="0"/>
              <w:jc w:val="center"/>
              <w:rPr>
                <w:noProof/>
                <w:color w:val="000000"/>
                <w:sz w:val="16"/>
                <w:szCs w:val="16"/>
                <w:lang w:val="en-IE" w:eastAsia="en-IE"/>
              </w:rPr>
            </w:pPr>
          </w:p>
        </w:tc>
      </w:tr>
      <w:tr w:rsidR="00AF7A86" w:rsidRPr="00E52FD3" w14:paraId="127C6B82"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13500D91"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 - Heading 7</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01253B16"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0C587271"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382B1C6A"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68EDD8CC"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07A2FACE" w14:textId="77777777" w:rsidR="00AF7A86" w:rsidRPr="00E52FD3" w:rsidRDefault="00AF7A86">
            <w:pPr>
              <w:spacing w:before="0" w:after="0"/>
              <w:jc w:val="center"/>
              <w:rPr>
                <w:noProof/>
                <w:color w:val="000000"/>
                <w:sz w:val="16"/>
                <w:szCs w:val="16"/>
                <w:lang w:val="en-IE" w:eastAsia="en-IE"/>
              </w:rPr>
            </w:pPr>
          </w:p>
        </w:tc>
      </w:tr>
      <w:tr w:rsidR="00AF7A86" w:rsidRPr="00E52FD3" w14:paraId="5EFFB067"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4A351652"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w:t>
            </w:r>
            <w:r w:rsidRPr="004F3E3D">
              <w:rPr>
                <w:noProof/>
                <w:color w:val="000000"/>
                <w:sz w:val="16"/>
                <w:szCs w:val="16"/>
                <w:lang w:val="en-IE" w:eastAsia="en-IE"/>
              </w:rPr>
              <w:t xml:space="preserve">02 01 22 01 Support expenditure for CEF-E </w:t>
            </w:r>
            <w:r w:rsidRPr="00E52FD3">
              <w:rPr>
                <w:noProof/>
                <w:color w:val="000000"/>
                <w:sz w:val="16"/>
                <w:szCs w:val="16"/>
                <w:lang w:val="en-IE" w:eastAsia="en-IE"/>
              </w:rPr>
              <w:t>) - Outside Heading 7</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71A61530"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0B87C4A2"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728F276E"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78E8AA15" w14:textId="77777777" w:rsidR="00AF7A86" w:rsidRPr="00E52FD3" w:rsidRDefault="00AF7A86">
            <w:pPr>
              <w:spacing w:before="0" w:after="0"/>
              <w:jc w:val="center"/>
              <w:rPr>
                <w:noProof/>
                <w:color w:val="000000"/>
                <w:sz w:val="16"/>
                <w:szCs w:val="16"/>
                <w:lang w:val="en-IE" w:eastAsia="en-IE"/>
              </w:rPr>
            </w:pPr>
            <w:r>
              <w:rPr>
                <w:noProof/>
                <w:color w:val="000000"/>
                <w:sz w:val="16"/>
                <w:szCs w:val="16"/>
                <w:lang w:val="en-IE" w:eastAsia="en-IE"/>
              </w:rPr>
              <w:t>4</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10D1E30A" w14:textId="77777777" w:rsidR="00AF7A86" w:rsidRPr="00E52FD3" w:rsidDel="00374B75" w:rsidRDefault="00AF7A86">
            <w:pPr>
              <w:spacing w:before="0" w:after="0"/>
              <w:jc w:val="center"/>
              <w:rPr>
                <w:noProof/>
                <w:color w:val="000000"/>
                <w:sz w:val="16"/>
                <w:szCs w:val="16"/>
                <w:lang w:val="en-IE" w:eastAsia="en-IE"/>
              </w:rPr>
            </w:pPr>
            <w:r>
              <w:rPr>
                <w:noProof/>
                <w:color w:val="000000"/>
                <w:sz w:val="16"/>
                <w:szCs w:val="16"/>
                <w:lang w:val="en-IE" w:eastAsia="en-IE"/>
              </w:rPr>
              <w:t>4</w:t>
            </w:r>
          </w:p>
        </w:tc>
      </w:tr>
      <w:tr w:rsidR="00AF7A86" w:rsidRPr="00E52FD3" w14:paraId="358C833F" w14:textId="77777777">
        <w:trPr>
          <w:trHeight w:val="300"/>
        </w:trPr>
        <w:tc>
          <w:tcPr>
            <w:tcW w:w="2638" w:type="pct"/>
            <w:gridSpan w:val="2"/>
            <w:tcBorders>
              <w:top w:val="single" w:sz="4" w:space="0" w:color="auto"/>
              <w:left w:val="single" w:sz="4" w:space="0" w:color="auto"/>
              <w:bottom w:val="single" w:sz="4" w:space="0" w:color="auto"/>
              <w:right w:val="single" w:sz="4" w:space="0" w:color="auto"/>
            </w:tcBorders>
            <w:vAlign w:val="center"/>
            <w:hideMark/>
          </w:tcPr>
          <w:p w14:paraId="121F3AFC" w14:textId="77777777" w:rsidR="00AF7A86" w:rsidRPr="00E52FD3" w:rsidRDefault="00AF7A86">
            <w:pPr>
              <w:spacing w:before="0" w:after="0"/>
              <w:ind w:firstLineChars="100" w:firstLine="160"/>
              <w:jc w:val="left"/>
              <w:rPr>
                <w:b/>
                <w:bCs/>
                <w:noProof/>
                <w:color w:val="000000"/>
                <w:sz w:val="16"/>
                <w:szCs w:val="16"/>
                <w:lang w:val="en-IE" w:eastAsia="en-IE"/>
              </w:rPr>
            </w:pPr>
            <w:r w:rsidRPr="00E52FD3">
              <w:rPr>
                <w:b/>
                <w:bCs/>
                <w:noProof/>
                <w:color w:val="000000"/>
                <w:sz w:val="16"/>
                <w:szCs w:val="16"/>
                <w:lang w:val="en-IE" w:eastAsia="en-IE"/>
              </w:rPr>
              <w:t>TOTAL</w:t>
            </w:r>
          </w:p>
        </w:tc>
        <w:tc>
          <w:tcPr>
            <w:tcW w:w="473"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532687AC" w14:textId="77777777" w:rsidR="00AF7A86" w:rsidRPr="00E52FD3" w:rsidRDefault="00AF7A86">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082FBF2F" w14:textId="77777777" w:rsidR="00AF7A86" w:rsidRPr="00E52FD3" w:rsidRDefault="00AF7A86">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473" w:type="pct"/>
            <w:tcBorders>
              <w:top w:val="nil"/>
              <w:left w:val="nil"/>
              <w:bottom w:val="single" w:sz="8" w:space="0" w:color="auto"/>
              <w:right w:val="single" w:sz="8" w:space="0" w:color="auto"/>
            </w:tcBorders>
            <w:shd w:val="clear" w:color="auto" w:fill="D9D9D9" w:themeFill="background1" w:themeFillShade="D9"/>
            <w:vAlign w:val="center"/>
            <w:hideMark/>
          </w:tcPr>
          <w:p w14:paraId="2AC61E8E" w14:textId="77777777" w:rsidR="00AF7A86" w:rsidRPr="00E52FD3" w:rsidRDefault="00AF7A86">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472" w:type="pct"/>
            <w:tcBorders>
              <w:top w:val="nil"/>
              <w:left w:val="nil"/>
              <w:bottom w:val="single" w:sz="8" w:space="0" w:color="auto"/>
              <w:right w:val="single" w:sz="8" w:space="0" w:color="auto"/>
            </w:tcBorders>
            <w:shd w:val="clear" w:color="auto" w:fill="D9D9D9" w:themeFill="background1" w:themeFillShade="D9"/>
            <w:vAlign w:val="center"/>
            <w:hideMark/>
          </w:tcPr>
          <w:p w14:paraId="0D8EF512" w14:textId="77777777" w:rsidR="00AF7A86" w:rsidRPr="00E52FD3" w:rsidRDefault="00AF7A86">
            <w:pPr>
              <w:spacing w:before="0" w:after="0"/>
              <w:jc w:val="center"/>
              <w:rPr>
                <w:b/>
                <w:bCs/>
                <w:noProof/>
                <w:color w:val="000000"/>
                <w:sz w:val="16"/>
                <w:szCs w:val="16"/>
                <w:lang w:val="en-IE" w:eastAsia="en-IE"/>
              </w:rPr>
            </w:pPr>
            <w:r>
              <w:rPr>
                <w:b/>
                <w:bCs/>
                <w:noProof/>
                <w:color w:val="000000" w:themeColor="text1"/>
                <w:sz w:val="16"/>
                <w:szCs w:val="16"/>
                <w:lang w:val="en-IE" w:eastAsia="en-IE"/>
              </w:rPr>
              <w:t>10</w:t>
            </w:r>
          </w:p>
        </w:tc>
        <w:tc>
          <w:tcPr>
            <w:tcW w:w="471" w:type="pct"/>
            <w:tcBorders>
              <w:top w:val="nil"/>
              <w:left w:val="nil"/>
              <w:bottom w:val="single" w:sz="8" w:space="0" w:color="auto"/>
              <w:right w:val="single" w:sz="8" w:space="0" w:color="auto"/>
            </w:tcBorders>
            <w:shd w:val="clear" w:color="auto" w:fill="D9D9D9" w:themeFill="background1" w:themeFillShade="D9"/>
            <w:vAlign w:val="center"/>
          </w:tcPr>
          <w:p w14:paraId="405C71F4" w14:textId="77777777" w:rsidR="00AF7A86" w:rsidRDefault="00AF7A86">
            <w:pPr>
              <w:spacing w:before="0" w:after="0"/>
              <w:jc w:val="center"/>
              <w:rPr>
                <w:b/>
                <w:bCs/>
                <w:noProof/>
                <w:color w:val="000000" w:themeColor="text1"/>
                <w:sz w:val="16"/>
                <w:szCs w:val="16"/>
                <w:lang w:val="en-IE" w:eastAsia="en-IE"/>
              </w:rPr>
            </w:pPr>
            <w:r>
              <w:rPr>
                <w:b/>
                <w:bCs/>
                <w:noProof/>
                <w:color w:val="000000" w:themeColor="text1"/>
                <w:sz w:val="16"/>
                <w:szCs w:val="16"/>
                <w:lang w:val="en-IE" w:eastAsia="en-IE"/>
              </w:rPr>
              <w:t>10</w:t>
            </w:r>
          </w:p>
        </w:tc>
      </w:tr>
    </w:tbl>
    <w:p w14:paraId="6A93C70D" w14:textId="77777777" w:rsidR="00AF7A86" w:rsidRDefault="00AF7A86" w:rsidP="00AF7A86">
      <w:pPr>
        <w:pStyle w:val="ManualHeading3"/>
        <w:rPr>
          <w:noProof/>
        </w:rPr>
      </w:pPr>
      <w:bookmarkStart w:id="169" w:name="_Toc172893716"/>
    </w:p>
    <w:p w14:paraId="42481C48" w14:textId="77777777" w:rsidR="00AF7A86" w:rsidRDefault="00AF7A86" w:rsidP="00AF7A86">
      <w:pPr>
        <w:pStyle w:val="ManualHeading3"/>
        <w:rPr>
          <w:noProof/>
        </w:rPr>
      </w:pPr>
      <w:r w:rsidRPr="003268F2">
        <w:rPr>
          <w:noProof/>
        </w:rPr>
        <w:t>3.2.</w:t>
      </w:r>
      <w:r>
        <w:rPr>
          <w:noProof/>
        </w:rPr>
        <w:t>4</w:t>
      </w:r>
      <w:r w:rsidRPr="003268F2">
        <w:rPr>
          <w:noProof/>
        </w:rPr>
        <w:t>.</w:t>
      </w:r>
      <w:r w:rsidR="005A46CE">
        <w:rPr>
          <w:noProof/>
        </w:rPr>
        <w:t>2</w:t>
      </w:r>
      <w:r>
        <w:rPr>
          <w:noProof/>
        </w:rPr>
        <w:t>.</w:t>
      </w:r>
      <w:r>
        <w:rPr>
          <w:noProof/>
        </w:rPr>
        <w:tab/>
        <w:t>Total requirements of human resources</w:t>
      </w:r>
      <w:bookmarkEnd w:id="169"/>
    </w:p>
    <w:tbl>
      <w:tblPr>
        <w:tblW w:w="9289" w:type="dxa"/>
        <w:tblLook w:val="04A0" w:firstRow="1" w:lastRow="0" w:firstColumn="1" w:lastColumn="0" w:noHBand="0" w:noVBand="1"/>
      </w:tblPr>
      <w:tblGrid>
        <w:gridCol w:w="1463"/>
        <w:gridCol w:w="3372"/>
        <w:gridCol w:w="900"/>
        <w:gridCol w:w="900"/>
        <w:gridCol w:w="900"/>
        <w:gridCol w:w="923"/>
        <w:gridCol w:w="831"/>
      </w:tblGrid>
      <w:tr w:rsidR="00AF7A86" w:rsidRPr="00E52FD3" w14:paraId="3687EE28" w14:textId="77777777">
        <w:trPr>
          <w:trHeight w:val="492"/>
        </w:trPr>
        <w:tc>
          <w:tcPr>
            <w:tcW w:w="48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71D8D6" w14:textId="77777777" w:rsidR="00AF7A86" w:rsidRPr="00E52FD3" w:rsidRDefault="00AF7A86">
            <w:pPr>
              <w:spacing w:before="0" w:after="0"/>
              <w:jc w:val="center"/>
              <w:rPr>
                <w:b/>
                <w:bCs/>
                <w:noProof/>
                <w:color w:val="000000"/>
                <w:sz w:val="18"/>
                <w:szCs w:val="18"/>
                <w:lang w:val="en-IE" w:eastAsia="en-IE"/>
              </w:rPr>
            </w:pPr>
            <w:r w:rsidRPr="00E52FD3">
              <w:rPr>
                <w:b/>
                <w:bCs/>
                <w:noProof/>
                <w:color w:val="000000"/>
                <w:sz w:val="18"/>
                <w:szCs w:val="18"/>
                <w:lang w:val="en-IE" w:eastAsia="en-IE"/>
              </w:rPr>
              <w:t>TOTAL</w:t>
            </w:r>
            <w:r>
              <w:rPr>
                <w:b/>
                <w:bCs/>
                <w:noProof/>
                <w:color w:val="000000"/>
                <w:sz w:val="18"/>
                <w:szCs w:val="18"/>
                <w:lang w:val="en-IE" w:eastAsia="en-IE"/>
              </w:rPr>
              <w:t xml:space="preserve"> </w:t>
            </w:r>
            <w:r w:rsidRPr="00E52FD3">
              <w:rPr>
                <w:b/>
                <w:bCs/>
                <w:noProof/>
                <w:color w:val="000000"/>
                <w:sz w:val="18"/>
                <w:szCs w:val="18"/>
                <w:lang w:val="en-IE" w:eastAsia="en-IE"/>
              </w:rPr>
              <w:t>VOTED APPROPRIATIONS +EXTERNAL ASSIGNED REVENUES</w:t>
            </w:r>
          </w:p>
        </w:tc>
        <w:tc>
          <w:tcPr>
            <w:tcW w:w="900" w:type="dxa"/>
            <w:tcBorders>
              <w:top w:val="single" w:sz="8" w:space="0" w:color="auto"/>
              <w:left w:val="single" w:sz="4" w:space="0" w:color="auto"/>
              <w:bottom w:val="nil"/>
              <w:right w:val="single" w:sz="8" w:space="0" w:color="auto"/>
            </w:tcBorders>
            <w:vAlign w:val="center"/>
            <w:hideMark/>
          </w:tcPr>
          <w:p w14:paraId="21986C0D" w14:textId="77777777" w:rsidR="00AF7A86" w:rsidRPr="00E52FD3" w:rsidRDefault="00AF7A86">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900" w:type="dxa"/>
            <w:tcBorders>
              <w:top w:val="single" w:sz="8" w:space="0" w:color="auto"/>
              <w:left w:val="nil"/>
              <w:bottom w:val="nil"/>
              <w:right w:val="single" w:sz="8" w:space="0" w:color="auto"/>
            </w:tcBorders>
            <w:vAlign w:val="center"/>
            <w:hideMark/>
          </w:tcPr>
          <w:p w14:paraId="6F75EE2F" w14:textId="77777777" w:rsidR="00AF7A86" w:rsidRPr="00E52FD3" w:rsidRDefault="00AF7A86">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900" w:type="dxa"/>
            <w:tcBorders>
              <w:top w:val="single" w:sz="8" w:space="0" w:color="auto"/>
              <w:left w:val="nil"/>
              <w:bottom w:val="nil"/>
              <w:right w:val="single" w:sz="8" w:space="0" w:color="auto"/>
            </w:tcBorders>
            <w:vAlign w:val="center"/>
            <w:hideMark/>
          </w:tcPr>
          <w:p w14:paraId="1A3F7B82" w14:textId="77777777" w:rsidR="00AF7A86" w:rsidRPr="00E52FD3" w:rsidRDefault="00AF7A86">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923" w:type="dxa"/>
            <w:tcBorders>
              <w:top w:val="single" w:sz="8" w:space="0" w:color="auto"/>
              <w:left w:val="nil"/>
              <w:bottom w:val="nil"/>
              <w:right w:val="single" w:sz="8" w:space="0" w:color="auto"/>
            </w:tcBorders>
            <w:vAlign w:val="center"/>
            <w:hideMark/>
          </w:tcPr>
          <w:p w14:paraId="1071FC93" w14:textId="77777777" w:rsidR="00AF7A86" w:rsidRPr="00E52FD3" w:rsidRDefault="00AF7A86">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831" w:type="dxa"/>
            <w:tcBorders>
              <w:top w:val="single" w:sz="8" w:space="0" w:color="auto"/>
              <w:left w:val="nil"/>
              <w:bottom w:val="nil"/>
              <w:right w:val="single" w:sz="8" w:space="0" w:color="auto"/>
            </w:tcBorders>
          </w:tcPr>
          <w:p w14:paraId="7FF35EC7" w14:textId="77777777" w:rsidR="00AF7A86" w:rsidRDefault="00AF7A86">
            <w:pPr>
              <w:spacing w:before="0" w:after="0"/>
              <w:jc w:val="center"/>
              <w:rPr>
                <w:noProof/>
                <w:color w:val="000000"/>
                <w:sz w:val="20"/>
                <w:szCs w:val="20"/>
                <w:lang w:val="en-IE" w:eastAsia="en-IE"/>
              </w:rPr>
            </w:pPr>
            <w:r>
              <w:rPr>
                <w:noProof/>
                <w:color w:val="000000"/>
                <w:sz w:val="20"/>
                <w:szCs w:val="20"/>
                <w:lang w:val="en-IE" w:eastAsia="en-IE"/>
              </w:rPr>
              <w:t>Post</w:t>
            </w:r>
          </w:p>
        </w:tc>
      </w:tr>
      <w:tr w:rsidR="00AF7A86" w:rsidRPr="00E52FD3" w14:paraId="6734B0CB" w14:textId="77777777">
        <w:trPr>
          <w:trHeight w:val="492"/>
        </w:trPr>
        <w:tc>
          <w:tcPr>
            <w:tcW w:w="4835" w:type="dxa"/>
            <w:gridSpan w:val="2"/>
            <w:vMerge/>
            <w:tcBorders>
              <w:top w:val="single" w:sz="4" w:space="0" w:color="auto"/>
              <w:left w:val="single" w:sz="4" w:space="0" w:color="auto"/>
              <w:bottom w:val="single" w:sz="4" w:space="0" w:color="auto"/>
              <w:right w:val="single" w:sz="4" w:space="0" w:color="auto"/>
            </w:tcBorders>
            <w:vAlign w:val="center"/>
            <w:hideMark/>
          </w:tcPr>
          <w:p w14:paraId="17C843BC" w14:textId="77777777" w:rsidR="00AF7A86" w:rsidRPr="00E52FD3" w:rsidRDefault="00AF7A86">
            <w:pPr>
              <w:spacing w:before="0" w:after="0"/>
              <w:jc w:val="left"/>
              <w:rPr>
                <w:b/>
                <w:bCs/>
                <w:noProof/>
                <w:color w:val="000000"/>
                <w:sz w:val="18"/>
                <w:szCs w:val="18"/>
                <w:lang w:val="en-IE" w:eastAsia="en-IE"/>
              </w:rPr>
            </w:pPr>
          </w:p>
        </w:tc>
        <w:tc>
          <w:tcPr>
            <w:tcW w:w="900" w:type="dxa"/>
            <w:tcBorders>
              <w:top w:val="nil"/>
              <w:left w:val="single" w:sz="4" w:space="0" w:color="auto"/>
              <w:bottom w:val="single" w:sz="8" w:space="0" w:color="auto"/>
              <w:right w:val="single" w:sz="8" w:space="0" w:color="auto"/>
            </w:tcBorders>
            <w:vAlign w:val="center"/>
            <w:hideMark/>
          </w:tcPr>
          <w:p w14:paraId="78DB368B" w14:textId="77777777" w:rsidR="00AF7A86" w:rsidRPr="00E52FD3" w:rsidRDefault="00AF7A86">
            <w:pPr>
              <w:spacing w:before="0" w:after="0"/>
              <w:jc w:val="center"/>
              <w:rPr>
                <w:b/>
                <w:bCs/>
                <w:noProof/>
                <w:color w:val="000000"/>
                <w:sz w:val="20"/>
                <w:szCs w:val="20"/>
                <w:lang w:val="en-IE" w:eastAsia="en-IE"/>
              </w:rPr>
            </w:pPr>
            <w:r w:rsidRPr="00E52FD3">
              <w:rPr>
                <w:b/>
                <w:bCs/>
                <w:noProof/>
                <w:color w:val="000000"/>
                <w:sz w:val="20"/>
                <w:szCs w:val="20"/>
                <w:lang w:val="en-IE" w:eastAsia="en-IE"/>
              </w:rPr>
              <w:t>2024</w:t>
            </w:r>
          </w:p>
        </w:tc>
        <w:tc>
          <w:tcPr>
            <w:tcW w:w="900" w:type="dxa"/>
            <w:tcBorders>
              <w:top w:val="nil"/>
              <w:left w:val="nil"/>
              <w:bottom w:val="single" w:sz="8" w:space="0" w:color="auto"/>
              <w:right w:val="single" w:sz="8" w:space="0" w:color="auto"/>
            </w:tcBorders>
            <w:vAlign w:val="center"/>
            <w:hideMark/>
          </w:tcPr>
          <w:p w14:paraId="0CC87BFE" w14:textId="77777777" w:rsidR="00AF7A86" w:rsidRPr="00E52FD3" w:rsidRDefault="00AF7A86">
            <w:pPr>
              <w:spacing w:before="0" w:after="0"/>
              <w:jc w:val="center"/>
              <w:rPr>
                <w:b/>
                <w:bCs/>
                <w:noProof/>
                <w:color w:val="000000"/>
                <w:sz w:val="20"/>
                <w:szCs w:val="20"/>
                <w:lang w:val="en-IE" w:eastAsia="en-IE"/>
              </w:rPr>
            </w:pPr>
            <w:r w:rsidRPr="00E52FD3">
              <w:rPr>
                <w:b/>
                <w:bCs/>
                <w:noProof/>
                <w:color w:val="000000"/>
                <w:sz w:val="20"/>
                <w:szCs w:val="20"/>
                <w:lang w:val="en-IE" w:eastAsia="en-IE"/>
              </w:rPr>
              <w:t>2025</w:t>
            </w:r>
          </w:p>
        </w:tc>
        <w:tc>
          <w:tcPr>
            <w:tcW w:w="900" w:type="dxa"/>
            <w:tcBorders>
              <w:top w:val="nil"/>
              <w:left w:val="nil"/>
              <w:bottom w:val="single" w:sz="8" w:space="0" w:color="auto"/>
              <w:right w:val="single" w:sz="8" w:space="0" w:color="auto"/>
            </w:tcBorders>
            <w:vAlign w:val="center"/>
            <w:hideMark/>
          </w:tcPr>
          <w:p w14:paraId="02497EBE" w14:textId="77777777" w:rsidR="00AF7A86" w:rsidRPr="00E52FD3" w:rsidRDefault="00AF7A86">
            <w:pPr>
              <w:spacing w:before="0" w:after="0"/>
              <w:jc w:val="center"/>
              <w:rPr>
                <w:b/>
                <w:bCs/>
                <w:noProof/>
                <w:color w:val="000000"/>
                <w:sz w:val="20"/>
                <w:szCs w:val="20"/>
                <w:lang w:val="en-IE" w:eastAsia="en-IE"/>
              </w:rPr>
            </w:pPr>
            <w:r w:rsidRPr="00E52FD3">
              <w:rPr>
                <w:b/>
                <w:bCs/>
                <w:noProof/>
                <w:color w:val="000000"/>
                <w:sz w:val="20"/>
                <w:szCs w:val="20"/>
                <w:lang w:val="en-IE" w:eastAsia="en-IE"/>
              </w:rPr>
              <w:t>2026</w:t>
            </w:r>
          </w:p>
        </w:tc>
        <w:tc>
          <w:tcPr>
            <w:tcW w:w="923" w:type="dxa"/>
            <w:tcBorders>
              <w:top w:val="nil"/>
              <w:left w:val="nil"/>
              <w:bottom w:val="single" w:sz="8" w:space="0" w:color="auto"/>
              <w:right w:val="single" w:sz="8" w:space="0" w:color="auto"/>
            </w:tcBorders>
            <w:vAlign w:val="center"/>
            <w:hideMark/>
          </w:tcPr>
          <w:p w14:paraId="588FECBB" w14:textId="77777777" w:rsidR="00AF7A86" w:rsidRPr="00E52FD3" w:rsidRDefault="00AF7A86">
            <w:pPr>
              <w:spacing w:before="0" w:after="0"/>
              <w:jc w:val="center"/>
              <w:rPr>
                <w:b/>
                <w:bCs/>
                <w:noProof/>
                <w:color w:val="000000"/>
                <w:sz w:val="20"/>
                <w:szCs w:val="20"/>
                <w:lang w:val="en-IE" w:eastAsia="en-IE"/>
              </w:rPr>
            </w:pPr>
            <w:r w:rsidRPr="405CC573">
              <w:rPr>
                <w:b/>
                <w:noProof/>
                <w:color w:val="000000" w:themeColor="text1"/>
                <w:sz w:val="20"/>
                <w:szCs w:val="20"/>
                <w:lang w:val="en-IE" w:eastAsia="en-IE"/>
              </w:rPr>
              <w:t>2027</w:t>
            </w:r>
            <w:r>
              <w:rPr>
                <w:rStyle w:val="FootnoteReference"/>
                <w:b/>
                <w:noProof/>
                <w:color w:val="000000" w:themeColor="text1"/>
                <w:sz w:val="20"/>
                <w:szCs w:val="20"/>
                <w:lang w:val="en-IE" w:eastAsia="en-IE"/>
              </w:rPr>
              <w:footnoteReference w:id="84"/>
            </w:r>
          </w:p>
        </w:tc>
        <w:tc>
          <w:tcPr>
            <w:tcW w:w="831" w:type="dxa"/>
            <w:tcBorders>
              <w:top w:val="nil"/>
              <w:left w:val="nil"/>
              <w:bottom w:val="single" w:sz="8" w:space="0" w:color="auto"/>
              <w:right w:val="single" w:sz="8" w:space="0" w:color="auto"/>
            </w:tcBorders>
          </w:tcPr>
          <w:p w14:paraId="24799422" w14:textId="77777777" w:rsidR="00AF7A86" w:rsidRDefault="00AF7A86">
            <w:pPr>
              <w:spacing w:before="0" w:after="0"/>
              <w:jc w:val="center"/>
              <w:rPr>
                <w:b/>
                <w:noProof/>
                <w:color w:val="000000" w:themeColor="text1"/>
                <w:sz w:val="20"/>
                <w:szCs w:val="20"/>
                <w:lang w:val="en-IE" w:eastAsia="en-IE"/>
              </w:rPr>
            </w:pPr>
            <w:r>
              <w:rPr>
                <w:b/>
                <w:noProof/>
                <w:color w:val="000000" w:themeColor="text1"/>
                <w:sz w:val="20"/>
                <w:szCs w:val="20"/>
                <w:lang w:val="en-IE" w:eastAsia="en-IE"/>
              </w:rPr>
              <w:t>2027</w:t>
            </w:r>
          </w:p>
        </w:tc>
      </w:tr>
      <w:tr w:rsidR="00AF7A86" w:rsidRPr="00E52FD3" w14:paraId="11778409" w14:textId="77777777">
        <w:trPr>
          <w:trHeight w:val="300"/>
        </w:trPr>
        <w:tc>
          <w:tcPr>
            <w:tcW w:w="8458" w:type="dxa"/>
            <w:gridSpan w:val="6"/>
            <w:tcBorders>
              <w:top w:val="single" w:sz="4" w:space="0" w:color="auto"/>
              <w:left w:val="single" w:sz="4" w:space="0" w:color="auto"/>
              <w:bottom w:val="single" w:sz="4" w:space="0" w:color="auto"/>
              <w:right w:val="single" w:sz="4" w:space="0" w:color="auto"/>
            </w:tcBorders>
            <w:vAlign w:val="center"/>
            <w:hideMark/>
          </w:tcPr>
          <w:p w14:paraId="6B6F50C8" w14:textId="77777777" w:rsidR="00AF7A86" w:rsidRPr="00E52FD3" w:rsidRDefault="00AF7A86">
            <w:pPr>
              <w:spacing w:before="0" w:after="0"/>
              <w:jc w:val="left"/>
              <w:rPr>
                <w:rFonts w:ascii="Wingdings" w:hAnsi="Wingdings" w:cs="Calibri"/>
                <w:b/>
                <w:bCs/>
                <w:noProof/>
                <w:color w:val="000000"/>
                <w:sz w:val="16"/>
                <w:szCs w:val="16"/>
                <w:lang w:val="en-IE" w:eastAsia="en-IE"/>
              </w:rPr>
            </w:pPr>
            <w:r w:rsidRPr="00E52FD3">
              <w:rPr>
                <w:rFonts w:ascii="Wingdings" w:hAnsi="Wingdings" w:cs="Calibri"/>
                <w:b/>
                <w:bCs/>
                <w:noProof/>
                <w:color w:val="000000"/>
                <w:sz w:val="16"/>
                <w:szCs w:val="16"/>
                <w:lang w:val="en-IE" w:eastAsia="en-IE"/>
              </w:rPr>
              <w:t></w:t>
            </w:r>
            <w:r w:rsidRPr="00E52FD3">
              <w:rPr>
                <w:b/>
                <w:bCs/>
                <w:noProof/>
                <w:color w:val="000000"/>
                <w:sz w:val="16"/>
                <w:szCs w:val="16"/>
                <w:lang w:val="en-IE" w:eastAsia="en-IE"/>
              </w:rPr>
              <w:t xml:space="preserve"> Establishment plan posts (officials and temporary staff)</w:t>
            </w:r>
          </w:p>
        </w:tc>
        <w:tc>
          <w:tcPr>
            <w:tcW w:w="831" w:type="dxa"/>
            <w:tcBorders>
              <w:top w:val="single" w:sz="8" w:space="0" w:color="auto"/>
              <w:left w:val="single" w:sz="4" w:space="0" w:color="auto"/>
              <w:bottom w:val="single" w:sz="8" w:space="0" w:color="auto"/>
              <w:right w:val="single" w:sz="4" w:space="0" w:color="auto"/>
            </w:tcBorders>
          </w:tcPr>
          <w:p w14:paraId="287AFE38" w14:textId="77777777" w:rsidR="00AF7A86" w:rsidRPr="00E52FD3" w:rsidRDefault="00AF7A86">
            <w:pPr>
              <w:spacing w:before="0" w:after="0"/>
              <w:jc w:val="left"/>
              <w:rPr>
                <w:rFonts w:ascii="Wingdings" w:hAnsi="Wingdings" w:cs="Calibri"/>
                <w:b/>
                <w:bCs/>
                <w:noProof/>
                <w:color w:val="000000"/>
                <w:sz w:val="16"/>
                <w:szCs w:val="16"/>
                <w:lang w:val="en-IE" w:eastAsia="en-IE"/>
              </w:rPr>
            </w:pPr>
          </w:p>
        </w:tc>
      </w:tr>
      <w:tr w:rsidR="00AF7A86" w:rsidRPr="00E52FD3" w14:paraId="39878C90"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31111102"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20 01 02 01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(Headquarters and Commission’s Representation Offices)</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76C634FE"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2CEBE81D"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7134737A" w14:textId="77777777" w:rsidR="00AF7A86" w:rsidRPr="00E52FD3" w:rsidRDefault="00AF7A86">
            <w:pPr>
              <w:spacing w:before="0" w:after="0"/>
              <w:jc w:val="center"/>
              <w:rPr>
                <w:noProof/>
                <w:color w:val="000000"/>
                <w:sz w:val="16"/>
                <w:szCs w:val="16"/>
                <w:lang w:val="en-IE" w:eastAsia="en-IE"/>
              </w:rPr>
            </w:pPr>
            <w:r>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043F1273" w14:textId="77777777" w:rsidR="00AF7A86" w:rsidRPr="00E52FD3" w:rsidRDefault="00AF7A86">
            <w:pPr>
              <w:spacing w:before="0" w:after="0"/>
              <w:jc w:val="center"/>
              <w:rPr>
                <w:noProof/>
                <w:color w:val="000000"/>
                <w:sz w:val="16"/>
                <w:szCs w:val="16"/>
                <w:lang w:val="en-IE" w:eastAsia="en-IE"/>
              </w:rPr>
            </w:pPr>
            <w:r>
              <w:rPr>
                <w:noProof/>
                <w:color w:val="000000"/>
                <w:sz w:val="16"/>
                <w:szCs w:val="16"/>
                <w:lang w:val="en-IE" w:eastAsia="en-IE"/>
              </w:rPr>
              <w:t>2</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02B37476" w14:textId="77777777" w:rsidR="00AF7A86" w:rsidRDefault="00AF7A86">
            <w:pPr>
              <w:spacing w:before="0" w:after="0"/>
              <w:jc w:val="center"/>
              <w:rPr>
                <w:noProof/>
                <w:color w:val="000000"/>
                <w:sz w:val="16"/>
                <w:szCs w:val="16"/>
                <w:lang w:val="en-IE" w:eastAsia="en-IE"/>
              </w:rPr>
            </w:pPr>
            <w:r>
              <w:rPr>
                <w:noProof/>
                <w:color w:val="000000"/>
                <w:sz w:val="16"/>
                <w:szCs w:val="16"/>
                <w:lang w:val="en-IE" w:eastAsia="en-IE"/>
              </w:rPr>
              <w:t>2</w:t>
            </w:r>
          </w:p>
        </w:tc>
      </w:tr>
      <w:tr w:rsidR="00AF7A86" w:rsidRPr="00E52FD3" w14:paraId="513AA785"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202844E9"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01 02 03 (EU Delegations)</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43E86BE5"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46801472"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3A9D349A"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3BF7D3F5"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2D8B39F1" w14:textId="77777777" w:rsidR="00AF7A86" w:rsidRPr="00E52FD3" w:rsidRDefault="00AF7A86">
            <w:pPr>
              <w:spacing w:before="0" w:after="0"/>
              <w:jc w:val="center"/>
              <w:rPr>
                <w:noProof/>
                <w:color w:val="000000"/>
                <w:sz w:val="16"/>
                <w:szCs w:val="16"/>
                <w:lang w:val="en-IE" w:eastAsia="en-IE"/>
              </w:rPr>
            </w:pPr>
          </w:p>
        </w:tc>
      </w:tr>
      <w:tr w:rsidR="00AF7A86" w:rsidRPr="00E52FD3" w14:paraId="653513A1"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52397268" w14:textId="77777777" w:rsidR="00AF7A86" w:rsidRPr="00E52FD3" w:rsidRDefault="00AF7A86">
            <w:pPr>
              <w:spacing w:before="0" w:after="0"/>
              <w:ind w:firstLineChars="100" w:firstLine="160"/>
              <w:jc w:val="left"/>
              <w:rPr>
                <w:noProof/>
                <w:color w:val="000000"/>
                <w:sz w:val="16"/>
                <w:szCs w:val="16"/>
                <w:highlight w:val="yellow"/>
                <w:lang w:val="en-IE" w:eastAsia="en-IE"/>
              </w:rPr>
            </w:pPr>
            <w:r w:rsidRPr="00A23738">
              <w:rPr>
                <w:noProof/>
                <w:color w:val="000000" w:themeColor="text1"/>
                <w:sz w:val="16"/>
                <w:szCs w:val="16"/>
                <w:lang w:val="en-IE" w:eastAsia="en-IE"/>
              </w:rPr>
              <w:t>01 01 01 01</w:t>
            </w:r>
            <w:r w:rsidRPr="00A23738">
              <w:rPr>
                <w:rFonts w:ascii="Arial Narrow" w:hAnsi="Arial Narrow"/>
                <w:noProof/>
                <w:color w:val="000000" w:themeColor="text1"/>
                <w:sz w:val="20"/>
                <w:szCs w:val="20"/>
                <w:lang w:val="en-IE" w:eastAsia="en-IE"/>
              </w:rPr>
              <w:t xml:space="preserve"> </w:t>
            </w:r>
            <w:r w:rsidRPr="00A23738">
              <w:rPr>
                <w:noProof/>
                <w:color w:val="000000" w:themeColor="text1"/>
                <w:sz w:val="16"/>
                <w:szCs w:val="16"/>
                <w:lang w:val="en-IE" w:eastAsia="en-IE"/>
              </w:rPr>
              <w:t>(Indirect research)</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00E6D880"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330C5C60"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7C40995A"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55480C2A"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4807903B" w14:textId="77777777" w:rsidR="00AF7A86" w:rsidRPr="00E52FD3" w:rsidRDefault="00AF7A86">
            <w:pPr>
              <w:spacing w:before="0" w:after="0"/>
              <w:jc w:val="center"/>
              <w:rPr>
                <w:noProof/>
                <w:color w:val="000000"/>
                <w:sz w:val="16"/>
                <w:szCs w:val="16"/>
                <w:lang w:val="en-IE" w:eastAsia="en-IE"/>
              </w:rPr>
            </w:pPr>
          </w:p>
        </w:tc>
      </w:tr>
      <w:tr w:rsidR="00AF7A86" w:rsidRPr="00E52FD3" w14:paraId="31AE604F"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403EEC6B"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11 (Direct research)</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4900920C"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35EFB3A5"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47CBA040"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69CF92E3" w14:textId="77777777" w:rsidR="00AF7A86" w:rsidRPr="00E52FD3" w:rsidRDefault="00AF7A86">
            <w:pPr>
              <w:spacing w:before="0" w:after="0"/>
              <w:jc w:val="center"/>
              <w:rPr>
                <w:noProof/>
                <w:color w:val="000000"/>
                <w:sz w:val="16"/>
                <w:szCs w:val="16"/>
                <w:lang w:val="en-IE" w:eastAsia="en-IE"/>
              </w:rPr>
            </w:pPr>
            <w:r>
              <w:rPr>
                <w:noProof/>
                <w:color w:val="000000"/>
                <w:sz w:val="16"/>
                <w:szCs w:val="16"/>
                <w:lang w:val="en-IE" w:eastAsia="en-IE"/>
              </w:rPr>
              <w:t>4</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5B42EDEC" w14:textId="77777777" w:rsidR="00AF7A86" w:rsidRPr="00E52FD3" w:rsidRDefault="00AF7A86">
            <w:pPr>
              <w:spacing w:before="0" w:after="0"/>
              <w:jc w:val="center"/>
              <w:rPr>
                <w:noProof/>
                <w:color w:val="000000"/>
                <w:sz w:val="16"/>
                <w:szCs w:val="16"/>
                <w:lang w:val="en-IE" w:eastAsia="en-IE"/>
              </w:rPr>
            </w:pPr>
            <w:r>
              <w:rPr>
                <w:noProof/>
                <w:color w:val="000000"/>
                <w:sz w:val="16"/>
                <w:szCs w:val="16"/>
                <w:lang w:val="en-IE" w:eastAsia="en-IE"/>
              </w:rPr>
              <w:t>4</w:t>
            </w:r>
          </w:p>
        </w:tc>
      </w:tr>
      <w:tr w:rsidR="00AF7A86" w:rsidRPr="00E52FD3" w14:paraId="14550A9E"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09B18DEB"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7B9E3454"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7F4A710C"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65DFE759"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59BB2343"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7B44AAB0" w14:textId="77777777" w:rsidR="00AF7A86" w:rsidRPr="00E52FD3" w:rsidRDefault="00AF7A86">
            <w:pPr>
              <w:spacing w:before="0" w:after="0"/>
              <w:jc w:val="center"/>
              <w:rPr>
                <w:noProof/>
                <w:color w:val="000000"/>
                <w:sz w:val="16"/>
                <w:szCs w:val="16"/>
                <w:lang w:val="en-IE" w:eastAsia="en-IE"/>
              </w:rPr>
            </w:pPr>
          </w:p>
        </w:tc>
      </w:tr>
      <w:tr w:rsidR="00AF7A86" w:rsidRPr="00E52FD3" w14:paraId="74DB1086" w14:textId="77777777">
        <w:trPr>
          <w:trHeight w:val="300"/>
        </w:trPr>
        <w:tc>
          <w:tcPr>
            <w:tcW w:w="8458" w:type="dxa"/>
            <w:gridSpan w:val="6"/>
            <w:tcBorders>
              <w:top w:val="single" w:sz="4" w:space="0" w:color="auto"/>
              <w:left w:val="single" w:sz="4" w:space="0" w:color="auto"/>
              <w:bottom w:val="single" w:sz="4" w:space="0" w:color="auto"/>
              <w:right w:val="single" w:sz="4" w:space="0" w:color="auto"/>
            </w:tcBorders>
            <w:vAlign w:val="center"/>
            <w:hideMark/>
          </w:tcPr>
          <w:p w14:paraId="1D84F970" w14:textId="77777777" w:rsidR="00AF7A86" w:rsidRPr="00E52FD3" w:rsidRDefault="00AF7A86">
            <w:pPr>
              <w:spacing w:before="0" w:after="0"/>
              <w:jc w:val="left"/>
              <w:rPr>
                <w:rFonts w:ascii="Wingdings" w:hAnsi="Wingdings" w:cs="Calibri"/>
                <w:b/>
                <w:bCs/>
                <w:noProof/>
                <w:color w:val="000000"/>
                <w:sz w:val="16"/>
                <w:szCs w:val="16"/>
                <w:lang w:val="en-IE" w:eastAsia="en-IE"/>
              </w:rPr>
            </w:pPr>
            <w:r w:rsidRPr="00E52FD3">
              <w:rPr>
                <w:rFonts w:ascii="Calibri" w:hAnsi="Calibri" w:cs="Calibri"/>
                <w:b/>
                <w:bCs/>
                <w:noProof/>
                <w:color w:val="000000"/>
                <w:sz w:val="16"/>
                <w:szCs w:val="16"/>
                <w:lang w:val="en-IE" w:eastAsia="en-IE"/>
              </w:rPr>
              <w:t>•</w:t>
            </w:r>
            <w:r w:rsidRPr="00E52FD3">
              <w:rPr>
                <w:b/>
                <w:bCs/>
                <w:noProof/>
                <w:color w:val="000000"/>
                <w:sz w:val="16"/>
                <w:szCs w:val="16"/>
                <w:lang w:val="en-IE" w:eastAsia="en-IE"/>
              </w:rPr>
              <w:t xml:space="preserve"> External staff (in </w:t>
            </w:r>
            <w:r>
              <w:rPr>
                <w:b/>
                <w:bCs/>
                <w:noProof/>
                <w:color w:val="000000"/>
                <w:sz w:val="16"/>
                <w:szCs w:val="16"/>
                <w:lang w:val="en-IE" w:eastAsia="en-IE"/>
              </w:rPr>
              <w:t>f</w:t>
            </w:r>
            <w:r w:rsidRPr="00E52FD3">
              <w:rPr>
                <w:b/>
                <w:bCs/>
                <w:noProof/>
                <w:color w:val="000000"/>
                <w:sz w:val="16"/>
                <w:szCs w:val="16"/>
                <w:lang w:val="en-IE" w:eastAsia="en-IE"/>
              </w:rPr>
              <w:t xml:space="preserve">ull </w:t>
            </w:r>
            <w:r>
              <w:rPr>
                <w:b/>
                <w:bCs/>
                <w:noProof/>
                <w:color w:val="000000"/>
                <w:sz w:val="16"/>
                <w:szCs w:val="16"/>
                <w:lang w:val="en-IE" w:eastAsia="en-IE"/>
              </w:rPr>
              <w:t>t</w:t>
            </w:r>
            <w:r w:rsidRPr="00E52FD3">
              <w:rPr>
                <w:b/>
                <w:bCs/>
                <w:noProof/>
                <w:color w:val="000000"/>
                <w:sz w:val="16"/>
                <w:szCs w:val="16"/>
                <w:lang w:val="en-IE" w:eastAsia="en-IE"/>
              </w:rPr>
              <w:t xml:space="preserve">ime </w:t>
            </w:r>
            <w:r>
              <w:rPr>
                <w:b/>
                <w:bCs/>
                <w:noProof/>
                <w:color w:val="000000"/>
                <w:sz w:val="16"/>
                <w:szCs w:val="16"/>
                <w:lang w:val="en-IE" w:eastAsia="en-IE"/>
              </w:rPr>
              <w:t>e</w:t>
            </w:r>
            <w:r w:rsidRPr="00E52FD3">
              <w:rPr>
                <w:b/>
                <w:bCs/>
                <w:noProof/>
                <w:color w:val="000000"/>
                <w:sz w:val="16"/>
                <w:szCs w:val="16"/>
                <w:lang w:val="en-IE" w:eastAsia="en-IE"/>
              </w:rPr>
              <w:t>quivalent unit</w:t>
            </w:r>
            <w:r>
              <w:rPr>
                <w:b/>
                <w:bCs/>
                <w:noProof/>
                <w:color w:val="000000"/>
                <w:sz w:val="16"/>
                <w:szCs w:val="16"/>
                <w:lang w:val="en-IE" w:eastAsia="en-IE"/>
              </w:rPr>
              <w:t>s</w:t>
            </w:r>
            <w:r w:rsidRPr="00E52FD3">
              <w:rPr>
                <w:b/>
                <w:bCs/>
                <w:noProof/>
                <w:color w:val="000000"/>
                <w:sz w:val="16"/>
                <w:szCs w:val="16"/>
                <w:lang w:val="en-IE" w:eastAsia="en-IE"/>
              </w:rPr>
              <w:t>)</w:t>
            </w:r>
          </w:p>
        </w:tc>
        <w:tc>
          <w:tcPr>
            <w:tcW w:w="831" w:type="dxa"/>
            <w:tcBorders>
              <w:top w:val="single" w:sz="8" w:space="0" w:color="auto"/>
              <w:left w:val="single" w:sz="4" w:space="0" w:color="auto"/>
              <w:bottom w:val="single" w:sz="8" w:space="0" w:color="auto"/>
              <w:right w:val="single" w:sz="4" w:space="0" w:color="auto"/>
            </w:tcBorders>
            <w:vAlign w:val="center"/>
          </w:tcPr>
          <w:p w14:paraId="1161ED58" w14:textId="77777777" w:rsidR="00AF7A86" w:rsidRPr="00E52FD3" w:rsidRDefault="00AF7A86">
            <w:pPr>
              <w:spacing w:before="0" w:after="0"/>
              <w:jc w:val="center"/>
              <w:rPr>
                <w:rFonts w:ascii="Calibri" w:hAnsi="Calibri" w:cs="Calibri"/>
                <w:b/>
                <w:bCs/>
                <w:noProof/>
                <w:color w:val="000000"/>
                <w:sz w:val="16"/>
                <w:szCs w:val="16"/>
                <w:lang w:val="en-IE" w:eastAsia="en-IE"/>
              </w:rPr>
            </w:pPr>
          </w:p>
        </w:tc>
      </w:tr>
      <w:tr w:rsidR="00AF7A86" w:rsidRPr="00E52FD3" w14:paraId="24039DF7"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1315D06E"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20 02 01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(AC, END from the ‘global envelope’)</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46E9C73B"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118CEFEA"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66DC9070"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369E0DE0"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68872782" w14:textId="77777777" w:rsidR="00AF7A86" w:rsidRPr="00E52FD3" w:rsidRDefault="00AF7A86">
            <w:pPr>
              <w:spacing w:before="0" w:after="0"/>
              <w:jc w:val="center"/>
              <w:rPr>
                <w:noProof/>
                <w:color w:val="000000"/>
                <w:sz w:val="16"/>
                <w:szCs w:val="16"/>
                <w:lang w:val="en-IE" w:eastAsia="en-IE"/>
              </w:rPr>
            </w:pPr>
          </w:p>
        </w:tc>
      </w:tr>
      <w:tr w:rsidR="00AF7A86" w:rsidRPr="00E52FD3" w14:paraId="24F9C266"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39CFCA3F"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02 03 (AC, AL, END and JPD in the EU Delegations)</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738EB198"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444004D6"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67065FE1"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7A992848"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60AB416C" w14:textId="77777777" w:rsidR="00AF7A86" w:rsidRPr="00E52FD3" w:rsidRDefault="00AF7A86">
            <w:pPr>
              <w:spacing w:before="0" w:after="0"/>
              <w:jc w:val="center"/>
              <w:rPr>
                <w:noProof/>
                <w:color w:val="000000"/>
                <w:sz w:val="16"/>
                <w:szCs w:val="16"/>
                <w:lang w:val="en-IE" w:eastAsia="en-IE"/>
              </w:rPr>
            </w:pPr>
          </w:p>
        </w:tc>
      </w:tr>
      <w:tr w:rsidR="00AF7A86" w:rsidRPr="00E52FD3" w14:paraId="55F28DF4" w14:textId="77777777">
        <w:trPr>
          <w:trHeight w:val="300"/>
        </w:trPr>
        <w:tc>
          <w:tcPr>
            <w:tcW w:w="1463" w:type="dxa"/>
            <w:vMerge w:val="restart"/>
            <w:tcBorders>
              <w:top w:val="single" w:sz="4" w:space="0" w:color="auto"/>
              <w:left w:val="single" w:sz="4" w:space="0" w:color="auto"/>
              <w:bottom w:val="single" w:sz="4" w:space="0" w:color="auto"/>
              <w:right w:val="single" w:sz="4" w:space="0" w:color="auto"/>
            </w:tcBorders>
            <w:vAlign w:val="center"/>
            <w:hideMark/>
          </w:tcPr>
          <w:p w14:paraId="1CA387B1"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Admin. Support line</w:t>
            </w:r>
            <w:r>
              <w:rPr>
                <w:noProof/>
                <w:color w:val="000000"/>
                <w:sz w:val="16"/>
                <w:szCs w:val="16"/>
                <w:lang w:val="en-IE" w:eastAsia="en-IE"/>
              </w:rPr>
              <w:t xml:space="preserve"> </w:t>
            </w:r>
            <w:r w:rsidRPr="00E52FD3">
              <w:rPr>
                <w:noProof/>
                <w:color w:val="000000"/>
                <w:sz w:val="16"/>
                <w:szCs w:val="16"/>
                <w:lang w:val="en-IE" w:eastAsia="en-IE"/>
              </w:rPr>
              <w:br/>
              <w:t>[XX.01.YY.YY]</w:t>
            </w:r>
          </w:p>
        </w:tc>
        <w:tc>
          <w:tcPr>
            <w:tcW w:w="3372" w:type="dxa"/>
            <w:tcBorders>
              <w:top w:val="single" w:sz="4" w:space="0" w:color="auto"/>
              <w:left w:val="single" w:sz="4" w:space="0" w:color="auto"/>
              <w:bottom w:val="single" w:sz="4" w:space="0" w:color="auto"/>
              <w:right w:val="single" w:sz="4" w:space="0" w:color="auto"/>
            </w:tcBorders>
            <w:vAlign w:val="center"/>
            <w:hideMark/>
          </w:tcPr>
          <w:p w14:paraId="48995376"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at Headquarters</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3D23BE9E"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1F548AB1"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0959733C"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47A66A7C"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564FFEE5" w14:textId="77777777" w:rsidR="00AF7A86" w:rsidRPr="00E52FD3" w:rsidRDefault="00AF7A86">
            <w:pPr>
              <w:spacing w:before="0" w:after="0"/>
              <w:jc w:val="center"/>
              <w:rPr>
                <w:noProof/>
                <w:color w:val="000000"/>
                <w:sz w:val="16"/>
                <w:szCs w:val="16"/>
                <w:lang w:val="en-IE" w:eastAsia="en-IE"/>
              </w:rPr>
            </w:pPr>
          </w:p>
        </w:tc>
      </w:tr>
      <w:tr w:rsidR="00AF7A86" w:rsidRPr="00E52FD3" w14:paraId="0E0968A0" w14:textId="77777777">
        <w:trPr>
          <w:trHeight w:val="300"/>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553C9FA8" w14:textId="77777777" w:rsidR="00AF7A86" w:rsidRPr="00E52FD3" w:rsidRDefault="00AF7A86">
            <w:pPr>
              <w:spacing w:before="0" w:after="0"/>
              <w:jc w:val="left"/>
              <w:rPr>
                <w:noProof/>
                <w:color w:val="000000"/>
                <w:sz w:val="16"/>
                <w:szCs w:val="16"/>
                <w:lang w:val="en-IE" w:eastAsia="en-IE"/>
              </w:rPr>
            </w:pPr>
          </w:p>
        </w:tc>
        <w:tc>
          <w:tcPr>
            <w:tcW w:w="3372" w:type="dxa"/>
            <w:tcBorders>
              <w:top w:val="single" w:sz="4" w:space="0" w:color="auto"/>
              <w:left w:val="single" w:sz="4" w:space="0" w:color="auto"/>
              <w:bottom w:val="single" w:sz="4" w:space="0" w:color="auto"/>
              <w:right w:val="single" w:sz="4" w:space="0" w:color="auto"/>
            </w:tcBorders>
            <w:vAlign w:val="center"/>
            <w:hideMark/>
          </w:tcPr>
          <w:p w14:paraId="11C5DDF4"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xml:space="preserve">- in EU Delegations </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6EE09F06"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3A418AA9"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7F715B5E"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3ACB2D85"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1F9E1146" w14:textId="77777777" w:rsidR="00AF7A86" w:rsidRPr="00E52FD3" w:rsidRDefault="00AF7A86">
            <w:pPr>
              <w:spacing w:before="0" w:after="0"/>
              <w:jc w:val="center"/>
              <w:rPr>
                <w:noProof/>
                <w:color w:val="000000"/>
                <w:sz w:val="16"/>
                <w:szCs w:val="16"/>
                <w:lang w:val="en-IE" w:eastAsia="en-IE"/>
              </w:rPr>
            </w:pPr>
          </w:p>
        </w:tc>
      </w:tr>
      <w:tr w:rsidR="00AF7A86" w:rsidRPr="00E52FD3" w14:paraId="71C32162"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19FF6C76" w14:textId="77777777" w:rsidR="00AF7A86" w:rsidRPr="00A23738" w:rsidRDefault="00AF7A86">
            <w:pPr>
              <w:spacing w:before="0" w:after="0"/>
              <w:ind w:firstLineChars="100" w:firstLine="160"/>
              <w:jc w:val="left"/>
              <w:rPr>
                <w:noProof/>
                <w:color w:val="000000"/>
                <w:sz w:val="16"/>
                <w:szCs w:val="16"/>
                <w:lang w:val="en-IE" w:eastAsia="en-IE"/>
              </w:rPr>
            </w:pPr>
            <w:r w:rsidRPr="00A23738">
              <w:rPr>
                <w:noProof/>
                <w:color w:val="000000" w:themeColor="text1"/>
                <w:sz w:val="16"/>
                <w:szCs w:val="16"/>
                <w:lang w:val="en-IE" w:eastAsia="en-IE"/>
              </w:rPr>
              <w:t>01 01 01 02</w:t>
            </w:r>
            <w:r w:rsidRPr="00A23738">
              <w:rPr>
                <w:rFonts w:ascii="Arial Narrow" w:hAnsi="Arial Narrow"/>
                <w:noProof/>
                <w:color w:val="000000" w:themeColor="text1"/>
                <w:sz w:val="20"/>
                <w:szCs w:val="20"/>
                <w:lang w:val="en-IE" w:eastAsia="en-IE"/>
              </w:rPr>
              <w:t xml:space="preserve"> </w:t>
            </w:r>
            <w:r w:rsidRPr="00A23738">
              <w:rPr>
                <w:noProof/>
                <w:color w:val="000000" w:themeColor="text1"/>
                <w:sz w:val="16"/>
                <w:szCs w:val="16"/>
                <w:lang w:val="en-IE" w:eastAsia="en-IE"/>
              </w:rPr>
              <w:t>(AC, END - Indirect research)</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76F0B664"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0B921E21"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7F9A9EF1"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69D08446"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7F6F7407" w14:textId="77777777" w:rsidR="00AF7A86" w:rsidRPr="00E52FD3" w:rsidRDefault="00AF7A86">
            <w:pPr>
              <w:spacing w:before="0" w:after="0"/>
              <w:jc w:val="center"/>
              <w:rPr>
                <w:noProof/>
                <w:color w:val="000000"/>
                <w:sz w:val="16"/>
                <w:szCs w:val="16"/>
                <w:lang w:val="en-IE" w:eastAsia="en-IE"/>
              </w:rPr>
            </w:pPr>
          </w:p>
        </w:tc>
      </w:tr>
      <w:tr w:rsidR="00AF7A86" w:rsidRPr="00E52FD3" w14:paraId="0480680F"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65E49BB8"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xml:space="preserve"> 01 01 01 12 (AC, END - Direct research)</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0E36CA13"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66F2E16A"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0EBE8749"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3E58C4F3"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6E88786A" w14:textId="77777777" w:rsidR="00AF7A86" w:rsidRPr="00E52FD3" w:rsidRDefault="00AF7A86">
            <w:pPr>
              <w:spacing w:before="0" w:after="0"/>
              <w:jc w:val="center"/>
              <w:rPr>
                <w:noProof/>
                <w:color w:val="000000"/>
                <w:sz w:val="16"/>
                <w:szCs w:val="16"/>
                <w:lang w:val="en-IE" w:eastAsia="en-IE"/>
              </w:rPr>
            </w:pPr>
          </w:p>
        </w:tc>
      </w:tr>
      <w:tr w:rsidR="00AF7A86" w:rsidRPr="00E52FD3" w14:paraId="5342B6CA"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4D24AA24"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 - Heading 7</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12A004BE"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1FE2A273"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547EDCCF"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21E9D289"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223E8360" w14:textId="77777777" w:rsidR="00AF7A86" w:rsidRPr="00E52FD3" w:rsidRDefault="00AF7A86">
            <w:pPr>
              <w:spacing w:before="0" w:after="0"/>
              <w:jc w:val="center"/>
              <w:rPr>
                <w:noProof/>
                <w:color w:val="000000"/>
                <w:sz w:val="16"/>
                <w:szCs w:val="16"/>
                <w:lang w:val="en-IE" w:eastAsia="en-IE"/>
              </w:rPr>
            </w:pPr>
          </w:p>
        </w:tc>
      </w:tr>
      <w:tr w:rsidR="00AF7A86" w:rsidRPr="00E52FD3" w14:paraId="4A9E4819"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416B5713" w14:textId="77777777" w:rsidR="00AF7A86" w:rsidRPr="00E52FD3" w:rsidRDefault="00AF7A86">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w:t>
            </w:r>
            <w:r w:rsidRPr="0047549F">
              <w:rPr>
                <w:noProof/>
                <w:color w:val="000000"/>
                <w:sz w:val="16"/>
                <w:szCs w:val="16"/>
                <w:lang w:val="en-IE" w:eastAsia="en-IE"/>
              </w:rPr>
              <w:t xml:space="preserve">02 01 22 01 Support expenditure for CEF-E </w:t>
            </w:r>
            <w:r w:rsidRPr="00E52FD3">
              <w:rPr>
                <w:noProof/>
                <w:color w:val="000000"/>
                <w:sz w:val="16"/>
                <w:szCs w:val="16"/>
                <w:lang w:val="en-IE" w:eastAsia="en-IE"/>
              </w:rPr>
              <w:t>) - Outside Heading 7</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4DF838C3"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46A667E8"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78ED0BAA" w14:textId="77777777" w:rsidR="00AF7A86" w:rsidRPr="00E52FD3" w:rsidRDefault="00AF7A86">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38E5778A" w14:textId="77777777" w:rsidR="00AF7A86" w:rsidRPr="00E52FD3" w:rsidRDefault="00AF7A86">
            <w:pPr>
              <w:spacing w:before="0" w:after="0"/>
              <w:jc w:val="center"/>
              <w:rPr>
                <w:noProof/>
                <w:color w:val="000000"/>
                <w:sz w:val="16"/>
                <w:szCs w:val="16"/>
                <w:lang w:val="en-IE" w:eastAsia="en-IE"/>
              </w:rPr>
            </w:pPr>
            <w:r>
              <w:rPr>
                <w:noProof/>
                <w:color w:val="000000"/>
                <w:sz w:val="16"/>
                <w:szCs w:val="16"/>
                <w:lang w:val="en-IE" w:eastAsia="en-IE"/>
              </w:rPr>
              <w:t>4</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5627A97F" w14:textId="77777777" w:rsidR="00AF7A86" w:rsidRDefault="00AF7A86">
            <w:pPr>
              <w:spacing w:before="0" w:after="0"/>
              <w:jc w:val="center"/>
              <w:rPr>
                <w:noProof/>
                <w:color w:val="000000"/>
                <w:sz w:val="16"/>
                <w:szCs w:val="16"/>
                <w:lang w:val="en-IE" w:eastAsia="en-IE"/>
              </w:rPr>
            </w:pPr>
            <w:r>
              <w:rPr>
                <w:noProof/>
                <w:color w:val="000000"/>
                <w:sz w:val="16"/>
                <w:szCs w:val="16"/>
                <w:lang w:val="en-IE" w:eastAsia="en-IE"/>
              </w:rPr>
              <w:t>4</w:t>
            </w:r>
          </w:p>
        </w:tc>
      </w:tr>
      <w:tr w:rsidR="00AF7A86" w:rsidRPr="00E52FD3" w14:paraId="3DBE47C3" w14:textId="77777777">
        <w:trPr>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14:paraId="3540D48E" w14:textId="77777777" w:rsidR="00AF7A86" w:rsidRPr="00E52FD3" w:rsidRDefault="00AF7A86">
            <w:pPr>
              <w:spacing w:before="0" w:after="0"/>
              <w:ind w:firstLineChars="100" w:firstLine="160"/>
              <w:jc w:val="left"/>
              <w:rPr>
                <w:b/>
                <w:bCs/>
                <w:noProof/>
                <w:color w:val="000000"/>
                <w:sz w:val="16"/>
                <w:szCs w:val="16"/>
                <w:lang w:val="en-IE" w:eastAsia="en-IE"/>
              </w:rPr>
            </w:pPr>
            <w:r w:rsidRPr="00E52FD3">
              <w:rPr>
                <w:b/>
                <w:bCs/>
                <w:noProof/>
                <w:color w:val="000000"/>
                <w:sz w:val="16"/>
                <w:szCs w:val="16"/>
                <w:lang w:val="en-IE" w:eastAsia="en-IE"/>
              </w:rPr>
              <w:t>TOTAL</w:t>
            </w:r>
          </w:p>
        </w:tc>
        <w:tc>
          <w:tcPr>
            <w:tcW w:w="90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13270D87" w14:textId="77777777" w:rsidR="00AF7A86" w:rsidRPr="00E52FD3" w:rsidRDefault="00AF7A86">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5C3EA186" w14:textId="77777777" w:rsidR="00AF7A86" w:rsidRPr="00E52FD3" w:rsidRDefault="00AF7A86">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900" w:type="dxa"/>
            <w:tcBorders>
              <w:top w:val="nil"/>
              <w:left w:val="nil"/>
              <w:bottom w:val="single" w:sz="8" w:space="0" w:color="auto"/>
              <w:right w:val="single" w:sz="8" w:space="0" w:color="auto"/>
            </w:tcBorders>
            <w:shd w:val="clear" w:color="auto" w:fill="D9D9D9" w:themeFill="background1" w:themeFillShade="D9"/>
            <w:vAlign w:val="center"/>
            <w:hideMark/>
          </w:tcPr>
          <w:p w14:paraId="69C77555" w14:textId="77777777" w:rsidR="00AF7A86" w:rsidRPr="00E52FD3" w:rsidRDefault="00AF7A86">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923" w:type="dxa"/>
            <w:tcBorders>
              <w:top w:val="nil"/>
              <w:left w:val="nil"/>
              <w:bottom w:val="single" w:sz="8" w:space="0" w:color="auto"/>
              <w:right w:val="single" w:sz="8" w:space="0" w:color="auto"/>
            </w:tcBorders>
            <w:shd w:val="clear" w:color="auto" w:fill="D9D9D9" w:themeFill="background1" w:themeFillShade="D9"/>
            <w:vAlign w:val="center"/>
            <w:hideMark/>
          </w:tcPr>
          <w:p w14:paraId="23ED2E0C" w14:textId="77777777" w:rsidR="00AF7A86" w:rsidRPr="00E52FD3" w:rsidRDefault="00AF7A86">
            <w:pPr>
              <w:spacing w:before="0" w:after="0"/>
              <w:jc w:val="center"/>
              <w:rPr>
                <w:b/>
                <w:bCs/>
                <w:noProof/>
                <w:color w:val="000000"/>
                <w:sz w:val="16"/>
                <w:szCs w:val="16"/>
                <w:lang w:val="en-IE" w:eastAsia="en-IE"/>
              </w:rPr>
            </w:pPr>
            <w:r>
              <w:rPr>
                <w:b/>
                <w:bCs/>
                <w:noProof/>
                <w:color w:val="000000"/>
                <w:sz w:val="16"/>
                <w:szCs w:val="16"/>
                <w:lang w:val="en-IE" w:eastAsia="en-IE"/>
              </w:rPr>
              <w:t>10</w:t>
            </w:r>
          </w:p>
        </w:tc>
        <w:tc>
          <w:tcPr>
            <w:tcW w:w="831" w:type="dxa"/>
            <w:tcBorders>
              <w:top w:val="nil"/>
              <w:left w:val="nil"/>
              <w:bottom w:val="single" w:sz="8" w:space="0" w:color="auto"/>
              <w:right w:val="single" w:sz="8" w:space="0" w:color="auto"/>
            </w:tcBorders>
            <w:shd w:val="clear" w:color="auto" w:fill="D9D9D9" w:themeFill="background1" w:themeFillShade="D9"/>
            <w:vAlign w:val="center"/>
          </w:tcPr>
          <w:p w14:paraId="5D0C58FA" w14:textId="77777777" w:rsidR="00AF7A86" w:rsidRDefault="00AF7A86">
            <w:pPr>
              <w:spacing w:before="0" w:after="0"/>
              <w:jc w:val="center"/>
              <w:rPr>
                <w:b/>
                <w:bCs/>
                <w:noProof/>
                <w:color w:val="000000"/>
                <w:sz w:val="16"/>
                <w:szCs w:val="16"/>
                <w:lang w:val="en-IE" w:eastAsia="en-IE"/>
              </w:rPr>
            </w:pPr>
            <w:r>
              <w:rPr>
                <w:b/>
                <w:bCs/>
                <w:noProof/>
                <w:color w:val="000000"/>
                <w:sz w:val="16"/>
                <w:szCs w:val="16"/>
                <w:lang w:val="en-IE" w:eastAsia="en-IE"/>
              </w:rPr>
              <w:t>10</w:t>
            </w:r>
          </w:p>
        </w:tc>
      </w:tr>
    </w:tbl>
    <w:p w14:paraId="47D3CE9E" w14:textId="77777777" w:rsidR="00AF7A86" w:rsidRPr="001073B2" w:rsidRDefault="00AF7A86" w:rsidP="00AF7A86">
      <w:pPr>
        <w:pStyle w:val="Text1"/>
        <w:ind w:left="-426"/>
        <w:rPr>
          <w:noProof/>
          <w:color w:val="000000" w:themeColor="text1"/>
        </w:rPr>
      </w:pPr>
    </w:p>
    <w:tbl>
      <w:tblPr>
        <w:tblStyle w:val="TableGrid"/>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993"/>
        <w:gridCol w:w="1747"/>
        <w:gridCol w:w="1938"/>
        <w:gridCol w:w="1748"/>
      </w:tblGrid>
      <w:tr w:rsidR="00AF7A86" w14:paraId="2AF43296" w14:textId="77777777" w:rsidTr="00E04EF1">
        <w:tc>
          <w:tcPr>
            <w:tcW w:w="2061" w:type="dxa"/>
          </w:tcPr>
          <w:p w14:paraId="23AA67E1" w14:textId="77777777" w:rsidR="00AF7A86" w:rsidRPr="00310A4B" w:rsidRDefault="00AF7A86">
            <w:pPr>
              <w:pStyle w:val="Text1"/>
              <w:ind w:left="0"/>
              <w:jc w:val="center"/>
              <w:rPr>
                <w:b/>
                <w:bCs/>
                <w:noProof/>
                <w:sz w:val="22"/>
                <w:szCs w:val="28"/>
              </w:rPr>
            </w:pPr>
          </w:p>
        </w:tc>
        <w:tc>
          <w:tcPr>
            <w:tcW w:w="1993" w:type="dxa"/>
          </w:tcPr>
          <w:p w14:paraId="5B5FEC77" w14:textId="77777777" w:rsidR="00AF7A86" w:rsidRPr="00310A4B" w:rsidRDefault="00AF7A86">
            <w:pPr>
              <w:pStyle w:val="Text1"/>
              <w:ind w:left="0"/>
              <w:jc w:val="center"/>
              <w:rPr>
                <w:b/>
                <w:bCs/>
                <w:noProof/>
                <w:sz w:val="22"/>
                <w:szCs w:val="28"/>
              </w:rPr>
            </w:pPr>
            <w:r>
              <w:rPr>
                <w:b/>
                <w:bCs/>
                <w:noProof/>
                <w:sz w:val="22"/>
                <w:szCs w:val="28"/>
              </w:rPr>
              <w:t>Current staff available in the Commission services</w:t>
            </w:r>
          </w:p>
        </w:tc>
        <w:tc>
          <w:tcPr>
            <w:tcW w:w="5433" w:type="dxa"/>
            <w:gridSpan w:val="3"/>
          </w:tcPr>
          <w:p w14:paraId="09FF873F" w14:textId="77777777" w:rsidR="00AF7A86" w:rsidRPr="00310A4B" w:rsidRDefault="00AF7A86">
            <w:pPr>
              <w:pStyle w:val="Text1"/>
              <w:ind w:left="0"/>
              <w:jc w:val="center"/>
              <w:rPr>
                <w:b/>
                <w:bCs/>
                <w:noProof/>
                <w:sz w:val="22"/>
                <w:szCs w:val="28"/>
              </w:rPr>
            </w:pPr>
            <w:r w:rsidRPr="00310A4B">
              <w:rPr>
                <w:b/>
                <w:bCs/>
                <w:noProof/>
                <w:sz w:val="22"/>
                <w:szCs w:val="28"/>
              </w:rPr>
              <w:t>Additional staff</w:t>
            </w:r>
            <w:r>
              <w:rPr>
                <w:b/>
                <w:bCs/>
                <w:noProof/>
                <w:sz w:val="22"/>
                <w:szCs w:val="28"/>
              </w:rPr>
              <w:t>*</w:t>
            </w:r>
          </w:p>
        </w:tc>
      </w:tr>
      <w:tr w:rsidR="00AF7A86" w14:paraId="27F47EF9" w14:textId="77777777" w:rsidTr="00E04EF1">
        <w:tc>
          <w:tcPr>
            <w:tcW w:w="2061" w:type="dxa"/>
          </w:tcPr>
          <w:p w14:paraId="75456EE5" w14:textId="77777777" w:rsidR="00AF7A86" w:rsidRPr="00310A4B" w:rsidRDefault="00AF7A86">
            <w:pPr>
              <w:pStyle w:val="Text1"/>
              <w:ind w:left="0"/>
              <w:jc w:val="center"/>
              <w:rPr>
                <w:b/>
                <w:bCs/>
                <w:noProof/>
                <w:sz w:val="22"/>
                <w:szCs w:val="28"/>
              </w:rPr>
            </w:pPr>
          </w:p>
        </w:tc>
        <w:tc>
          <w:tcPr>
            <w:tcW w:w="1993" w:type="dxa"/>
          </w:tcPr>
          <w:p w14:paraId="03BC2F32" w14:textId="77777777" w:rsidR="00AF7A86" w:rsidRPr="00310A4B" w:rsidRDefault="00AF7A86">
            <w:pPr>
              <w:pStyle w:val="Text1"/>
              <w:ind w:left="0"/>
              <w:jc w:val="center"/>
              <w:rPr>
                <w:b/>
                <w:bCs/>
                <w:noProof/>
                <w:sz w:val="22"/>
                <w:szCs w:val="28"/>
              </w:rPr>
            </w:pPr>
          </w:p>
        </w:tc>
        <w:tc>
          <w:tcPr>
            <w:tcW w:w="1747" w:type="dxa"/>
          </w:tcPr>
          <w:p w14:paraId="656B4922" w14:textId="77777777" w:rsidR="00AF7A86" w:rsidRPr="00310A4B" w:rsidRDefault="00AF7A86">
            <w:pPr>
              <w:pStyle w:val="Text1"/>
              <w:ind w:left="0"/>
              <w:jc w:val="center"/>
              <w:rPr>
                <w:b/>
                <w:bCs/>
                <w:noProof/>
                <w:sz w:val="22"/>
                <w:szCs w:val="28"/>
              </w:rPr>
            </w:pPr>
            <w:r w:rsidRPr="00310A4B">
              <w:rPr>
                <w:b/>
                <w:bCs/>
                <w:noProof/>
                <w:sz w:val="22"/>
                <w:szCs w:val="28"/>
              </w:rPr>
              <w:t xml:space="preserve">To be financed </w:t>
            </w:r>
            <w:r>
              <w:rPr>
                <w:b/>
                <w:bCs/>
                <w:noProof/>
                <w:sz w:val="22"/>
                <w:szCs w:val="28"/>
              </w:rPr>
              <w:t xml:space="preserve">under </w:t>
            </w:r>
            <w:r w:rsidRPr="00310A4B">
              <w:rPr>
                <w:b/>
                <w:bCs/>
                <w:noProof/>
                <w:sz w:val="22"/>
                <w:szCs w:val="28"/>
              </w:rPr>
              <w:t>Heading 7 / Research</w:t>
            </w:r>
          </w:p>
        </w:tc>
        <w:tc>
          <w:tcPr>
            <w:tcW w:w="1938" w:type="dxa"/>
          </w:tcPr>
          <w:p w14:paraId="5FE1917D" w14:textId="77777777" w:rsidR="00AF7A86" w:rsidRPr="00310A4B" w:rsidRDefault="00AF7A86">
            <w:pPr>
              <w:pStyle w:val="Text1"/>
              <w:ind w:left="0"/>
              <w:jc w:val="center"/>
              <w:rPr>
                <w:b/>
                <w:bCs/>
                <w:noProof/>
                <w:sz w:val="22"/>
                <w:szCs w:val="28"/>
              </w:rPr>
            </w:pPr>
            <w:r w:rsidRPr="00310A4B">
              <w:rPr>
                <w:b/>
                <w:bCs/>
                <w:noProof/>
                <w:sz w:val="22"/>
                <w:szCs w:val="28"/>
              </w:rPr>
              <w:t>To be financed from BA line</w:t>
            </w:r>
          </w:p>
        </w:tc>
        <w:tc>
          <w:tcPr>
            <w:tcW w:w="1748" w:type="dxa"/>
          </w:tcPr>
          <w:p w14:paraId="6B975714" w14:textId="77777777" w:rsidR="00AF7A86" w:rsidRPr="00310A4B" w:rsidRDefault="00AF7A86">
            <w:pPr>
              <w:pStyle w:val="Text1"/>
              <w:ind w:left="0"/>
              <w:jc w:val="center"/>
              <w:rPr>
                <w:b/>
                <w:bCs/>
                <w:noProof/>
                <w:sz w:val="22"/>
                <w:szCs w:val="28"/>
              </w:rPr>
            </w:pPr>
            <w:r w:rsidRPr="00310A4B">
              <w:rPr>
                <w:b/>
                <w:bCs/>
                <w:noProof/>
                <w:sz w:val="22"/>
                <w:szCs w:val="28"/>
              </w:rPr>
              <w:t>To be financed from fees</w:t>
            </w:r>
            <w:r>
              <w:rPr>
                <w:b/>
                <w:bCs/>
                <w:noProof/>
                <w:sz w:val="22"/>
                <w:szCs w:val="28"/>
              </w:rPr>
              <w:t xml:space="preserve">/ </w:t>
            </w:r>
          </w:p>
        </w:tc>
      </w:tr>
      <w:tr w:rsidR="00AF7A86" w14:paraId="2E0623FB" w14:textId="77777777" w:rsidTr="00E04EF1">
        <w:tc>
          <w:tcPr>
            <w:tcW w:w="2061" w:type="dxa"/>
          </w:tcPr>
          <w:p w14:paraId="69B7CEBA" w14:textId="77777777" w:rsidR="00AF7A86" w:rsidRDefault="00AF7A86">
            <w:pPr>
              <w:pStyle w:val="Text1"/>
              <w:ind w:left="0"/>
              <w:rPr>
                <w:noProof/>
                <w:sz w:val="22"/>
                <w:szCs w:val="28"/>
              </w:rPr>
            </w:pPr>
            <w:r>
              <w:rPr>
                <w:noProof/>
                <w:sz w:val="22"/>
                <w:szCs w:val="28"/>
              </w:rPr>
              <w:t>Establishment plan posts</w:t>
            </w:r>
          </w:p>
        </w:tc>
        <w:tc>
          <w:tcPr>
            <w:tcW w:w="1993" w:type="dxa"/>
          </w:tcPr>
          <w:p w14:paraId="4B829F38" w14:textId="77777777" w:rsidR="00AF7A86" w:rsidRPr="00C6346D" w:rsidRDefault="00AF7A86">
            <w:pPr>
              <w:pStyle w:val="Text1"/>
              <w:ind w:left="0"/>
              <w:rPr>
                <w:noProof/>
                <w:sz w:val="22"/>
                <w:szCs w:val="28"/>
                <w:lang w:val="en-IE"/>
              </w:rPr>
            </w:pPr>
            <w:r w:rsidRPr="00C6346D">
              <w:rPr>
                <w:noProof/>
                <w:sz w:val="22"/>
                <w:szCs w:val="28"/>
                <w:lang w:val="en-IE"/>
              </w:rPr>
              <w:t>4 DG JRC (redeployment)</w:t>
            </w:r>
          </w:p>
          <w:p w14:paraId="6D230587" w14:textId="77777777" w:rsidR="00AF7A86" w:rsidRPr="00C6346D" w:rsidRDefault="00AF7A86">
            <w:pPr>
              <w:pStyle w:val="Text1"/>
              <w:ind w:left="0"/>
              <w:rPr>
                <w:noProof/>
                <w:sz w:val="22"/>
                <w:szCs w:val="28"/>
                <w:lang w:val="en-IE"/>
              </w:rPr>
            </w:pPr>
            <w:r w:rsidRPr="00C6346D">
              <w:rPr>
                <w:noProof/>
                <w:sz w:val="22"/>
                <w:szCs w:val="28"/>
                <w:lang w:val="en-IE"/>
              </w:rPr>
              <w:t>2 DG ENER</w:t>
            </w:r>
          </w:p>
          <w:p w14:paraId="7397F23E" w14:textId="77777777" w:rsidR="00AF7A86" w:rsidRDefault="00AF7A86">
            <w:pPr>
              <w:pStyle w:val="Text1"/>
              <w:ind w:left="0"/>
              <w:rPr>
                <w:noProof/>
                <w:sz w:val="22"/>
                <w:szCs w:val="28"/>
              </w:rPr>
            </w:pPr>
          </w:p>
        </w:tc>
        <w:tc>
          <w:tcPr>
            <w:tcW w:w="1747" w:type="dxa"/>
          </w:tcPr>
          <w:p w14:paraId="27352B70" w14:textId="77777777" w:rsidR="00AF7A86" w:rsidRPr="000351CF" w:rsidRDefault="00AF7A86">
            <w:pPr>
              <w:pStyle w:val="Text1"/>
              <w:ind w:left="0"/>
              <w:rPr>
                <w:noProof/>
                <w:sz w:val="22"/>
                <w:szCs w:val="28"/>
                <w:lang w:val="sv-SE"/>
              </w:rPr>
            </w:pPr>
            <w:r>
              <w:rPr>
                <w:noProof/>
                <w:sz w:val="22"/>
                <w:szCs w:val="28"/>
                <w:lang w:val="sv-SE"/>
              </w:rPr>
              <w:t>0</w:t>
            </w:r>
          </w:p>
        </w:tc>
        <w:tc>
          <w:tcPr>
            <w:tcW w:w="1938" w:type="dxa"/>
          </w:tcPr>
          <w:p w14:paraId="3DD0255B" w14:textId="77777777" w:rsidR="00AF7A86" w:rsidRDefault="00AF7A86">
            <w:pPr>
              <w:pStyle w:val="Text1"/>
              <w:ind w:left="0"/>
              <w:rPr>
                <w:noProof/>
                <w:sz w:val="22"/>
                <w:szCs w:val="28"/>
              </w:rPr>
            </w:pPr>
            <w:r>
              <w:rPr>
                <w:noProof/>
                <w:sz w:val="22"/>
                <w:szCs w:val="28"/>
              </w:rPr>
              <w:t>0</w:t>
            </w:r>
          </w:p>
        </w:tc>
        <w:tc>
          <w:tcPr>
            <w:tcW w:w="1748" w:type="dxa"/>
          </w:tcPr>
          <w:p w14:paraId="7535DA57" w14:textId="77777777" w:rsidR="00AF7A86" w:rsidRDefault="00AF7A86">
            <w:pPr>
              <w:pStyle w:val="Text1"/>
              <w:ind w:left="0"/>
              <w:rPr>
                <w:noProof/>
                <w:sz w:val="22"/>
                <w:szCs w:val="28"/>
              </w:rPr>
            </w:pPr>
            <w:r>
              <w:rPr>
                <w:noProof/>
                <w:sz w:val="22"/>
                <w:szCs w:val="28"/>
              </w:rPr>
              <w:t xml:space="preserve">0 </w:t>
            </w:r>
          </w:p>
        </w:tc>
      </w:tr>
      <w:tr w:rsidR="00AF7A86" w14:paraId="263760FE" w14:textId="77777777" w:rsidTr="00E04EF1">
        <w:tc>
          <w:tcPr>
            <w:tcW w:w="2061" w:type="dxa"/>
          </w:tcPr>
          <w:p w14:paraId="3C9F2F12" w14:textId="77777777" w:rsidR="00AF7A86" w:rsidRDefault="00AF7A86">
            <w:pPr>
              <w:pStyle w:val="Text1"/>
              <w:ind w:left="0"/>
              <w:rPr>
                <w:noProof/>
                <w:sz w:val="22"/>
                <w:szCs w:val="28"/>
              </w:rPr>
            </w:pPr>
            <w:r>
              <w:rPr>
                <w:noProof/>
                <w:sz w:val="22"/>
                <w:szCs w:val="28"/>
              </w:rPr>
              <w:t>External staff (CA, SNEs, INT)</w:t>
            </w:r>
          </w:p>
        </w:tc>
        <w:tc>
          <w:tcPr>
            <w:tcW w:w="1993" w:type="dxa"/>
          </w:tcPr>
          <w:p w14:paraId="41DDAC0B" w14:textId="77777777" w:rsidR="00AF7A86" w:rsidRDefault="00AF7A86">
            <w:pPr>
              <w:pStyle w:val="Text1"/>
              <w:ind w:left="0"/>
              <w:rPr>
                <w:noProof/>
                <w:sz w:val="22"/>
                <w:szCs w:val="28"/>
              </w:rPr>
            </w:pPr>
          </w:p>
        </w:tc>
        <w:tc>
          <w:tcPr>
            <w:tcW w:w="1747" w:type="dxa"/>
          </w:tcPr>
          <w:p w14:paraId="701DE80D" w14:textId="77777777" w:rsidR="00AF7A86" w:rsidRDefault="00AF7A86">
            <w:pPr>
              <w:pStyle w:val="Text1"/>
              <w:ind w:left="0"/>
              <w:rPr>
                <w:noProof/>
                <w:sz w:val="22"/>
                <w:szCs w:val="28"/>
              </w:rPr>
            </w:pPr>
            <w:r>
              <w:rPr>
                <w:noProof/>
                <w:sz w:val="22"/>
                <w:szCs w:val="28"/>
              </w:rPr>
              <w:t>0</w:t>
            </w:r>
          </w:p>
        </w:tc>
        <w:tc>
          <w:tcPr>
            <w:tcW w:w="1938" w:type="dxa"/>
          </w:tcPr>
          <w:p w14:paraId="465C348E" w14:textId="77777777" w:rsidR="00AF7A86" w:rsidRDefault="00AF7A86">
            <w:pPr>
              <w:pStyle w:val="Text1"/>
              <w:ind w:left="0"/>
              <w:rPr>
                <w:noProof/>
                <w:sz w:val="22"/>
                <w:szCs w:val="28"/>
              </w:rPr>
            </w:pPr>
            <w:r>
              <w:rPr>
                <w:noProof/>
                <w:sz w:val="22"/>
                <w:szCs w:val="28"/>
              </w:rPr>
              <w:t>4 CA DG ENER</w:t>
            </w:r>
          </w:p>
        </w:tc>
        <w:tc>
          <w:tcPr>
            <w:tcW w:w="1748" w:type="dxa"/>
          </w:tcPr>
          <w:p w14:paraId="5A5912E9" w14:textId="77777777" w:rsidR="00AF7A86" w:rsidRDefault="00AF7A86">
            <w:pPr>
              <w:pStyle w:val="Text1"/>
              <w:ind w:left="0"/>
              <w:rPr>
                <w:noProof/>
                <w:sz w:val="22"/>
                <w:szCs w:val="28"/>
              </w:rPr>
            </w:pPr>
          </w:p>
        </w:tc>
      </w:tr>
    </w:tbl>
    <w:p w14:paraId="3590BCC7" w14:textId="77777777" w:rsidR="00AF7A86" w:rsidRDefault="00AF7A86" w:rsidP="00AF7A86">
      <w:pPr>
        <w:pStyle w:val="Text1"/>
        <w:ind w:left="-426" w:right="-427"/>
        <w:rPr>
          <w:noProof/>
          <w:lang w:val="en-IE"/>
        </w:rPr>
      </w:pPr>
      <w:r>
        <w:rPr>
          <w:noProof/>
          <w:lang w:val="en-IE"/>
        </w:rPr>
        <w:t>D</w:t>
      </w:r>
      <w:r w:rsidRPr="003A769F">
        <w:rPr>
          <w:noProof/>
          <w:lang w:val="en-IE"/>
        </w:rPr>
        <w:t>escription of tasks to be carried out</w:t>
      </w:r>
      <w:r>
        <w:rPr>
          <w:noProof/>
          <w:lang w:val="en-IE"/>
        </w:rPr>
        <w:t xml:space="preserve"> by</w:t>
      </w:r>
      <w:r w:rsidRPr="003A769F">
        <w:rPr>
          <w:noProof/>
          <w:lang w:val="en-IE"/>
        </w:rPr>
        <w: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AF7A86" w14:paraId="26BF1213" w14:textId="77777777" w:rsidTr="00E04EF1">
        <w:tc>
          <w:tcPr>
            <w:tcW w:w="3240" w:type="dxa"/>
          </w:tcPr>
          <w:p w14:paraId="0CA6E33B" w14:textId="77777777" w:rsidR="00AF7A86" w:rsidRPr="0065700E" w:rsidRDefault="00AF7A86">
            <w:pPr>
              <w:rPr>
                <w:noProof/>
                <w:sz w:val="22"/>
              </w:rPr>
            </w:pPr>
            <w:r w:rsidRPr="0065700E">
              <w:rPr>
                <w:noProof/>
                <w:sz w:val="22"/>
              </w:rPr>
              <w:t>Officials and temporary staff</w:t>
            </w:r>
          </w:p>
        </w:tc>
        <w:tc>
          <w:tcPr>
            <w:tcW w:w="7200" w:type="dxa"/>
          </w:tcPr>
          <w:p w14:paraId="7968061A" w14:textId="77777777" w:rsidR="00AF7A86" w:rsidRPr="0065700E" w:rsidRDefault="00AF7A86">
            <w:pPr>
              <w:rPr>
                <w:b/>
                <w:bCs/>
                <w:noProof/>
                <w:sz w:val="22"/>
              </w:rPr>
            </w:pPr>
            <w:r w:rsidRPr="0065700E">
              <w:rPr>
                <w:b/>
                <w:bCs/>
                <w:noProof/>
                <w:sz w:val="22"/>
              </w:rPr>
              <w:t xml:space="preserve">DG Energy: </w:t>
            </w:r>
            <w:r w:rsidRPr="0065700E">
              <w:rPr>
                <w:noProof/>
                <w:sz w:val="22"/>
              </w:rPr>
              <w:t>The 2 additional officials requested for DG Energy would be taske</w:t>
            </w:r>
            <w:r>
              <w:rPr>
                <w:noProof/>
                <w:sz w:val="22"/>
              </w:rPr>
              <w:t>d</w:t>
            </w:r>
            <w:r w:rsidRPr="0065700E">
              <w:rPr>
                <w:noProof/>
                <w:sz w:val="22"/>
              </w:rPr>
              <w:t xml:space="preserve"> with overseeing</w:t>
            </w:r>
            <w:r>
              <w:rPr>
                <w:noProof/>
                <w:sz w:val="22"/>
              </w:rPr>
              <w:t>, steering</w:t>
            </w:r>
            <w:r w:rsidRPr="0065700E">
              <w:rPr>
                <w:noProof/>
                <w:sz w:val="22"/>
              </w:rPr>
              <w:t xml:space="preserve"> and coordinating the new tasks of DG Energy related to central scenario development (please see section 1.5.1 above). These tasks pertain to process steering (including effective coordination of stakeholder eco-syste, compatibility of grid scenarios with overall policy architecture, coordination of new infrastructure needs matching process and the preparation of legal acts), as well as scenario development and coordination (including overseeing data collection, coordination of the assessment work, and overseeing and documenting the modelling process). </w:t>
            </w:r>
          </w:p>
        </w:tc>
      </w:tr>
      <w:tr w:rsidR="00AF7A86" w14:paraId="705E8D5D" w14:textId="77777777" w:rsidTr="00E04EF1">
        <w:trPr>
          <w:trHeight w:val="1041"/>
        </w:trPr>
        <w:tc>
          <w:tcPr>
            <w:tcW w:w="3240" w:type="dxa"/>
          </w:tcPr>
          <w:p w14:paraId="0B253BD9" w14:textId="77777777" w:rsidR="00AF7A86" w:rsidRPr="00F65989" w:rsidRDefault="00AF7A86">
            <w:pPr>
              <w:spacing w:before="60" w:after="60"/>
              <w:rPr>
                <w:noProof/>
                <w:sz w:val="22"/>
              </w:rPr>
            </w:pPr>
            <w:r w:rsidRPr="00F65989">
              <w:rPr>
                <w:noProof/>
                <w:sz w:val="22"/>
              </w:rPr>
              <w:t>External staff</w:t>
            </w:r>
          </w:p>
        </w:tc>
        <w:tc>
          <w:tcPr>
            <w:tcW w:w="7200" w:type="dxa"/>
          </w:tcPr>
          <w:p w14:paraId="2E759840" w14:textId="77777777" w:rsidR="00AF7A86" w:rsidRPr="00F65989" w:rsidRDefault="00AF7A86">
            <w:pPr>
              <w:rPr>
                <w:noProof/>
                <w:sz w:val="22"/>
              </w:rPr>
            </w:pPr>
            <w:r w:rsidRPr="00F65989">
              <w:rPr>
                <w:b/>
                <w:bCs/>
                <w:noProof/>
                <w:sz w:val="22"/>
              </w:rPr>
              <w:t>DG Energy</w:t>
            </w:r>
            <w:r w:rsidRPr="00F65989">
              <w:rPr>
                <w:noProof/>
                <w:sz w:val="22"/>
              </w:rPr>
              <w:t xml:space="preserve">: The 4 additional Contract Agents requested for DG Energy would be tasked with central scenario development, supporting the 2 officials assinged to </w:t>
            </w:r>
            <w:r>
              <w:rPr>
                <w:noProof/>
                <w:sz w:val="22"/>
              </w:rPr>
              <w:t xml:space="preserve">oversee and steer </w:t>
            </w:r>
            <w:r w:rsidRPr="00F65989">
              <w:rPr>
                <w:noProof/>
                <w:sz w:val="22"/>
              </w:rPr>
              <w:t xml:space="preserve">this work. The Contract Agents would execute tasks related to process steering and scenario development and coordination (please see section 1.5.1 above). </w:t>
            </w:r>
          </w:p>
        </w:tc>
      </w:tr>
    </w:tbl>
    <w:p w14:paraId="766218E0" w14:textId="77777777" w:rsidR="00AF7A86" w:rsidRPr="00235FE8" w:rsidRDefault="00AF7A86" w:rsidP="00AF7A86">
      <w:pPr>
        <w:pStyle w:val="ManualHeading3"/>
        <w:rPr>
          <w:rStyle w:val="Marker110000"/>
          <w:i w:val="0"/>
          <w:noProof/>
        </w:rPr>
      </w:pPr>
      <w:bookmarkStart w:id="170" w:name="_Toc172893717"/>
      <w:r>
        <w:rPr>
          <w:noProof/>
        </w:rPr>
        <w:t>3.2.5.</w:t>
      </w:r>
      <w:r>
        <w:rPr>
          <w:noProof/>
        </w:rPr>
        <w:tab/>
      </w:r>
      <w:r w:rsidRPr="000C2E25">
        <w:rPr>
          <w:noProof/>
        </w:rPr>
        <w:t xml:space="preserve">Overview of estimated impact on </w:t>
      </w:r>
      <w:r>
        <w:rPr>
          <w:noProof/>
        </w:rPr>
        <w:t>d</w:t>
      </w:r>
      <w:r w:rsidRPr="000C2E25">
        <w:rPr>
          <w:noProof/>
        </w:rPr>
        <w:t>igital</w:t>
      </w:r>
      <w:r>
        <w:rPr>
          <w:noProof/>
        </w:rPr>
        <w:t xml:space="preserve"> technology-</w:t>
      </w:r>
      <w:r w:rsidRPr="000C2E25">
        <w:rPr>
          <w:noProof/>
        </w:rPr>
        <w:t xml:space="preserve">related </w:t>
      </w:r>
      <w:r>
        <w:rPr>
          <w:noProof/>
        </w:rPr>
        <w:t>investments</w:t>
      </w:r>
      <w:bookmarkEnd w:id="170"/>
    </w:p>
    <w:p w14:paraId="2C613F63" w14:textId="77777777" w:rsidR="00AF7A86" w:rsidRPr="008C5AAB" w:rsidRDefault="00AF7A86" w:rsidP="00AF7A86">
      <w:pPr>
        <w:pStyle w:val="Text1"/>
        <w:spacing w:line="259" w:lineRule="auto"/>
        <w:rPr>
          <w:noProof/>
        </w:rPr>
      </w:pPr>
      <w:r w:rsidRPr="008C5AAB">
        <w:rPr>
          <w:noProof/>
        </w:rPr>
        <w:t xml:space="preserve">Compulsory: the best estimate of the </w:t>
      </w:r>
      <w:r>
        <w:rPr>
          <w:noProof/>
        </w:rPr>
        <w:t>d</w:t>
      </w:r>
      <w:r w:rsidRPr="008C5AAB">
        <w:rPr>
          <w:noProof/>
        </w:rPr>
        <w:t>igital</w:t>
      </w:r>
      <w:r>
        <w:rPr>
          <w:noProof/>
        </w:rPr>
        <w:t xml:space="preserve"> technology-related</w:t>
      </w:r>
      <w:r w:rsidRPr="008C5AAB">
        <w:rPr>
          <w:noProof/>
        </w:rPr>
        <w:t xml:space="preserve"> </w:t>
      </w:r>
      <w:r>
        <w:rPr>
          <w:noProof/>
        </w:rPr>
        <w:t>investments</w:t>
      </w:r>
      <w:r w:rsidRPr="008C5AAB">
        <w:rPr>
          <w:noProof/>
        </w:rPr>
        <w:t xml:space="preserve"> entailed by the proposal/initiative should be included in the table below. </w:t>
      </w:r>
    </w:p>
    <w:p w14:paraId="29C9961A" w14:textId="77777777" w:rsidR="00AF7A86" w:rsidRPr="008C5AAB" w:rsidRDefault="00AF7A86" w:rsidP="00AF7A86">
      <w:pPr>
        <w:pStyle w:val="Text1"/>
        <w:spacing w:line="259" w:lineRule="auto"/>
        <w:rPr>
          <w:noProof/>
        </w:rPr>
      </w:pPr>
      <w:r w:rsidRPr="008C5AAB">
        <w:rPr>
          <w:noProof/>
        </w:rPr>
        <w:t>Exceptionally, when required for the implementation of the proposal/init</w:t>
      </w:r>
      <w:r>
        <w:rPr>
          <w:noProof/>
        </w:rPr>
        <w:t>i</w:t>
      </w:r>
      <w:r w:rsidRPr="008C5AAB">
        <w:rPr>
          <w:noProof/>
        </w:rPr>
        <w:t xml:space="preserve">ative, the appropriations under Heading 7 should be presented in the designated line. </w:t>
      </w:r>
    </w:p>
    <w:p w14:paraId="359034D2" w14:textId="77777777" w:rsidR="00AF7A86" w:rsidRDefault="00AF7A86" w:rsidP="00AF7A86">
      <w:pPr>
        <w:pStyle w:val="Text1"/>
        <w:spacing w:line="259" w:lineRule="auto"/>
        <w:rPr>
          <w:noProof/>
        </w:rPr>
      </w:pPr>
      <w:r w:rsidRPr="008C5AAB">
        <w:rPr>
          <w:noProof/>
        </w:rPr>
        <w:t xml:space="preserve">The appropriations under Headings 1-6 should be reflected as “Policy IT expenditure on operational programmes”. This expenditure refers to the operational budget to be used to </w:t>
      </w:r>
      <w:r>
        <w:rPr>
          <w:noProof/>
        </w:rPr>
        <w:t xml:space="preserve">re-use/ buy/ </w:t>
      </w:r>
      <w:r w:rsidRPr="008C5AAB">
        <w:rPr>
          <w:noProof/>
        </w:rPr>
        <w:t xml:space="preserve">develop IT platforms/tools directly linked to the implementation of the initiative and their associated </w:t>
      </w:r>
      <w:r>
        <w:rPr>
          <w:noProof/>
        </w:rPr>
        <w:t>investments</w:t>
      </w:r>
      <w:r w:rsidRPr="008C5AAB">
        <w:rPr>
          <w:noProof/>
        </w:rPr>
        <w:t xml:space="preserve"> (e.g. licences, studies, data storage etc). The information provided in this table should be co</w:t>
      </w:r>
      <w:r>
        <w:rPr>
          <w:noProof/>
        </w:rPr>
        <w:t>nsistent</w:t>
      </w:r>
      <w:r w:rsidRPr="008C5AAB">
        <w:rPr>
          <w:noProof/>
        </w:rPr>
        <w:t xml:space="preserve"> with details presented under </w:t>
      </w:r>
      <w:r>
        <w:rPr>
          <w:noProof/>
        </w:rPr>
        <w:t>S</w:t>
      </w:r>
      <w:r w:rsidRPr="008C5AAB">
        <w:rPr>
          <w:noProof/>
        </w:rPr>
        <w:t xml:space="preserve">ection 4 “Digital </w:t>
      </w:r>
      <w:r>
        <w:rPr>
          <w:noProof/>
        </w:rPr>
        <w:t>dimensions</w:t>
      </w:r>
      <w:r w:rsidRPr="008C5AAB">
        <w:rPr>
          <w:noProof/>
        </w:rPr>
        <w:t>”.</w:t>
      </w:r>
    </w:p>
    <w:tbl>
      <w:tblPr>
        <w:tblW w:w="0" w:type="auto"/>
        <w:tblLayout w:type="fixed"/>
        <w:tblLook w:val="04A0" w:firstRow="1" w:lastRow="0" w:firstColumn="1" w:lastColumn="0" w:noHBand="0" w:noVBand="1"/>
      </w:tblPr>
      <w:tblGrid>
        <w:gridCol w:w="3214"/>
        <w:gridCol w:w="835"/>
        <w:gridCol w:w="835"/>
        <w:gridCol w:w="835"/>
        <w:gridCol w:w="835"/>
        <w:gridCol w:w="981"/>
        <w:gridCol w:w="981"/>
      </w:tblGrid>
      <w:tr w:rsidR="00AF7A86" w14:paraId="35D6782E" w14:textId="77777777">
        <w:trPr>
          <w:trHeight w:val="525"/>
        </w:trPr>
        <w:tc>
          <w:tcPr>
            <w:tcW w:w="3214"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719CD" w14:textId="77777777" w:rsidR="00AF7A86" w:rsidRDefault="00AF7A86">
            <w:pPr>
              <w:spacing w:before="0" w:after="0"/>
              <w:jc w:val="center"/>
              <w:rPr>
                <w:b/>
                <w:bCs/>
                <w:noProof/>
                <w:color w:val="000000" w:themeColor="text1"/>
                <w:sz w:val="18"/>
                <w:szCs w:val="18"/>
              </w:rPr>
            </w:pPr>
            <w:r w:rsidRPr="52050D6D">
              <w:rPr>
                <w:b/>
                <w:bCs/>
                <w:noProof/>
                <w:color w:val="000000" w:themeColor="text1"/>
                <w:sz w:val="18"/>
                <w:szCs w:val="18"/>
              </w:rPr>
              <w:t>TOTAL</w:t>
            </w:r>
            <w:r>
              <w:rPr>
                <w:b/>
                <w:bCs/>
                <w:noProof/>
                <w:color w:val="000000" w:themeColor="text1"/>
                <w:sz w:val="18"/>
                <w:szCs w:val="18"/>
              </w:rPr>
              <w:t xml:space="preserve"> </w:t>
            </w:r>
            <w:r w:rsidRPr="52050D6D">
              <w:rPr>
                <w:b/>
                <w:bCs/>
                <w:noProof/>
                <w:color w:val="000000" w:themeColor="text1"/>
                <w:sz w:val="18"/>
                <w:szCs w:val="18"/>
              </w:rPr>
              <w:t>Digital and IT appropriations</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5AB5D28B" w14:textId="77777777" w:rsidR="00AF7A86" w:rsidRDefault="00AF7A86">
            <w:pPr>
              <w:spacing w:before="0" w:after="0"/>
              <w:jc w:val="center"/>
              <w:rPr>
                <w:noProof/>
                <w:color w:val="000000" w:themeColor="text1"/>
                <w:sz w:val="18"/>
                <w:szCs w:val="18"/>
              </w:rPr>
            </w:pPr>
            <w:r w:rsidRPr="52050D6D">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0C5B0F1E" w14:textId="77777777" w:rsidR="00AF7A86" w:rsidRDefault="00AF7A86">
            <w:pPr>
              <w:spacing w:before="0" w:after="0"/>
              <w:jc w:val="center"/>
              <w:rPr>
                <w:noProof/>
                <w:color w:val="000000" w:themeColor="text1"/>
                <w:sz w:val="18"/>
                <w:szCs w:val="18"/>
              </w:rPr>
            </w:pPr>
            <w:r w:rsidRPr="52050D6D">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1C5FA59A" w14:textId="77777777" w:rsidR="00AF7A86" w:rsidRDefault="00AF7A86">
            <w:pPr>
              <w:spacing w:before="0" w:after="0"/>
              <w:jc w:val="center"/>
              <w:rPr>
                <w:noProof/>
                <w:color w:val="000000" w:themeColor="text1"/>
                <w:sz w:val="18"/>
                <w:szCs w:val="18"/>
              </w:rPr>
            </w:pPr>
            <w:r w:rsidRPr="52050D6D">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1C60C529" w14:textId="77777777" w:rsidR="00AF7A86" w:rsidRDefault="00AF7A86">
            <w:pPr>
              <w:spacing w:before="0" w:after="0"/>
              <w:jc w:val="center"/>
              <w:rPr>
                <w:noProof/>
                <w:color w:val="000000" w:themeColor="text1"/>
                <w:sz w:val="18"/>
                <w:szCs w:val="18"/>
              </w:rPr>
            </w:pPr>
            <w:r w:rsidRPr="52050D6D">
              <w:rPr>
                <w:noProof/>
                <w:color w:val="000000" w:themeColor="text1"/>
                <w:sz w:val="18"/>
                <w:szCs w:val="18"/>
              </w:rPr>
              <w:t>Year</w:t>
            </w:r>
          </w:p>
        </w:tc>
        <w:tc>
          <w:tcPr>
            <w:tcW w:w="98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882EC" w14:textId="77777777" w:rsidR="00AF7A86" w:rsidRDefault="00AF7A86">
            <w:pPr>
              <w:spacing w:before="0" w:after="0"/>
              <w:jc w:val="center"/>
              <w:rPr>
                <w:b/>
                <w:bCs/>
                <w:noProof/>
                <w:color w:val="000000" w:themeColor="text1"/>
                <w:sz w:val="18"/>
                <w:szCs w:val="18"/>
              </w:rPr>
            </w:pPr>
            <w:r w:rsidRPr="52050D6D">
              <w:rPr>
                <w:b/>
                <w:bCs/>
                <w:noProof/>
                <w:color w:val="000000" w:themeColor="text1"/>
                <w:sz w:val="18"/>
                <w:szCs w:val="18"/>
              </w:rPr>
              <w:t>TOTAL MFF 2021 - 2027</w:t>
            </w:r>
          </w:p>
        </w:tc>
        <w:tc>
          <w:tcPr>
            <w:tcW w:w="981" w:type="dxa"/>
            <w:vMerge w:val="restart"/>
            <w:tcBorders>
              <w:top w:val="single" w:sz="8" w:space="0" w:color="auto"/>
              <w:left w:val="single" w:sz="8" w:space="0" w:color="auto"/>
              <w:right w:val="single" w:sz="8" w:space="0" w:color="auto"/>
            </w:tcBorders>
          </w:tcPr>
          <w:p w14:paraId="75436715" w14:textId="77777777" w:rsidR="00AF7A86" w:rsidRPr="52050D6D" w:rsidRDefault="00AF7A86">
            <w:pPr>
              <w:spacing w:before="0" w:after="0"/>
              <w:jc w:val="center"/>
              <w:rPr>
                <w:b/>
                <w:bCs/>
                <w:noProof/>
                <w:color w:val="000000" w:themeColor="text1"/>
                <w:sz w:val="18"/>
                <w:szCs w:val="18"/>
              </w:rPr>
            </w:pPr>
            <w:r w:rsidRPr="52050D6D">
              <w:rPr>
                <w:b/>
                <w:bCs/>
                <w:noProof/>
                <w:color w:val="000000" w:themeColor="text1"/>
                <w:sz w:val="18"/>
                <w:szCs w:val="18"/>
              </w:rPr>
              <w:t xml:space="preserve">TOTAL MFF </w:t>
            </w:r>
            <w:r>
              <w:rPr>
                <w:b/>
                <w:bCs/>
                <w:noProof/>
                <w:color w:val="000000" w:themeColor="text1"/>
                <w:sz w:val="18"/>
                <w:szCs w:val="18"/>
              </w:rPr>
              <w:t>post-2027</w:t>
            </w:r>
          </w:p>
        </w:tc>
      </w:tr>
      <w:tr w:rsidR="00AF7A86" w14:paraId="575DBEF6" w14:textId="77777777">
        <w:trPr>
          <w:trHeight w:val="525"/>
        </w:trPr>
        <w:tc>
          <w:tcPr>
            <w:tcW w:w="3214" w:type="dxa"/>
            <w:vMerge/>
            <w:tcBorders>
              <w:left w:val="single" w:sz="0" w:space="0" w:color="auto"/>
              <w:bottom w:val="single" w:sz="0" w:space="0" w:color="auto"/>
              <w:right w:val="single" w:sz="0" w:space="0" w:color="auto"/>
            </w:tcBorders>
            <w:vAlign w:val="center"/>
          </w:tcPr>
          <w:p w14:paraId="7FCD57BF" w14:textId="77777777" w:rsidR="00AF7A86" w:rsidRDefault="00AF7A86">
            <w:pPr>
              <w:rPr>
                <w:noProof/>
              </w:rPr>
            </w:pPr>
          </w:p>
        </w:tc>
        <w:tc>
          <w:tcPr>
            <w:tcW w:w="835" w:type="dxa"/>
            <w:tcBorders>
              <w:top w:val="nil"/>
              <w:left w:val="nil"/>
              <w:bottom w:val="single" w:sz="8" w:space="0" w:color="auto"/>
              <w:right w:val="single" w:sz="8" w:space="0" w:color="auto"/>
            </w:tcBorders>
            <w:tcMar>
              <w:left w:w="108" w:type="dxa"/>
              <w:right w:w="108" w:type="dxa"/>
            </w:tcMar>
            <w:vAlign w:val="center"/>
          </w:tcPr>
          <w:p w14:paraId="03AC2ED4" w14:textId="77777777" w:rsidR="00AF7A86" w:rsidRDefault="00AF7A86">
            <w:pPr>
              <w:spacing w:before="0" w:after="0"/>
              <w:jc w:val="center"/>
              <w:rPr>
                <w:b/>
                <w:bCs/>
                <w:noProof/>
                <w:color w:val="000000" w:themeColor="text1"/>
                <w:sz w:val="18"/>
                <w:szCs w:val="18"/>
              </w:rPr>
            </w:pPr>
            <w:r w:rsidRPr="52050D6D">
              <w:rPr>
                <w:b/>
                <w:bCs/>
                <w:noProof/>
                <w:color w:val="000000" w:themeColor="text1"/>
                <w:sz w:val="18"/>
                <w:szCs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7F8D38FA" w14:textId="77777777" w:rsidR="00AF7A86" w:rsidRDefault="00AF7A86">
            <w:pPr>
              <w:spacing w:before="0" w:after="0"/>
              <w:jc w:val="center"/>
              <w:rPr>
                <w:b/>
                <w:bCs/>
                <w:noProof/>
                <w:color w:val="000000" w:themeColor="text1"/>
                <w:sz w:val="18"/>
                <w:szCs w:val="18"/>
              </w:rPr>
            </w:pPr>
            <w:r w:rsidRPr="52050D6D">
              <w:rPr>
                <w:b/>
                <w:bCs/>
                <w:noProof/>
                <w:color w:val="000000" w:themeColor="text1"/>
                <w:sz w:val="18"/>
                <w:szCs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67CFD756" w14:textId="77777777" w:rsidR="00AF7A86" w:rsidRDefault="00AF7A86">
            <w:pPr>
              <w:spacing w:before="0" w:after="0"/>
              <w:jc w:val="center"/>
              <w:rPr>
                <w:b/>
                <w:bCs/>
                <w:noProof/>
                <w:color w:val="000000" w:themeColor="text1"/>
                <w:sz w:val="18"/>
                <w:szCs w:val="18"/>
              </w:rPr>
            </w:pPr>
            <w:r w:rsidRPr="52050D6D">
              <w:rPr>
                <w:b/>
                <w:bCs/>
                <w:noProof/>
                <w:color w:val="000000" w:themeColor="text1"/>
                <w:sz w:val="18"/>
                <w:szCs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2B84FCA6" w14:textId="77777777" w:rsidR="00AF7A86" w:rsidRDefault="00AF7A86">
            <w:pPr>
              <w:spacing w:before="0" w:after="0"/>
              <w:jc w:val="center"/>
              <w:rPr>
                <w:b/>
                <w:bCs/>
                <w:noProof/>
                <w:color w:val="000000" w:themeColor="text1"/>
                <w:sz w:val="18"/>
                <w:szCs w:val="18"/>
              </w:rPr>
            </w:pPr>
            <w:r w:rsidRPr="52050D6D">
              <w:rPr>
                <w:b/>
                <w:bCs/>
                <w:noProof/>
                <w:color w:val="000000" w:themeColor="text1"/>
                <w:sz w:val="18"/>
                <w:szCs w:val="18"/>
              </w:rPr>
              <w:t>2027</w:t>
            </w:r>
          </w:p>
        </w:tc>
        <w:tc>
          <w:tcPr>
            <w:tcW w:w="981" w:type="dxa"/>
            <w:vMerge/>
            <w:tcBorders>
              <w:left w:val="single" w:sz="0" w:space="0" w:color="auto"/>
              <w:bottom w:val="single" w:sz="0" w:space="0" w:color="auto"/>
              <w:right w:val="single" w:sz="8" w:space="0" w:color="auto"/>
            </w:tcBorders>
            <w:vAlign w:val="center"/>
          </w:tcPr>
          <w:p w14:paraId="27DD3031" w14:textId="77777777" w:rsidR="00AF7A86" w:rsidRDefault="00AF7A86">
            <w:pPr>
              <w:rPr>
                <w:noProof/>
              </w:rPr>
            </w:pPr>
          </w:p>
        </w:tc>
        <w:tc>
          <w:tcPr>
            <w:tcW w:w="981" w:type="dxa"/>
            <w:vMerge/>
            <w:tcBorders>
              <w:left w:val="single" w:sz="8" w:space="0" w:color="auto"/>
              <w:bottom w:val="single" w:sz="0" w:space="0" w:color="auto"/>
              <w:right w:val="single" w:sz="8" w:space="0" w:color="auto"/>
            </w:tcBorders>
          </w:tcPr>
          <w:p w14:paraId="6B8E9101" w14:textId="77777777" w:rsidR="00AF7A86" w:rsidRDefault="00AF7A86">
            <w:pPr>
              <w:rPr>
                <w:noProof/>
              </w:rPr>
            </w:pPr>
          </w:p>
        </w:tc>
      </w:tr>
      <w:tr w:rsidR="00AF7A86" w14:paraId="79D47DAB" w14:textId="7777777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4273B6EA" w14:textId="77777777" w:rsidR="00AF7A86" w:rsidRDefault="00AF7A86">
            <w:pPr>
              <w:spacing w:before="0" w:after="0"/>
              <w:jc w:val="left"/>
              <w:rPr>
                <w:b/>
                <w:bCs/>
                <w:noProof/>
                <w:sz w:val="16"/>
                <w:szCs w:val="16"/>
              </w:rPr>
            </w:pPr>
            <w:r w:rsidRPr="52050D6D">
              <w:rPr>
                <w:b/>
                <w:bCs/>
                <w:noProof/>
                <w:sz w:val="16"/>
                <w:szCs w:val="16"/>
              </w:rPr>
              <w:t>HEADING 7</w:t>
            </w:r>
          </w:p>
        </w:tc>
        <w:tc>
          <w:tcPr>
            <w:tcW w:w="981" w:type="dxa"/>
            <w:tcBorders>
              <w:top w:val="nil"/>
              <w:left w:val="single" w:sz="8" w:space="0" w:color="auto"/>
              <w:bottom w:val="single" w:sz="8" w:space="0" w:color="auto"/>
              <w:right w:val="single" w:sz="8" w:space="0" w:color="auto"/>
            </w:tcBorders>
          </w:tcPr>
          <w:p w14:paraId="6C3CF6C9" w14:textId="77777777" w:rsidR="00AF7A86" w:rsidRPr="52050D6D" w:rsidRDefault="00AF7A86">
            <w:pPr>
              <w:spacing w:before="0" w:after="0"/>
              <w:jc w:val="left"/>
              <w:rPr>
                <w:b/>
                <w:bCs/>
                <w:noProof/>
                <w:sz w:val="16"/>
                <w:szCs w:val="16"/>
              </w:rPr>
            </w:pPr>
          </w:p>
        </w:tc>
      </w:tr>
      <w:tr w:rsidR="00AF7A86" w14:paraId="1E786D24"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604AD" w14:textId="77777777" w:rsidR="00AF7A86" w:rsidRDefault="00AF7A86">
            <w:pPr>
              <w:spacing w:before="0" w:after="0"/>
              <w:jc w:val="left"/>
              <w:rPr>
                <w:noProof/>
                <w:color w:val="000000" w:themeColor="text1"/>
                <w:sz w:val="16"/>
                <w:szCs w:val="16"/>
              </w:rPr>
            </w:pPr>
            <w:r w:rsidRPr="52050D6D">
              <w:rPr>
                <w:rFonts w:ascii="Arial Narrow" w:eastAsia="Arial Narrow" w:hAnsi="Arial Narrow" w:cs="Arial Narrow"/>
                <w:noProof/>
                <w:color w:val="000000" w:themeColor="text1"/>
                <w:sz w:val="20"/>
                <w:szCs w:val="20"/>
              </w:rPr>
              <w:t>IT expenditure (corporate)</w:t>
            </w:r>
            <w:r w:rsidRPr="52050D6D">
              <w:rPr>
                <w:noProof/>
                <w:color w:val="000000" w:themeColor="text1"/>
                <w:sz w:val="16"/>
                <w:szCs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4E4EEA" w14:textId="77777777" w:rsidR="00AF7A86" w:rsidRDefault="00AF7A86">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3660B2" w14:textId="77777777" w:rsidR="00AF7A86" w:rsidRDefault="00AF7A86">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283F8A" w14:textId="77777777" w:rsidR="00AF7A86" w:rsidRDefault="00AF7A86">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1A77CA" w14:textId="77777777" w:rsidR="00AF7A86" w:rsidRDefault="00AF7A86">
            <w:pPr>
              <w:spacing w:before="0" w:after="0"/>
              <w:jc w:val="right"/>
              <w:rPr>
                <w:noProof/>
                <w:color w:val="000000" w:themeColor="text1"/>
                <w:sz w:val="16"/>
                <w:szCs w:val="16"/>
              </w:rPr>
            </w:pPr>
            <w:r w:rsidRPr="52050D6D">
              <w:rPr>
                <w:noProof/>
                <w:color w:val="000000" w:themeColor="text1"/>
                <w:sz w:val="16"/>
                <w:szCs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722E03"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Pr>
          <w:p w14:paraId="2E5C1AAF" w14:textId="77777777" w:rsidR="00AF7A86" w:rsidRPr="52050D6D" w:rsidRDefault="00AF7A86">
            <w:pPr>
              <w:spacing w:before="0" w:after="0"/>
              <w:jc w:val="right"/>
              <w:rPr>
                <w:b/>
                <w:bCs/>
                <w:noProof/>
                <w:color w:val="000000" w:themeColor="text1"/>
                <w:sz w:val="16"/>
                <w:szCs w:val="16"/>
              </w:rPr>
            </w:pPr>
          </w:p>
        </w:tc>
      </w:tr>
      <w:tr w:rsidR="00AF7A86" w14:paraId="073C1961"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0CFFAF16" w14:textId="77777777" w:rsidR="00AF7A86" w:rsidRDefault="00AF7A86">
            <w:pPr>
              <w:spacing w:before="0" w:after="0"/>
              <w:jc w:val="center"/>
              <w:rPr>
                <w:b/>
                <w:bCs/>
                <w:noProof/>
                <w:color w:val="000000" w:themeColor="text1"/>
                <w:sz w:val="16"/>
                <w:szCs w:val="16"/>
              </w:rPr>
            </w:pPr>
            <w:r w:rsidRPr="52050D6D">
              <w:rPr>
                <w:b/>
                <w:bCs/>
                <w:noProof/>
                <w:color w:val="000000" w:themeColor="text1"/>
                <w:sz w:val="16"/>
                <w:szCs w:val="16"/>
              </w:rPr>
              <w:t>Subtotal HEADING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7EC8A86"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8B24F9"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164CAE"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88A274"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CCFDB5"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A2DB9C2" w14:textId="77777777" w:rsidR="00AF7A86" w:rsidRPr="52050D6D" w:rsidRDefault="00AF7A86">
            <w:pPr>
              <w:spacing w:before="0" w:after="0"/>
              <w:jc w:val="right"/>
              <w:rPr>
                <w:b/>
                <w:bCs/>
                <w:noProof/>
                <w:color w:val="000000" w:themeColor="text1"/>
                <w:sz w:val="16"/>
                <w:szCs w:val="16"/>
              </w:rPr>
            </w:pPr>
          </w:p>
        </w:tc>
      </w:tr>
      <w:tr w:rsidR="00AF7A86" w14:paraId="588AF4B0"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A63FCF" w14:textId="77777777" w:rsidR="00AF7A86" w:rsidRDefault="00AF7A86">
            <w:pPr>
              <w:spacing w:before="0" w:after="0"/>
              <w:jc w:val="left"/>
              <w:rPr>
                <w:b/>
                <w:bCs/>
                <w:noProof/>
                <w:sz w:val="16"/>
                <w:szCs w:val="16"/>
              </w:rPr>
            </w:pPr>
            <w:r w:rsidRPr="52050D6D">
              <w:rPr>
                <w:b/>
                <w:bCs/>
                <w:noProof/>
                <w:sz w:val="16"/>
                <w:szCs w:val="16"/>
              </w:rPr>
              <w:t>Outside HEADING 7</w:t>
            </w:r>
          </w:p>
        </w:tc>
        <w:tc>
          <w:tcPr>
            <w:tcW w:w="981" w:type="dxa"/>
            <w:tcBorders>
              <w:top w:val="single" w:sz="8" w:space="0" w:color="auto"/>
              <w:left w:val="single" w:sz="8" w:space="0" w:color="auto"/>
              <w:bottom w:val="single" w:sz="8" w:space="0" w:color="auto"/>
              <w:right w:val="single" w:sz="8" w:space="0" w:color="auto"/>
            </w:tcBorders>
          </w:tcPr>
          <w:p w14:paraId="2FEAAA10" w14:textId="77777777" w:rsidR="00AF7A86" w:rsidRPr="52050D6D" w:rsidRDefault="00AF7A86">
            <w:pPr>
              <w:spacing w:before="0" w:after="0"/>
              <w:jc w:val="left"/>
              <w:rPr>
                <w:b/>
                <w:bCs/>
                <w:noProof/>
                <w:sz w:val="16"/>
                <w:szCs w:val="16"/>
              </w:rPr>
            </w:pPr>
          </w:p>
        </w:tc>
      </w:tr>
      <w:tr w:rsidR="00AF7A86" w14:paraId="42C442CC"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D9EBB6" w14:textId="77777777" w:rsidR="00AF7A86" w:rsidRDefault="00AF7A86">
            <w:pPr>
              <w:spacing w:before="0" w:after="0"/>
              <w:jc w:val="left"/>
              <w:rPr>
                <w:rFonts w:ascii="Arial Narrow" w:eastAsia="Arial Narrow" w:hAnsi="Arial Narrow" w:cs="Arial Narrow"/>
                <w:noProof/>
                <w:color w:val="000000" w:themeColor="text1"/>
                <w:sz w:val="20"/>
                <w:szCs w:val="20"/>
              </w:rPr>
            </w:pPr>
            <w:r w:rsidRPr="52050D6D">
              <w:rPr>
                <w:rFonts w:ascii="Arial Narrow" w:eastAsia="Arial Narrow" w:hAnsi="Arial Narrow" w:cs="Arial Narrow"/>
                <w:noProof/>
                <w:color w:val="000000" w:themeColor="text1"/>
                <w:sz w:val="20"/>
                <w:szCs w:val="20"/>
              </w:rPr>
              <w:t>Policy IT expenditure on operational programmes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3494E8" w14:textId="77777777" w:rsidR="00AF7A86" w:rsidRDefault="00AF7A86">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4188C9" w14:textId="77777777" w:rsidR="00AF7A86" w:rsidRDefault="00AF7A86">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294E48" w14:textId="77777777" w:rsidR="00AF7A86" w:rsidRDefault="00AF7A86">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ACC9AC" w14:textId="77777777" w:rsidR="00AF7A86" w:rsidRDefault="00AF7A86">
            <w:pPr>
              <w:spacing w:before="0" w:after="0"/>
              <w:jc w:val="right"/>
              <w:rPr>
                <w:noProof/>
                <w:color w:val="000000" w:themeColor="text1"/>
                <w:sz w:val="16"/>
                <w:szCs w:val="16"/>
              </w:rPr>
            </w:pPr>
            <w:r>
              <w:rPr>
                <w:noProof/>
                <w:color w:val="000000" w:themeColor="text1"/>
                <w:sz w:val="16"/>
                <w:szCs w:val="16"/>
              </w:rPr>
              <w:t>1,120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C170B9" w14:textId="77777777" w:rsidR="00AF7A86" w:rsidRDefault="00AF7A86">
            <w:pPr>
              <w:spacing w:before="0" w:after="0"/>
              <w:jc w:val="right"/>
              <w:rPr>
                <w:b/>
                <w:bCs/>
                <w:noProof/>
                <w:color w:val="000000" w:themeColor="text1"/>
                <w:sz w:val="16"/>
                <w:szCs w:val="16"/>
              </w:rPr>
            </w:pPr>
            <w:r>
              <w:rPr>
                <w:b/>
                <w:bCs/>
                <w:noProof/>
                <w:color w:val="000000" w:themeColor="text1"/>
                <w:sz w:val="16"/>
                <w:szCs w:val="16"/>
              </w:rPr>
              <w:t>1,120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Pr>
          <w:p w14:paraId="5F0E4D9C" w14:textId="77777777" w:rsidR="00AF7A86" w:rsidRPr="52050D6D" w:rsidRDefault="00AF7A86">
            <w:pPr>
              <w:spacing w:before="0" w:after="0"/>
              <w:jc w:val="center"/>
              <w:rPr>
                <w:b/>
                <w:bCs/>
                <w:noProof/>
                <w:color w:val="000000" w:themeColor="text1"/>
                <w:sz w:val="16"/>
                <w:szCs w:val="16"/>
              </w:rPr>
            </w:pPr>
            <w:r>
              <w:rPr>
                <w:b/>
                <w:bCs/>
                <w:noProof/>
                <w:color w:val="000000" w:themeColor="text1"/>
                <w:sz w:val="16"/>
                <w:szCs w:val="16"/>
              </w:rPr>
              <w:t>3,500</w:t>
            </w:r>
          </w:p>
        </w:tc>
      </w:tr>
      <w:tr w:rsidR="00AF7A86" w14:paraId="757EEAD7"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7E435FE0" w14:textId="77777777" w:rsidR="00AF7A86" w:rsidRDefault="00AF7A86">
            <w:pPr>
              <w:spacing w:before="0" w:after="0"/>
              <w:jc w:val="center"/>
              <w:rPr>
                <w:b/>
                <w:bCs/>
                <w:noProof/>
                <w:color w:val="000000" w:themeColor="text1"/>
                <w:sz w:val="16"/>
                <w:szCs w:val="16"/>
              </w:rPr>
            </w:pPr>
            <w:r w:rsidRPr="52050D6D">
              <w:rPr>
                <w:b/>
                <w:bCs/>
                <w:noProof/>
                <w:color w:val="000000" w:themeColor="text1"/>
                <w:sz w:val="16"/>
                <w:szCs w:val="16"/>
              </w:rPr>
              <w:t>Subtotal outside HEADING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C2176C"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097E9A"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4A90DE"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A473F5" w14:textId="77777777" w:rsidR="00AF7A86" w:rsidRDefault="00AF7A86">
            <w:pPr>
              <w:spacing w:before="0" w:after="0"/>
              <w:jc w:val="right"/>
              <w:rPr>
                <w:b/>
                <w:bCs/>
                <w:noProof/>
                <w:color w:val="000000" w:themeColor="text1"/>
                <w:sz w:val="16"/>
                <w:szCs w:val="16"/>
              </w:rPr>
            </w:pPr>
            <w:r>
              <w:rPr>
                <w:b/>
                <w:bCs/>
                <w:noProof/>
                <w:color w:val="000000" w:themeColor="text1"/>
                <w:sz w:val="16"/>
                <w:szCs w:val="16"/>
              </w:rPr>
              <w:t>1,120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0159A4" w14:textId="77777777" w:rsidR="00AF7A86" w:rsidRDefault="00AF7A86">
            <w:pPr>
              <w:spacing w:before="0" w:after="0"/>
              <w:jc w:val="right"/>
              <w:rPr>
                <w:b/>
                <w:bCs/>
                <w:noProof/>
                <w:color w:val="000000" w:themeColor="text1"/>
                <w:sz w:val="16"/>
                <w:szCs w:val="16"/>
              </w:rPr>
            </w:pPr>
            <w:r>
              <w:rPr>
                <w:b/>
                <w:bCs/>
                <w:noProof/>
                <w:color w:val="000000" w:themeColor="text1"/>
                <w:sz w:val="16"/>
                <w:szCs w:val="16"/>
              </w:rPr>
              <w:t>1,120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D8C809" w14:textId="77777777" w:rsidR="00AF7A86" w:rsidRPr="52050D6D" w:rsidRDefault="00AF7A86">
            <w:pPr>
              <w:spacing w:before="0" w:after="0"/>
              <w:jc w:val="right"/>
              <w:rPr>
                <w:b/>
                <w:bCs/>
                <w:noProof/>
                <w:color w:val="000000" w:themeColor="text1"/>
                <w:sz w:val="16"/>
                <w:szCs w:val="16"/>
              </w:rPr>
            </w:pPr>
            <w:r>
              <w:rPr>
                <w:b/>
                <w:bCs/>
                <w:noProof/>
                <w:color w:val="000000" w:themeColor="text1"/>
                <w:sz w:val="16"/>
                <w:szCs w:val="16"/>
              </w:rPr>
              <w:t>3,500</w:t>
            </w:r>
          </w:p>
        </w:tc>
      </w:tr>
      <w:tr w:rsidR="00AF7A86" w14:paraId="47CC777D"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0437C3" w14:textId="77777777" w:rsidR="00AF7A86" w:rsidRDefault="00AF7A86">
            <w:pPr>
              <w:spacing w:before="0" w:after="0"/>
              <w:jc w:val="center"/>
              <w:rPr>
                <w:noProof/>
                <w:color w:val="000000" w:themeColor="text1"/>
                <w:sz w:val="16"/>
                <w:szCs w:val="16"/>
              </w:rPr>
            </w:pPr>
            <w:r w:rsidRPr="52050D6D">
              <w:rPr>
                <w:noProof/>
                <w:color w:val="000000" w:themeColor="text1"/>
                <w:sz w:val="16"/>
                <w:szCs w:val="16"/>
              </w:rPr>
              <w:t xml:space="preserve"> </w:t>
            </w:r>
          </w:p>
        </w:tc>
        <w:tc>
          <w:tcPr>
            <w:tcW w:w="981" w:type="dxa"/>
            <w:tcBorders>
              <w:top w:val="single" w:sz="8" w:space="0" w:color="auto"/>
              <w:left w:val="single" w:sz="8" w:space="0" w:color="auto"/>
              <w:bottom w:val="single" w:sz="8" w:space="0" w:color="auto"/>
              <w:right w:val="single" w:sz="8" w:space="0" w:color="auto"/>
            </w:tcBorders>
          </w:tcPr>
          <w:p w14:paraId="39DBFED8" w14:textId="77777777" w:rsidR="00AF7A86" w:rsidRPr="52050D6D" w:rsidRDefault="00AF7A86">
            <w:pPr>
              <w:spacing w:before="0" w:after="0"/>
              <w:jc w:val="center"/>
              <w:rPr>
                <w:noProof/>
                <w:color w:val="000000" w:themeColor="text1"/>
                <w:sz w:val="16"/>
                <w:szCs w:val="16"/>
              </w:rPr>
            </w:pPr>
          </w:p>
        </w:tc>
      </w:tr>
      <w:tr w:rsidR="00AF7A86" w14:paraId="751CA4CD" w14:textId="7777777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0A10DA25" w14:textId="77777777" w:rsidR="00AF7A86" w:rsidRDefault="00AF7A86">
            <w:pPr>
              <w:spacing w:before="0" w:after="0"/>
              <w:jc w:val="center"/>
              <w:rPr>
                <w:b/>
                <w:bCs/>
                <w:noProof/>
                <w:color w:val="000000" w:themeColor="text1"/>
                <w:sz w:val="16"/>
                <w:szCs w:val="16"/>
              </w:rPr>
            </w:pPr>
            <w:r w:rsidRPr="52050D6D">
              <w:rPr>
                <w:b/>
                <w:bCs/>
                <w:noProof/>
                <w:color w:val="000000" w:themeColor="text1"/>
                <w:sz w:val="16"/>
                <w:szCs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38D67DA"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2D5E8B2"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034CA79F" w14:textId="77777777" w:rsidR="00AF7A86" w:rsidRDefault="00AF7A86">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EC71FA8" w14:textId="77777777" w:rsidR="00AF7A86" w:rsidRDefault="00AF7A86">
            <w:pPr>
              <w:spacing w:before="0" w:after="0"/>
              <w:jc w:val="right"/>
              <w:rPr>
                <w:b/>
                <w:bCs/>
                <w:noProof/>
                <w:color w:val="000000" w:themeColor="text1"/>
                <w:sz w:val="16"/>
                <w:szCs w:val="16"/>
              </w:rPr>
            </w:pPr>
            <w:r>
              <w:rPr>
                <w:b/>
                <w:bCs/>
                <w:noProof/>
                <w:color w:val="000000" w:themeColor="text1"/>
                <w:sz w:val="16"/>
                <w:szCs w:val="16"/>
              </w:rPr>
              <w:t xml:space="preserve">1,120 </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8163FE9" w14:textId="77777777" w:rsidR="00AF7A86" w:rsidRDefault="00AF7A86">
            <w:pPr>
              <w:spacing w:before="0" w:after="0"/>
              <w:jc w:val="right"/>
              <w:rPr>
                <w:b/>
                <w:bCs/>
                <w:noProof/>
                <w:color w:val="000000" w:themeColor="text1"/>
                <w:sz w:val="16"/>
                <w:szCs w:val="16"/>
              </w:rPr>
            </w:pPr>
            <w:r>
              <w:rPr>
                <w:b/>
                <w:bCs/>
                <w:noProof/>
                <w:color w:val="000000" w:themeColor="text1"/>
                <w:sz w:val="16"/>
                <w:szCs w:val="16"/>
              </w:rPr>
              <w:t>1,120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Pr>
          <w:p w14:paraId="789E89E2" w14:textId="77777777" w:rsidR="00AF7A86" w:rsidRPr="52050D6D" w:rsidRDefault="00AF7A86">
            <w:pPr>
              <w:spacing w:before="0" w:after="0"/>
              <w:jc w:val="right"/>
              <w:rPr>
                <w:b/>
                <w:bCs/>
                <w:noProof/>
                <w:color w:val="000000" w:themeColor="text1"/>
                <w:sz w:val="16"/>
                <w:szCs w:val="16"/>
              </w:rPr>
            </w:pPr>
            <w:r>
              <w:rPr>
                <w:b/>
                <w:bCs/>
                <w:noProof/>
                <w:color w:val="000000" w:themeColor="text1"/>
                <w:sz w:val="16"/>
                <w:szCs w:val="16"/>
              </w:rPr>
              <w:t xml:space="preserve">3,500 </w:t>
            </w:r>
          </w:p>
        </w:tc>
      </w:tr>
    </w:tbl>
    <w:p w14:paraId="66EB367F" w14:textId="77777777" w:rsidR="00AF7A86" w:rsidRPr="00235FE8" w:rsidRDefault="00AF7A86" w:rsidP="00AF7A86">
      <w:pPr>
        <w:pStyle w:val="ManualHeading3"/>
        <w:rPr>
          <w:rStyle w:val="Marker110000"/>
          <w:i w:val="0"/>
          <w:noProof/>
        </w:rPr>
      </w:pPr>
      <w:bookmarkStart w:id="171" w:name="_Toc514938056"/>
      <w:bookmarkStart w:id="172" w:name="_Toc520485055"/>
      <w:bookmarkStart w:id="173" w:name="_Toc160804599"/>
      <w:bookmarkStart w:id="174" w:name="_Toc172893718"/>
      <w:bookmarkEnd w:id="168"/>
      <w:r w:rsidRPr="0021790A">
        <w:rPr>
          <w:noProof/>
        </w:rPr>
        <w:t>3.2.</w:t>
      </w:r>
      <w:r>
        <w:rPr>
          <w:noProof/>
        </w:rPr>
        <w:t>6</w:t>
      </w:r>
      <w:r w:rsidRPr="0021790A">
        <w:rPr>
          <w:noProof/>
        </w:rPr>
        <w:t>.</w:t>
      </w:r>
      <w:r w:rsidRPr="0021790A">
        <w:rPr>
          <w:noProof/>
        </w:rPr>
        <w:tab/>
      </w:r>
      <w:r>
        <w:rPr>
          <w:noProof/>
        </w:rPr>
        <w:t>Compatibility with the current multiannual financial framework</w:t>
      </w:r>
      <w:bookmarkEnd w:id="171"/>
      <w:bookmarkEnd w:id="172"/>
      <w:bookmarkEnd w:id="173"/>
      <w:bookmarkEnd w:id="174"/>
      <w:r>
        <w:rPr>
          <w:noProof/>
        </w:rPr>
        <w:t xml:space="preserve"> </w:t>
      </w:r>
    </w:p>
    <w:p w14:paraId="689680DF" w14:textId="77777777" w:rsidR="00AF7A86" w:rsidRDefault="00AF7A86" w:rsidP="00AF7A86">
      <w:pPr>
        <w:pStyle w:val="Text1"/>
        <w:rPr>
          <w:noProof/>
        </w:rPr>
      </w:pPr>
      <w:r w:rsidRPr="00386FF5">
        <w:rPr>
          <w:noProof/>
        </w:rPr>
        <w:t>The proposal/initiative</w:t>
      </w:r>
      <w:r w:rsidRPr="007974DD">
        <w:rPr>
          <w:noProof/>
        </w:rPr>
        <w:t>:</w:t>
      </w:r>
    </w:p>
    <w:p w14:paraId="70DAE9F0" w14:textId="77777777" w:rsidR="00AF7A86" w:rsidRDefault="00AF7A86" w:rsidP="00AF7A86">
      <w:pPr>
        <w:pStyle w:val="ListDash1"/>
        <w:rPr>
          <w:noProof/>
        </w:rPr>
      </w:pPr>
      <w:r>
        <w:rPr>
          <w:noProof/>
        </w:rPr>
        <w:t xml:space="preserve">X  </w:t>
      </w:r>
      <w:r w:rsidRPr="007B1B0C">
        <w:rPr>
          <w:noProof/>
        </w:rPr>
        <w:t>can be fully financed through redeployment within the relevant</w:t>
      </w:r>
      <w:r>
        <w:rPr>
          <w:noProof/>
        </w:rPr>
        <w:t xml:space="preserve"> heading of the multiannual financial framework (MFF)</w:t>
      </w:r>
    </w:p>
    <w:p w14:paraId="194D90DB" w14:textId="77777777" w:rsidR="00AF7A86" w:rsidRPr="00B0740E" w:rsidRDefault="00AF7A86" w:rsidP="00AF7A86">
      <w:pPr>
        <w:pStyle w:val="Text1"/>
        <w:pBdr>
          <w:top w:val="single" w:sz="4" w:space="1" w:color="auto"/>
          <w:left w:val="single" w:sz="4" w:space="4" w:color="auto"/>
          <w:bottom w:val="single" w:sz="4" w:space="1" w:color="auto"/>
          <w:right w:val="single" w:sz="4" w:space="4" w:color="auto"/>
        </w:pBdr>
        <w:rPr>
          <w:rStyle w:val="Marker110000"/>
          <w:noProof/>
          <w:color w:val="auto"/>
        </w:rPr>
      </w:pPr>
      <w:r w:rsidRPr="00B0740E">
        <w:rPr>
          <w:rStyle w:val="Marker110000"/>
          <w:noProof/>
          <w:color w:val="auto"/>
        </w:rPr>
        <w:t xml:space="preserve">Redeployment would be required within the CEF-E budget line to finance the operational expenditure for 2027. </w:t>
      </w:r>
    </w:p>
    <w:p w14:paraId="4FBACDFE" w14:textId="77777777" w:rsidR="00AF7A86" w:rsidRPr="006D734A" w:rsidRDefault="00AF7A86" w:rsidP="00AF7A86">
      <w:pPr>
        <w:pStyle w:val="Text1"/>
        <w:pBdr>
          <w:top w:val="single" w:sz="4" w:space="1" w:color="auto"/>
          <w:left w:val="single" w:sz="4" w:space="4" w:color="auto"/>
          <w:bottom w:val="single" w:sz="4" w:space="1" w:color="auto"/>
          <w:right w:val="single" w:sz="4" w:space="4" w:color="auto"/>
        </w:pBdr>
        <w:rPr>
          <w:rStyle w:val="Marker110000"/>
          <w:noProof/>
        </w:rPr>
      </w:pPr>
      <w:r w:rsidRPr="00B0740E">
        <w:rPr>
          <w:rStyle w:val="Marker110000"/>
          <w:rFonts w:eastAsiaTheme="minorEastAsia"/>
          <w:noProof/>
          <w:color w:val="auto"/>
          <w:szCs w:val="24"/>
        </w:rPr>
        <w:t xml:space="preserve">Inter-DG redeployment </w:t>
      </w:r>
      <w:r>
        <w:rPr>
          <w:rStyle w:val="Marker110000"/>
          <w:rFonts w:eastAsiaTheme="minorEastAsia"/>
          <w:noProof/>
          <w:color w:val="000000" w:themeColor="text1"/>
          <w:szCs w:val="24"/>
        </w:rPr>
        <w:t xml:space="preserve">could be required to provide for the 2 officials requested for DG Energy to execute the tasks under Requirement 1 described in section 1.5.1. </w:t>
      </w:r>
    </w:p>
    <w:p w14:paraId="4C7D5819" w14:textId="77777777" w:rsidR="00AF7A86" w:rsidRDefault="00AF7A86" w:rsidP="00AF7A86">
      <w:pPr>
        <w:pStyle w:val="ListDash1"/>
        <w:rPr>
          <w:noProof/>
        </w:rPr>
      </w:pPr>
      <w:r>
        <w:rPr>
          <w:rFonts w:ascii="Wingdings" w:eastAsia="Wingdings" w:hAnsi="Wingdings" w:cs="Wingdings"/>
          <w:noProof/>
        </w:rPr>
        <w:t></w:t>
      </w:r>
      <w:r>
        <w:rPr>
          <w:noProof/>
        </w:rPr>
        <w:tab/>
      </w:r>
      <w:r w:rsidRPr="007B1B0C">
        <w:rPr>
          <w:noProof/>
        </w:rPr>
        <w:t>requires use of the unallocated margin under the relevant heading of the MFF and/or use of the special instruments as defined in the MFF Regulation</w:t>
      </w:r>
    </w:p>
    <w:p w14:paraId="7FA99437" w14:textId="77777777" w:rsidR="00AF7A86" w:rsidRDefault="00AF7A86" w:rsidP="00AF7A86">
      <w:pPr>
        <w:pStyle w:val="ListDash1"/>
        <w:rPr>
          <w:noProof/>
        </w:rPr>
      </w:pPr>
      <w:r>
        <w:rPr>
          <w:rFonts w:ascii="Wingdings" w:eastAsia="Wingdings" w:hAnsi="Wingdings" w:cs="Wingdings"/>
          <w:noProof/>
        </w:rPr>
        <w:t></w:t>
      </w:r>
      <w:r>
        <w:rPr>
          <w:noProof/>
        </w:rPr>
        <w:tab/>
      </w:r>
      <w:r w:rsidRPr="007B1B0C">
        <w:rPr>
          <w:noProof/>
        </w:rPr>
        <w:t>requires a revision of the MFF</w:t>
      </w:r>
    </w:p>
    <w:p w14:paraId="27A7F9B8" w14:textId="77777777" w:rsidR="00AF7A86" w:rsidRPr="0047065F" w:rsidRDefault="00AF7A86" w:rsidP="00AF7A86">
      <w:pPr>
        <w:pStyle w:val="ManualHeading3"/>
        <w:rPr>
          <w:noProof/>
        </w:rPr>
      </w:pPr>
      <w:bookmarkStart w:id="175" w:name="_Toc514938058"/>
      <w:bookmarkStart w:id="176" w:name="_Toc520485056"/>
      <w:bookmarkStart w:id="177" w:name="_Toc160804600"/>
      <w:bookmarkStart w:id="178" w:name="_Toc172893719"/>
      <w:r w:rsidRPr="0021790A">
        <w:rPr>
          <w:noProof/>
        </w:rPr>
        <w:t>3.2.</w:t>
      </w:r>
      <w:r>
        <w:rPr>
          <w:noProof/>
        </w:rPr>
        <w:t>7</w:t>
      </w:r>
      <w:r w:rsidRPr="0021790A">
        <w:rPr>
          <w:noProof/>
        </w:rPr>
        <w:t>.</w:t>
      </w:r>
      <w:r w:rsidRPr="0021790A">
        <w:rPr>
          <w:noProof/>
        </w:rPr>
        <w:tab/>
      </w:r>
      <w:r>
        <w:rPr>
          <w:noProof/>
        </w:rPr>
        <w:t>Third-party contributions</w:t>
      </w:r>
      <w:bookmarkEnd w:id="175"/>
      <w:bookmarkEnd w:id="176"/>
      <w:bookmarkEnd w:id="177"/>
      <w:bookmarkEnd w:id="178"/>
      <w:r>
        <w:rPr>
          <w:noProof/>
        </w:rPr>
        <w:t xml:space="preserve"> </w:t>
      </w:r>
    </w:p>
    <w:p w14:paraId="7223C582" w14:textId="77777777" w:rsidR="00AF7A86" w:rsidRPr="00386FF5" w:rsidRDefault="00AF7A86" w:rsidP="00AF7A86">
      <w:pPr>
        <w:pStyle w:val="Text1"/>
        <w:rPr>
          <w:noProof/>
        </w:rPr>
      </w:pPr>
      <w:r w:rsidRPr="007974DD">
        <w:rPr>
          <w:noProof/>
        </w:rPr>
        <w:t>The proposal/initiative:</w:t>
      </w:r>
    </w:p>
    <w:p w14:paraId="615CF8DF" w14:textId="77777777" w:rsidR="00AF7A86" w:rsidRDefault="00AF7A86" w:rsidP="00AF7A86">
      <w:pPr>
        <w:pStyle w:val="ListDash1"/>
        <w:rPr>
          <w:noProof/>
        </w:rPr>
      </w:pPr>
      <w:r>
        <w:rPr>
          <w:noProof/>
        </w:rPr>
        <w:t>X does not provide for co-financing by third parties</w:t>
      </w:r>
    </w:p>
    <w:p w14:paraId="46C46B89" w14:textId="77777777" w:rsidR="00AF7A86" w:rsidRDefault="00AF7A86" w:rsidP="00AF7A86">
      <w:pPr>
        <w:pStyle w:val="ListDash1"/>
        <w:rPr>
          <w:noProof/>
        </w:rPr>
      </w:pPr>
      <w:r>
        <w:rPr>
          <w:rFonts w:ascii="Wingdings" w:eastAsia="Wingdings" w:hAnsi="Wingdings" w:cs="Wingdings"/>
          <w:noProof/>
        </w:rPr>
        <w:t></w:t>
      </w:r>
      <w:r>
        <w:rPr>
          <w:noProof/>
        </w:rPr>
        <w:tab/>
        <w:t>provides for the co-financing by third parties estimated below:</w:t>
      </w:r>
    </w:p>
    <w:p w14:paraId="785E4F84" w14:textId="77777777" w:rsidR="00AF7A86" w:rsidRPr="003A769F" w:rsidRDefault="00AF7A86" w:rsidP="00AF7A86">
      <w:pPr>
        <w:jc w:val="right"/>
        <w:rPr>
          <w:noProof/>
          <w:sz w:val="20"/>
          <w:lang w:val="en-IE"/>
        </w:rPr>
      </w:pPr>
      <w:r w:rsidRPr="003A769F">
        <w:rPr>
          <w:noProof/>
          <w:sz w:val="20"/>
          <w:lang w:val="en-IE"/>
        </w:rPr>
        <w:t>Appropriations in EUR million (to three decimal places)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7"/>
        <w:gridCol w:w="1217"/>
        <w:gridCol w:w="1217"/>
        <w:gridCol w:w="1217"/>
        <w:gridCol w:w="1217"/>
        <w:gridCol w:w="1462"/>
      </w:tblGrid>
      <w:tr w:rsidR="00AF7A86" w14:paraId="2977B6B3" w14:textId="77777777">
        <w:trPr>
          <w:cantSplit/>
        </w:trPr>
        <w:tc>
          <w:tcPr>
            <w:tcW w:w="1591" w:type="pct"/>
          </w:tcPr>
          <w:p w14:paraId="551D789B" w14:textId="77777777" w:rsidR="00AF7A86" w:rsidRPr="003A769F" w:rsidRDefault="00AF7A86">
            <w:pPr>
              <w:spacing w:before="60" w:after="60"/>
              <w:rPr>
                <w:noProof/>
                <w:sz w:val="20"/>
                <w:lang w:val="en-IE"/>
              </w:rPr>
            </w:pPr>
          </w:p>
        </w:tc>
        <w:tc>
          <w:tcPr>
            <w:tcW w:w="655" w:type="pct"/>
            <w:vAlign w:val="center"/>
          </w:tcPr>
          <w:p w14:paraId="66A8C3AC" w14:textId="77777777" w:rsidR="00AF7A86" w:rsidRDefault="00AF7A86">
            <w:pPr>
              <w:jc w:val="center"/>
              <w:rPr>
                <w:noProof/>
                <w:sz w:val="20"/>
              </w:rPr>
            </w:pPr>
            <w:r>
              <w:rPr>
                <w:noProof/>
                <w:sz w:val="20"/>
              </w:rPr>
              <w:t xml:space="preserve">Year </w:t>
            </w:r>
            <w:r>
              <w:rPr>
                <w:b/>
                <w:noProof/>
                <w:sz w:val="20"/>
              </w:rPr>
              <w:t>2024</w:t>
            </w:r>
          </w:p>
        </w:tc>
        <w:tc>
          <w:tcPr>
            <w:tcW w:w="655" w:type="pct"/>
            <w:vAlign w:val="center"/>
          </w:tcPr>
          <w:p w14:paraId="736796DE" w14:textId="77777777" w:rsidR="00AF7A86" w:rsidRDefault="00AF7A86">
            <w:pPr>
              <w:jc w:val="center"/>
              <w:rPr>
                <w:noProof/>
                <w:sz w:val="20"/>
              </w:rPr>
            </w:pPr>
            <w:r>
              <w:rPr>
                <w:noProof/>
                <w:sz w:val="20"/>
              </w:rPr>
              <w:t xml:space="preserve">Year </w:t>
            </w:r>
            <w:r>
              <w:rPr>
                <w:b/>
                <w:noProof/>
                <w:sz w:val="20"/>
              </w:rPr>
              <w:t>2025</w:t>
            </w:r>
          </w:p>
        </w:tc>
        <w:tc>
          <w:tcPr>
            <w:tcW w:w="655" w:type="pct"/>
            <w:vAlign w:val="center"/>
          </w:tcPr>
          <w:p w14:paraId="6813A660" w14:textId="77777777" w:rsidR="00AF7A86" w:rsidRDefault="00AF7A86">
            <w:pPr>
              <w:jc w:val="center"/>
              <w:rPr>
                <w:noProof/>
                <w:sz w:val="20"/>
              </w:rPr>
            </w:pPr>
            <w:r>
              <w:rPr>
                <w:noProof/>
                <w:sz w:val="20"/>
              </w:rPr>
              <w:t xml:space="preserve">Year </w:t>
            </w:r>
            <w:r>
              <w:rPr>
                <w:b/>
                <w:noProof/>
                <w:sz w:val="20"/>
              </w:rPr>
              <w:t>2026</w:t>
            </w:r>
          </w:p>
        </w:tc>
        <w:tc>
          <w:tcPr>
            <w:tcW w:w="655" w:type="pct"/>
            <w:vAlign w:val="center"/>
          </w:tcPr>
          <w:p w14:paraId="54E2A816" w14:textId="77777777" w:rsidR="00AF7A86" w:rsidRDefault="00AF7A86">
            <w:pPr>
              <w:jc w:val="center"/>
              <w:rPr>
                <w:noProof/>
                <w:sz w:val="20"/>
              </w:rPr>
            </w:pPr>
            <w:r>
              <w:rPr>
                <w:noProof/>
                <w:sz w:val="20"/>
              </w:rPr>
              <w:t xml:space="preserve">Year </w:t>
            </w:r>
            <w:r>
              <w:rPr>
                <w:b/>
                <w:noProof/>
                <w:sz w:val="20"/>
              </w:rPr>
              <w:t>2027</w:t>
            </w:r>
          </w:p>
        </w:tc>
        <w:tc>
          <w:tcPr>
            <w:tcW w:w="787" w:type="pct"/>
            <w:vAlign w:val="center"/>
          </w:tcPr>
          <w:p w14:paraId="16572D76" w14:textId="77777777" w:rsidR="00AF7A86" w:rsidRDefault="00AF7A86">
            <w:pPr>
              <w:spacing w:before="60" w:after="60"/>
              <w:jc w:val="center"/>
              <w:rPr>
                <w:noProof/>
                <w:sz w:val="20"/>
              </w:rPr>
            </w:pPr>
            <w:r>
              <w:rPr>
                <w:noProof/>
                <w:sz w:val="20"/>
              </w:rPr>
              <w:t>Total</w:t>
            </w:r>
          </w:p>
        </w:tc>
      </w:tr>
      <w:tr w:rsidR="00AF7A86" w:rsidRPr="003A769F" w14:paraId="2CF47D8B" w14:textId="77777777">
        <w:trPr>
          <w:cantSplit/>
        </w:trPr>
        <w:tc>
          <w:tcPr>
            <w:tcW w:w="1591" w:type="pct"/>
          </w:tcPr>
          <w:p w14:paraId="70A8B8A8" w14:textId="77777777" w:rsidR="00AF7A86" w:rsidRPr="003A769F" w:rsidRDefault="00AF7A86">
            <w:pPr>
              <w:rPr>
                <w:noProof/>
                <w:lang w:val="en-IE"/>
              </w:rPr>
            </w:pPr>
            <w:r w:rsidRPr="003A769F">
              <w:rPr>
                <w:noProof/>
                <w:sz w:val="20"/>
                <w:lang w:val="en-IE"/>
              </w:rPr>
              <w:t>Specify the co-financing body</w:t>
            </w:r>
            <w:r w:rsidRPr="003A769F">
              <w:rPr>
                <w:i/>
                <w:noProof/>
                <w:sz w:val="20"/>
                <w:lang w:val="en-IE"/>
              </w:rPr>
              <w:t xml:space="preserve"> </w:t>
            </w:r>
          </w:p>
        </w:tc>
        <w:tc>
          <w:tcPr>
            <w:tcW w:w="655" w:type="pct"/>
            <w:vAlign w:val="center"/>
          </w:tcPr>
          <w:p w14:paraId="13C0F7C0" w14:textId="77777777" w:rsidR="00AF7A86" w:rsidRPr="003A769F" w:rsidRDefault="00AF7A86">
            <w:pPr>
              <w:spacing w:before="60" w:after="60"/>
              <w:jc w:val="center"/>
              <w:rPr>
                <w:noProof/>
                <w:sz w:val="20"/>
                <w:lang w:val="en-IE"/>
              </w:rPr>
            </w:pPr>
          </w:p>
        </w:tc>
        <w:tc>
          <w:tcPr>
            <w:tcW w:w="655" w:type="pct"/>
            <w:vAlign w:val="center"/>
          </w:tcPr>
          <w:p w14:paraId="6CED37D2" w14:textId="77777777" w:rsidR="00AF7A86" w:rsidRPr="003A769F" w:rsidRDefault="00AF7A86">
            <w:pPr>
              <w:spacing w:before="60" w:after="60"/>
              <w:jc w:val="center"/>
              <w:rPr>
                <w:noProof/>
                <w:sz w:val="20"/>
                <w:lang w:val="en-IE"/>
              </w:rPr>
            </w:pPr>
          </w:p>
        </w:tc>
        <w:tc>
          <w:tcPr>
            <w:tcW w:w="655" w:type="pct"/>
            <w:vAlign w:val="center"/>
          </w:tcPr>
          <w:p w14:paraId="63836088" w14:textId="77777777" w:rsidR="00AF7A86" w:rsidRPr="003A769F" w:rsidRDefault="00AF7A86">
            <w:pPr>
              <w:spacing w:before="60" w:after="60"/>
              <w:jc w:val="center"/>
              <w:rPr>
                <w:noProof/>
                <w:sz w:val="20"/>
                <w:lang w:val="en-IE"/>
              </w:rPr>
            </w:pPr>
          </w:p>
        </w:tc>
        <w:tc>
          <w:tcPr>
            <w:tcW w:w="655" w:type="pct"/>
            <w:vAlign w:val="center"/>
          </w:tcPr>
          <w:p w14:paraId="421B3B51" w14:textId="77777777" w:rsidR="00AF7A86" w:rsidRPr="003A769F" w:rsidRDefault="00AF7A86">
            <w:pPr>
              <w:spacing w:before="60" w:after="60"/>
              <w:jc w:val="center"/>
              <w:rPr>
                <w:noProof/>
                <w:sz w:val="20"/>
                <w:lang w:val="en-IE"/>
              </w:rPr>
            </w:pPr>
          </w:p>
        </w:tc>
        <w:tc>
          <w:tcPr>
            <w:tcW w:w="787" w:type="pct"/>
            <w:vAlign w:val="center"/>
          </w:tcPr>
          <w:p w14:paraId="29BF5A35" w14:textId="77777777" w:rsidR="00AF7A86" w:rsidRPr="003A769F" w:rsidRDefault="00AF7A86">
            <w:pPr>
              <w:spacing w:before="60" w:after="60"/>
              <w:jc w:val="center"/>
              <w:rPr>
                <w:noProof/>
                <w:sz w:val="20"/>
                <w:lang w:val="en-IE"/>
              </w:rPr>
            </w:pPr>
          </w:p>
        </w:tc>
      </w:tr>
      <w:tr w:rsidR="00AF7A86" w14:paraId="22F6E5EA" w14:textId="77777777">
        <w:trPr>
          <w:cantSplit/>
        </w:trPr>
        <w:tc>
          <w:tcPr>
            <w:tcW w:w="1591" w:type="pct"/>
          </w:tcPr>
          <w:p w14:paraId="3A81129E" w14:textId="77777777" w:rsidR="00AF7A86" w:rsidRDefault="00AF7A86">
            <w:pPr>
              <w:spacing w:before="60" w:after="60"/>
              <w:jc w:val="left"/>
              <w:rPr>
                <w:noProof/>
                <w:sz w:val="20"/>
              </w:rPr>
            </w:pPr>
            <w:r>
              <w:rPr>
                <w:noProof/>
                <w:sz w:val="20"/>
              </w:rPr>
              <w:t xml:space="preserve">TOTAL appropriations co-financed </w:t>
            </w:r>
          </w:p>
        </w:tc>
        <w:tc>
          <w:tcPr>
            <w:tcW w:w="655" w:type="pct"/>
            <w:vAlign w:val="center"/>
          </w:tcPr>
          <w:p w14:paraId="04B3F811" w14:textId="77777777" w:rsidR="00AF7A86" w:rsidRDefault="00AF7A86">
            <w:pPr>
              <w:spacing w:before="60" w:after="60"/>
              <w:jc w:val="center"/>
              <w:rPr>
                <w:noProof/>
                <w:sz w:val="20"/>
              </w:rPr>
            </w:pPr>
          </w:p>
        </w:tc>
        <w:tc>
          <w:tcPr>
            <w:tcW w:w="655" w:type="pct"/>
            <w:vAlign w:val="center"/>
          </w:tcPr>
          <w:p w14:paraId="07404E4A" w14:textId="77777777" w:rsidR="00AF7A86" w:rsidRDefault="00AF7A86">
            <w:pPr>
              <w:spacing w:before="60" w:after="60"/>
              <w:jc w:val="center"/>
              <w:rPr>
                <w:noProof/>
                <w:sz w:val="20"/>
              </w:rPr>
            </w:pPr>
          </w:p>
        </w:tc>
        <w:tc>
          <w:tcPr>
            <w:tcW w:w="655" w:type="pct"/>
            <w:vAlign w:val="center"/>
          </w:tcPr>
          <w:p w14:paraId="49082381" w14:textId="77777777" w:rsidR="00AF7A86" w:rsidRDefault="00AF7A86">
            <w:pPr>
              <w:spacing w:before="60" w:after="60"/>
              <w:jc w:val="center"/>
              <w:rPr>
                <w:noProof/>
                <w:sz w:val="20"/>
              </w:rPr>
            </w:pPr>
          </w:p>
        </w:tc>
        <w:tc>
          <w:tcPr>
            <w:tcW w:w="655" w:type="pct"/>
            <w:vAlign w:val="center"/>
          </w:tcPr>
          <w:p w14:paraId="5846F5A9" w14:textId="77777777" w:rsidR="00AF7A86" w:rsidRDefault="00AF7A86">
            <w:pPr>
              <w:spacing w:before="60" w:after="60"/>
              <w:jc w:val="center"/>
              <w:rPr>
                <w:noProof/>
                <w:sz w:val="20"/>
              </w:rPr>
            </w:pPr>
          </w:p>
        </w:tc>
        <w:tc>
          <w:tcPr>
            <w:tcW w:w="787" w:type="pct"/>
            <w:vAlign w:val="center"/>
          </w:tcPr>
          <w:p w14:paraId="354B4084" w14:textId="77777777" w:rsidR="00AF7A86" w:rsidRDefault="00AF7A86">
            <w:pPr>
              <w:spacing w:before="60" w:after="60"/>
              <w:jc w:val="center"/>
              <w:rPr>
                <w:noProof/>
                <w:sz w:val="20"/>
              </w:rPr>
            </w:pPr>
          </w:p>
        </w:tc>
      </w:tr>
    </w:tbl>
    <w:p w14:paraId="74DF134D" w14:textId="77777777" w:rsidR="00AF7A86" w:rsidRPr="001E0673" w:rsidRDefault="00AF7A86" w:rsidP="00AF7A86">
      <w:pPr>
        <w:rPr>
          <w:b/>
          <w:bCs/>
          <w:noProof/>
          <w:szCs w:val="24"/>
        </w:rPr>
      </w:pPr>
      <w:r>
        <w:rPr>
          <w:noProof/>
        </w:rPr>
        <w:br/>
      </w:r>
      <w:bookmarkStart w:id="179" w:name="_Toc160804601"/>
      <w:bookmarkStart w:id="180" w:name="_Hlk177486416"/>
      <w:r w:rsidRPr="001E0673">
        <w:rPr>
          <w:b/>
          <w:bCs/>
          <w:noProof/>
        </w:rPr>
        <w:t>3.2.8.</w:t>
      </w:r>
      <w:r w:rsidRPr="001E0673">
        <w:rPr>
          <w:b/>
          <w:bCs/>
          <w:noProof/>
        </w:rPr>
        <w:tab/>
        <w:t>Estimated human resources and the use of appropriations required in a</w:t>
      </w:r>
      <w:r>
        <w:rPr>
          <w:noProof/>
        </w:rPr>
        <w:t xml:space="preserve"> </w:t>
      </w:r>
      <w:r w:rsidRPr="001E0673">
        <w:rPr>
          <w:b/>
          <w:bCs/>
          <w:noProof/>
        </w:rPr>
        <w:t>decentralised agency</w:t>
      </w:r>
      <w:bookmarkEnd w:id="179"/>
      <w:r w:rsidRPr="001E0673">
        <w:rPr>
          <w:b/>
          <w:bCs/>
          <w:noProof/>
        </w:rPr>
        <w:t xml:space="preserve"> </w:t>
      </w:r>
    </w:p>
    <w:bookmarkEnd w:id="180"/>
    <w:p w14:paraId="2CF47440" w14:textId="77777777" w:rsidR="00AF7A86" w:rsidRPr="0094063F" w:rsidRDefault="00AF7A86" w:rsidP="00AF7A86">
      <w:pPr>
        <w:ind w:left="-142"/>
        <w:jc w:val="left"/>
        <w:rPr>
          <w:noProof/>
          <w:sz w:val="22"/>
          <w:u w:val="single"/>
        </w:rPr>
      </w:pPr>
      <w:r w:rsidRPr="0094063F">
        <w:rPr>
          <w:noProof/>
          <w:sz w:val="22"/>
          <w:u w:val="single"/>
        </w:rPr>
        <w:t>Staff requirements (</w:t>
      </w:r>
      <w:r>
        <w:rPr>
          <w:noProof/>
          <w:sz w:val="22"/>
          <w:u w:val="single"/>
        </w:rPr>
        <w:t>fulll-time equivalent units</w:t>
      </w:r>
      <w:r w:rsidRPr="0094063F">
        <w:rPr>
          <w:noProof/>
          <w:sz w:val="22"/>
          <w:u w:val="single"/>
        </w:rPr>
        <w:t>)</w:t>
      </w:r>
    </w:p>
    <w:tbl>
      <w:tblPr>
        <w:tblW w:w="106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97"/>
        <w:gridCol w:w="1404"/>
        <w:gridCol w:w="1404"/>
        <w:gridCol w:w="1404"/>
        <w:gridCol w:w="1404"/>
        <w:gridCol w:w="1290"/>
      </w:tblGrid>
      <w:tr w:rsidR="00AF7A86" w:rsidRPr="002D73DA" w14:paraId="49ED0B18" w14:textId="77777777">
        <w:trPr>
          <w:trHeight w:val="585"/>
          <w:jc w:val="center"/>
        </w:trPr>
        <w:tc>
          <w:tcPr>
            <w:tcW w:w="3697" w:type="dxa"/>
            <w:vAlign w:val="center"/>
          </w:tcPr>
          <w:p w14:paraId="391C77B8" w14:textId="77777777" w:rsidR="00AF7A86" w:rsidRPr="00070628" w:rsidRDefault="00AF7A86">
            <w:pPr>
              <w:spacing w:before="60" w:after="60"/>
              <w:jc w:val="center"/>
              <w:rPr>
                <w:b/>
                <w:bCs/>
                <w:noProof/>
                <w:sz w:val="20"/>
                <w:szCs w:val="20"/>
              </w:rPr>
            </w:pPr>
            <w:r w:rsidRPr="00070628">
              <w:rPr>
                <w:b/>
                <w:bCs/>
                <w:noProof/>
                <w:color w:val="444444"/>
                <w:sz w:val="20"/>
                <w:szCs w:val="20"/>
                <w:shd w:val="clear" w:color="auto" w:fill="FFFFFF"/>
              </w:rPr>
              <w:t xml:space="preserve">Agency: </w:t>
            </w:r>
            <w:r>
              <w:rPr>
                <w:b/>
                <w:bCs/>
                <w:noProof/>
                <w:color w:val="444444"/>
                <w:sz w:val="20"/>
                <w:szCs w:val="20"/>
                <w:shd w:val="clear" w:color="auto" w:fill="FFFFFF"/>
              </w:rPr>
              <w:t>ACER</w:t>
            </w:r>
          </w:p>
        </w:tc>
        <w:tc>
          <w:tcPr>
            <w:tcW w:w="1404" w:type="dxa"/>
            <w:vAlign w:val="center"/>
          </w:tcPr>
          <w:p w14:paraId="142997BA" w14:textId="77777777" w:rsidR="00AF7A86" w:rsidRPr="002D73DA" w:rsidRDefault="00AF7A86">
            <w:pPr>
              <w:spacing w:before="60" w:after="60"/>
              <w:jc w:val="center"/>
              <w:rPr>
                <w:noProof/>
                <w:sz w:val="20"/>
                <w:szCs w:val="20"/>
              </w:rPr>
            </w:pPr>
            <w:r w:rsidRPr="002D73DA">
              <w:rPr>
                <w:noProof/>
                <w:sz w:val="20"/>
                <w:szCs w:val="20"/>
              </w:rPr>
              <w:t>Year</w:t>
            </w:r>
            <w:r>
              <w:rPr>
                <w:b/>
                <w:bCs/>
                <w:noProof/>
                <w:sz w:val="20"/>
                <w:szCs w:val="20"/>
              </w:rPr>
              <w:t xml:space="preserve"> </w:t>
            </w:r>
            <w:r w:rsidRPr="00B87906">
              <w:rPr>
                <w:b/>
                <w:bCs/>
                <w:noProof/>
                <w:sz w:val="20"/>
                <w:szCs w:val="20"/>
              </w:rPr>
              <w:t>2024</w:t>
            </w:r>
          </w:p>
        </w:tc>
        <w:tc>
          <w:tcPr>
            <w:tcW w:w="1404" w:type="dxa"/>
            <w:vAlign w:val="center"/>
          </w:tcPr>
          <w:p w14:paraId="1AAE71CC" w14:textId="77777777" w:rsidR="00AF7A86" w:rsidRPr="002D73DA" w:rsidRDefault="00AF7A86">
            <w:pPr>
              <w:spacing w:before="60" w:after="60"/>
              <w:jc w:val="center"/>
              <w:rPr>
                <w:noProof/>
                <w:sz w:val="20"/>
                <w:szCs w:val="20"/>
              </w:rPr>
            </w:pPr>
            <w:r w:rsidRPr="002D73DA">
              <w:rPr>
                <w:noProof/>
                <w:sz w:val="20"/>
                <w:szCs w:val="20"/>
              </w:rPr>
              <w:t>Year</w:t>
            </w:r>
            <w:r>
              <w:rPr>
                <w:b/>
                <w:noProof/>
                <w:sz w:val="20"/>
                <w:szCs w:val="20"/>
              </w:rPr>
              <w:t xml:space="preserve"> 2025</w:t>
            </w:r>
          </w:p>
        </w:tc>
        <w:tc>
          <w:tcPr>
            <w:tcW w:w="1404" w:type="dxa"/>
            <w:vAlign w:val="center"/>
          </w:tcPr>
          <w:p w14:paraId="31504D91" w14:textId="77777777" w:rsidR="00AF7A86" w:rsidRPr="002D73DA" w:rsidRDefault="00AF7A86">
            <w:pPr>
              <w:spacing w:before="60" w:after="60"/>
              <w:jc w:val="center"/>
              <w:rPr>
                <w:noProof/>
                <w:sz w:val="20"/>
                <w:szCs w:val="20"/>
              </w:rPr>
            </w:pPr>
            <w:r w:rsidRPr="002D73DA">
              <w:rPr>
                <w:noProof/>
                <w:sz w:val="20"/>
                <w:szCs w:val="20"/>
              </w:rPr>
              <w:t>Year</w:t>
            </w:r>
            <w:r>
              <w:rPr>
                <w:b/>
                <w:noProof/>
                <w:sz w:val="20"/>
                <w:szCs w:val="20"/>
              </w:rPr>
              <w:t xml:space="preserve"> 2026</w:t>
            </w:r>
          </w:p>
        </w:tc>
        <w:tc>
          <w:tcPr>
            <w:tcW w:w="1404" w:type="dxa"/>
            <w:vAlign w:val="center"/>
          </w:tcPr>
          <w:p w14:paraId="70BC7ED4" w14:textId="77777777" w:rsidR="00AF7A86" w:rsidRPr="002D73DA" w:rsidRDefault="00AF7A86">
            <w:pPr>
              <w:spacing w:before="60" w:after="60"/>
              <w:jc w:val="center"/>
              <w:rPr>
                <w:noProof/>
                <w:sz w:val="20"/>
                <w:szCs w:val="20"/>
              </w:rPr>
            </w:pPr>
            <w:r w:rsidRPr="002D73DA">
              <w:rPr>
                <w:noProof/>
                <w:sz w:val="20"/>
                <w:szCs w:val="20"/>
              </w:rPr>
              <w:t>Year</w:t>
            </w:r>
            <w:r>
              <w:rPr>
                <w:b/>
                <w:noProof/>
                <w:sz w:val="20"/>
                <w:szCs w:val="20"/>
              </w:rPr>
              <w:t xml:space="preserve"> 2027</w:t>
            </w:r>
          </w:p>
        </w:tc>
        <w:tc>
          <w:tcPr>
            <w:tcW w:w="1290" w:type="dxa"/>
            <w:vAlign w:val="center"/>
          </w:tcPr>
          <w:p w14:paraId="0A5A6BFA" w14:textId="77777777" w:rsidR="00AF7A86" w:rsidRDefault="00AF7A86">
            <w:pPr>
              <w:spacing w:before="60" w:after="60"/>
              <w:jc w:val="right"/>
              <w:rPr>
                <w:noProof/>
                <w:sz w:val="20"/>
                <w:szCs w:val="20"/>
              </w:rPr>
            </w:pPr>
            <w:r>
              <w:rPr>
                <w:noProof/>
                <w:sz w:val="20"/>
                <w:szCs w:val="20"/>
              </w:rPr>
              <w:t>Post 2027</w:t>
            </w:r>
          </w:p>
        </w:tc>
      </w:tr>
      <w:tr w:rsidR="00AF7A86" w:rsidRPr="002D73DA" w14:paraId="59FF04AF" w14:textId="77777777">
        <w:trPr>
          <w:trHeight w:val="585"/>
          <w:jc w:val="center"/>
        </w:trPr>
        <w:tc>
          <w:tcPr>
            <w:tcW w:w="3697" w:type="dxa"/>
            <w:vAlign w:val="center"/>
          </w:tcPr>
          <w:p w14:paraId="25CF772E" w14:textId="77777777" w:rsidR="00AF7A86" w:rsidRPr="002D73DA" w:rsidRDefault="00AF7A86">
            <w:pPr>
              <w:spacing w:before="60" w:after="60"/>
              <w:jc w:val="left"/>
              <w:rPr>
                <w:noProof/>
                <w:sz w:val="20"/>
                <w:szCs w:val="20"/>
              </w:rPr>
            </w:pPr>
            <w:r w:rsidRPr="002D73DA">
              <w:rPr>
                <w:noProof/>
                <w:sz w:val="20"/>
                <w:szCs w:val="20"/>
              </w:rPr>
              <w:t>Temporary agents (AD Grades)</w:t>
            </w:r>
          </w:p>
        </w:tc>
        <w:tc>
          <w:tcPr>
            <w:tcW w:w="1404" w:type="dxa"/>
            <w:vAlign w:val="center"/>
          </w:tcPr>
          <w:p w14:paraId="231BE2EC" w14:textId="77777777" w:rsidR="00AF7A86" w:rsidRPr="002D73DA" w:rsidRDefault="00AF7A86">
            <w:pPr>
              <w:spacing w:before="60" w:after="60"/>
              <w:jc w:val="right"/>
              <w:rPr>
                <w:noProof/>
                <w:sz w:val="20"/>
                <w:szCs w:val="20"/>
              </w:rPr>
            </w:pPr>
          </w:p>
        </w:tc>
        <w:tc>
          <w:tcPr>
            <w:tcW w:w="1404" w:type="dxa"/>
            <w:vAlign w:val="center"/>
          </w:tcPr>
          <w:p w14:paraId="7FDD4EF3" w14:textId="77777777" w:rsidR="00AF7A86" w:rsidRPr="002D73DA" w:rsidRDefault="00AF7A86">
            <w:pPr>
              <w:spacing w:before="60" w:after="60"/>
              <w:jc w:val="right"/>
              <w:rPr>
                <w:noProof/>
                <w:sz w:val="20"/>
                <w:szCs w:val="20"/>
              </w:rPr>
            </w:pPr>
          </w:p>
        </w:tc>
        <w:tc>
          <w:tcPr>
            <w:tcW w:w="1404" w:type="dxa"/>
            <w:vAlign w:val="center"/>
          </w:tcPr>
          <w:p w14:paraId="682AAA99" w14:textId="77777777" w:rsidR="00AF7A86" w:rsidRPr="002D73DA" w:rsidRDefault="00AF7A86">
            <w:pPr>
              <w:spacing w:before="60" w:after="60"/>
              <w:jc w:val="right"/>
              <w:rPr>
                <w:noProof/>
                <w:sz w:val="20"/>
                <w:szCs w:val="20"/>
              </w:rPr>
            </w:pPr>
          </w:p>
        </w:tc>
        <w:tc>
          <w:tcPr>
            <w:tcW w:w="1404" w:type="dxa"/>
            <w:vAlign w:val="center"/>
          </w:tcPr>
          <w:p w14:paraId="47DFA632" w14:textId="77777777" w:rsidR="00AF7A86" w:rsidRPr="002D73DA" w:rsidRDefault="00AF7A86">
            <w:pPr>
              <w:spacing w:before="60" w:after="60"/>
              <w:jc w:val="right"/>
              <w:rPr>
                <w:noProof/>
                <w:sz w:val="20"/>
                <w:szCs w:val="20"/>
              </w:rPr>
            </w:pPr>
            <w:r>
              <w:rPr>
                <w:noProof/>
                <w:sz w:val="20"/>
                <w:szCs w:val="20"/>
              </w:rPr>
              <w:t>1</w:t>
            </w:r>
          </w:p>
        </w:tc>
        <w:tc>
          <w:tcPr>
            <w:tcW w:w="1290" w:type="dxa"/>
            <w:vAlign w:val="center"/>
          </w:tcPr>
          <w:p w14:paraId="69F7943E" w14:textId="77777777" w:rsidR="00AF7A86" w:rsidRPr="002D73DA" w:rsidRDefault="00AF7A86">
            <w:pPr>
              <w:spacing w:before="60" w:after="60"/>
              <w:jc w:val="right"/>
              <w:rPr>
                <w:noProof/>
                <w:sz w:val="20"/>
                <w:szCs w:val="20"/>
              </w:rPr>
            </w:pPr>
            <w:r>
              <w:rPr>
                <w:noProof/>
                <w:sz w:val="20"/>
                <w:szCs w:val="20"/>
              </w:rPr>
              <w:t>1</w:t>
            </w:r>
          </w:p>
        </w:tc>
      </w:tr>
      <w:tr w:rsidR="00AF7A86" w:rsidRPr="002D73DA" w14:paraId="3C79AEDC" w14:textId="77777777">
        <w:trPr>
          <w:trHeight w:val="585"/>
          <w:jc w:val="center"/>
        </w:trPr>
        <w:tc>
          <w:tcPr>
            <w:tcW w:w="3697" w:type="dxa"/>
            <w:vAlign w:val="center"/>
          </w:tcPr>
          <w:p w14:paraId="27639893" w14:textId="77777777" w:rsidR="00AF7A86" w:rsidRPr="002D73DA" w:rsidRDefault="00AF7A86">
            <w:pPr>
              <w:spacing w:before="60" w:after="60"/>
              <w:jc w:val="left"/>
              <w:rPr>
                <w:noProof/>
                <w:sz w:val="20"/>
                <w:szCs w:val="20"/>
              </w:rPr>
            </w:pPr>
            <w:r w:rsidRPr="002D73DA">
              <w:rPr>
                <w:noProof/>
                <w:sz w:val="20"/>
                <w:szCs w:val="20"/>
              </w:rPr>
              <w:t>Temporary agents (AST grades)</w:t>
            </w:r>
          </w:p>
        </w:tc>
        <w:tc>
          <w:tcPr>
            <w:tcW w:w="1404" w:type="dxa"/>
            <w:vAlign w:val="center"/>
          </w:tcPr>
          <w:p w14:paraId="32E10191" w14:textId="77777777" w:rsidR="00AF7A86" w:rsidRPr="002D73DA" w:rsidRDefault="00AF7A86">
            <w:pPr>
              <w:spacing w:before="60" w:after="60"/>
              <w:jc w:val="right"/>
              <w:rPr>
                <w:noProof/>
                <w:sz w:val="20"/>
                <w:szCs w:val="20"/>
              </w:rPr>
            </w:pPr>
          </w:p>
        </w:tc>
        <w:tc>
          <w:tcPr>
            <w:tcW w:w="1404" w:type="dxa"/>
            <w:vAlign w:val="center"/>
          </w:tcPr>
          <w:p w14:paraId="7D05DA0F" w14:textId="77777777" w:rsidR="00AF7A86" w:rsidRPr="002D73DA" w:rsidRDefault="00AF7A86">
            <w:pPr>
              <w:spacing w:before="60" w:after="60"/>
              <w:jc w:val="right"/>
              <w:rPr>
                <w:noProof/>
                <w:sz w:val="20"/>
                <w:szCs w:val="20"/>
              </w:rPr>
            </w:pPr>
          </w:p>
        </w:tc>
        <w:tc>
          <w:tcPr>
            <w:tcW w:w="1404" w:type="dxa"/>
            <w:vAlign w:val="center"/>
          </w:tcPr>
          <w:p w14:paraId="648B6F1A" w14:textId="77777777" w:rsidR="00AF7A86" w:rsidRPr="002D73DA" w:rsidRDefault="00AF7A86">
            <w:pPr>
              <w:spacing w:before="60" w:after="60"/>
              <w:jc w:val="right"/>
              <w:rPr>
                <w:noProof/>
                <w:sz w:val="20"/>
                <w:szCs w:val="20"/>
              </w:rPr>
            </w:pPr>
          </w:p>
        </w:tc>
        <w:tc>
          <w:tcPr>
            <w:tcW w:w="1404" w:type="dxa"/>
            <w:vAlign w:val="center"/>
          </w:tcPr>
          <w:p w14:paraId="543229D0" w14:textId="77777777" w:rsidR="00AF7A86" w:rsidRPr="002D73DA" w:rsidRDefault="00AF7A86">
            <w:pPr>
              <w:spacing w:before="60" w:after="60"/>
              <w:jc w:val="right"/>
              <w:rPr>
                <w:noProof/>
                <w:sz w:val="20"/>
                <w:szCs w:val="20"/>
              </w:rPr>
            </w:pPr>
          </w:p>
        </w:tc>
        <w:tc>
          <w:tcPr>
            <w:tcW w:w="1290" w:type="dxa"/>
            <w:vAlign w:val="center"/>
          </w:tcPr>
          <w:p w14:paraId="237AE396" w14:textId="77777777" w:rsidR="00AF7A86" w:rsidRPr="002D73DA" w:rsidRDefault="00AF7A86">
            <w:pPr>
              <w:spacing w:before="60" w:after="60"/>
              <w:jc w:val="right"/>
              <w:rPr>
                <w:noProof/>
                <w:sz w:val="20"/>
                <w:szCs w:val="20"/>
              </w:rPr>
            </w:pPr>
          </w:p>
        </w:tc>
      </w:tr>
      <w:tr w:rsidR="00AF7A86" w:rsidRPr="002D73DA" w14:paraId="41E86799" w14:textId="77777777">
        <w:trPr>
          <w:trHeight w:val="585"/>
          <w:jc w:val="center"/>
        </w:trPr>
        <w:tc>
          <w:tcPr>
            <w:tcW w:w="3697" w:type="dxa"/>
            <w:vAlign w:val="center"/>
          </w:tcPr>
          <w:p w14:paraId="2335FEB2" w14:textId="77777777" w:rsidR="00AF7A86" w:rsidRPr="005279FF" w:rsidRDefault="00AF7A86">
            <w:pPr>
              <w:spacing w:before="60" w:after="60"/>
              <w:jc w:val="left"/>
              <w:rPr>
                <w:i/>
                <w:iCs/>
                <w:noProof/>
                <w:sz w:val="20"/>
                <w:szCs w:val="20"/>
              </w:rPr>
            </w:pPr>
            <w:r w:rsidRPr="005279FF">
              <w:rPr>
                <w:i/>
                <w:iCs/>
                <w:noProof/>
                <w:sz w:val="20"/>
                <w:szCs w:val="20"/>
              </w:rPr>
              <w:t>Temporary agents (AD+AST)</w:t>
            </w:r>
            <w:r>
              <w:rPr>
                <w:i/>
                <w:iCs/>
                <w:noProof/>
                <w:sz w:val="20"/>
                <w:szCs w:val="20"/>
              </w:rPr>
              <w:t xml:space="preserve"> subtotal</w:t>
            </w:r>
          </w:p>
        </w:tc>
        <w:tc>
          <w:tcPr>
            <w:tcW w:w="1404" w:type="dxa"/>
            <w:vAlign w:val="center"/>
          </w:tcPr>
          <w:p w14:paraId="6978C528" w14:textId="77777777" w:rsidR="00AF7A86" w:rsidRPr="00070628" w:rsidRDefault="00AF7A86">
            <w:pPr>
              <w:spacing w:before="60" w:after="60"/>
              <w:jc w:val="right"/>
              <w:rPr>
                <w:i/>
                <w:iCs/>
                <w:noProof/>
                <w:sz w:val="20"/>
                <w:szCs w:val="20"/>
              </w:rPr>
            </w:pPr>
            <w:r w:rsidRPr="00070628">
              <w:rPr>
                <w:b/>
                <w:bCs/>
                <w:i/>
                <w:iCs/>
                <w:noProof/>
                <w:color w:val="000000"/>
                <w:sz w:val="16"/>
                <w:szCs w:val="16"/>
                <w:lang w:val="en-IE" w:eastAsia="en-IE"/>
              </w:rPr>
              <w:t>0</w:t>
            </w:r>
          </w:p>
        </w:tc>
        <w:tc>
          <w:tcPr>
            <w:tcW w:w="1404" w:type="dxa"/>
            <w:vAlign w:val="center"/>
          </w:tcPr>
          <w:p w14:paraId="59308F35" w14:textId="77777777" w:rsidR="00AF7A86" w:rsidRPr="00070628" w:rsidRDefault="00AF7A86">
            <w:pPr>
              <w:spacing w:before="60" w:after="60"/>
              <w:jc w:val="right"/>
              <w:rPr>
                <w:i/>
                <w:iCs/>
                <w:noProof/>
                <w:sz w:val="20"/>
                <w:szCs w:val="20"/>
              </w:rPr>
            </w:pPr>
            <w:r w:rsidRPr="00070628">
              <w:rPr>
                <w:b/>
                <w:bCs/>
                <w:i/>
                <w:iCs/>
                <w:noProof/>
                <w:color w:val="000000"/>
                <w:sz w:val="16"/>
                <w:szCs w:val="16"/>
                <w:lang w:val="en-IE" w:eastAsia="en-IE"/>
              </w:rPr>
              <w:t>0</w:t>
            </w:r>
          </w:p>
        </w:tc>
        <w:tc>
          <w:tcPr>
            <w:tcW w:w="1404" w:type="dxa"/>
            <w:vAlign w:val="center"/>
          </w:tcPr>
          <w:p w14:paraId="36F2D1E0" w14:textId="77777777" w:rsidR="00AF7A86" w:rsidRPr="00070628" w:rsidRDefault="00AF7A86">
            <w:pPr>
              <w:spacing w:before="60" w:after="60"/>
              <w:jc w:val="right"/>
              <w:rPr>
                <w:i/>
                <w:iCs/>
                <w:noProof/>
                <w:sz w:val="20"/>
                <w:szCs w:val="20"/>
              </w:rPr>
            </w:pPr>
            <w:r w:rsidRPr="00070628">
              <w:rPr>
                <w:b/>
                <w:bCs/>
                <w:i/>
                <w:iCs/>
                <w:noProof/>
                <w:color w:val="000000"/>
                <w:sz w:val="16"/>
                <w:szCs w:val="16"/>
                <w:lang w:val="en-IE" w:eastAsia="en-IE"/>
              </w:rPr>
              <w:t>0</w:t>
            </w:r>
          </w:p>
        </w:tc>
        <w:tc>
          <w:tcPr>
            <w:tcW w:w="1404" w:type="dxa"/>
            <w:vAlign w:val="center"/>
          </w:tcPr>
          <w:p w14:paraId="1C6A4E40" w14:textId="77777777" w:rsidR="00AF7A86" w:rsidRPr="00070628" w:rsidRDefault="00AF7A86">
            <w:pPr>
              <w:spacing w:before="60" w:after="60"/>
              <w:jc w:val="right"/>
              <w:rPr>
                <w:i/>
                <w:iCs/>
                <w:noProof/>
                <w:sz w:val="20"/>
                <w:szCs w:val="20"/>
              </w:rPr>
            </w:pPr>
            <w:r>
              <w:rPr>
                <w:b/>
                <w:bCs/>
                <w:i/>
                <w:iCs/>
                <w:noProof/>
                <w:color w:val="000000"/>
                <w:sz w:val="16"/>
                <w:szCs w:val="16"/>
                <w:lang w:val="en-IE" w:eastAsia="en-IE"/>
              </w:rPr>
              <w:t>1</w:t>
            </w:r>
          </w:p>
        </w:tc>
        <w:tc>
          <w:tcPr>
            <w:tcW w:w="1290" w:type="dxa"/>
            <w:vAlign w:val="center"/>
          </w:tcPr>
          <w:p w14:paraId="3548B8DB" w14:textId="77777777" w:rsidR="00AF7A86" w:rsidRDefault="00AF7A86">
            <w:pPr>
              <w:spacing w:before="60" w:after="60"/>
              <w:jc w:val="right"/>
              <w:rPr>
                <w:b/>
                <w:bCs/>
                <w:i/>
                <w:iCs/>
                <w:noProof/>
                <w:color w:val="000000"/>
                <w:sz w:val="16"/>
                <w:szCs w:val="16"/>
                <w:lang w:val="en-IE" w:eastAsia="en-IE"/>
              </w:rPr>
            </w:pPr>
            <w:r>
              <w:rPr>
                <w:b/>
                <w:bCs/>
                <w:i/>
                <w:iCs/>
                <w:noProof/>
                <w:color w:val="000000"/>
                <w:sz w:val="16"/>
                <w:szCs w:val="16"/>
                <w:lang w:val="en-IE" w:eastAsia="en-IE"/>
              </w:rPr>
              <w:t>1</w:t>
            </w:r>
          </w:p>
        </w:tc>
      </w:tr>
      <w:tr w:rsidR="00AF7A86" w:rsidRPr="002D73DA" w14:paraId="47242494" w14:textId="77777777">
        <w:trPr>
          <w:trHeight w:val="585"/>
          <w:jc w:val="center"/>
        </w:trPr>
        <w:tc>
          <w:tcPr>
            <w:tcW w:w="3697" w:type="dxa"/>
            <w:vAlign w:val="center"/>
          </w:tcPr>
          <w:p w14:paraId="0BDB41B6" w14:textId="77777777" w:rsidR="00AF7A86" w:rsidRPr="002D73DA" w:rsidRDefault="00AF7A86">
            <w:pPr>
              <w:spacing w:before="60" w:after="60"/>
              <w:jc w:val="left"/>
              <w:rPr>
                <w:noProof/>
                <w:sz w:val="20"/>
                <w:szCs w:val="20"/>
              </w:rPr>
            </w:pPr>
            <w:r w:rsidRPr="002D73DA">
              <w:rPr>
                <w:noProof/>
                <w:sz w:val="20"/>
                <w:szCs w:val="20"/>
              </w:rPr>
              <w:t xml:space="preserve">Contract </w:t>
            </w:r>
            <w:r>
              <w:rPr>
                <w:noProof/>
                <w:sz w:val="20"/>
                <w:szCs w:val="20"/>
              </w:rPr>
              <w:t>agents</w:t>
            </w:r>
          </w:p>
        </w:tc>
        <w:tc>
          <w:tcPr>
            <w:tcW w:w="1404" w:type="dxa"/>
            <w:vAlign w:val="center"/>
          </w:tcPr>
          <w:p w14:paraId="75749085" w14:textId="77777777" w:rsidR="00AF7A86" w:rsidRPr="002D73DA" w:rsidRDefault="00AF7A86">
            <w:pPr>
              <w:spacing w:before="60" w:after="60"/>
              <w:jc w:val="right"/>
              <w:rPr>
                <w:noProof/>
                <w:sz w:val="20"/>
                <w:szCs w:val="20"/>
              </w:rPr>
            </w:pPr>
          </w:p>
        </w:tc>
        <w:tc>
          <w:tcPr>
            <w:tcW w:w="1404" w:type="dxa"/>
            <w:vAlign w:val="center"/>
          </w:tcPr>
          <w:p w14:paraId="13D9415E" w14:textId="77777777" w:rsidR="00AF7A86" w:rsidRPr="002D73DA" w:rsidRDefault="00AF7A86">
            <w:pPr>
              <w:spacing w:before="60" w:after="60"/>
              <w:jc w:val="right"/>
              <w:rPr>
                <w:noProof/>
                <w:sz w:val="20"/>
                <w:szCs w:val="20"/>
              </w:rPr>
            </w:pPr>
          </w:p>
        </w:tc>
        <w:tc>
          <w:tcPr>
            <w:tcW w:w="1404" w:type="dxa"/>
            <w:vAlign w:val="center"/>
          </w:tcPr>
          <w:p w14:paraId="10AD8127" w14:textId="77777777" w:rsidR="00AF7A86" w:rsidRPr="002D73DA" w:rsidRDefault="00AF7A86">
            <w:pPr>
              <w:spacing w:before="60" w:after="60"/>
              <w:jc w:val="right"/>
              <w:rPr>
                <w:noProof/>
                <w:sz w:val="20"/>
                <w:szCs w:val="20"/>
              </w:rPr>
            </w:pPr>
          </w:p>
        </w:tc>
        <w:tc>
          <w:tcPr>
            <w:tcW w:w="1404" w:type="dxa"/>
            <w:vAlign w:val="center"/>
          </w:tcPr>
          <w:p w14:paraId="6B406C03" w14:textId="77777777" w:rsidR="00AF7A86" w:rsidRPr="002D73DA" w:rsidRDefault="00AF7A86">
            <w:pPr>
              <w:spacing w:before="60" w:after="60"/>
              <w:jc w:val="right"/>
              <w:rPr>
                <w:noProof/>
                <w:sz w:val="20"/>
                <w:szCs w:val="20"/>
              </w:rPr>
            </w:pPr>
            <w:r>
              <w:rPr>
                <w:noProof/>
                <w:sz w:val="20"/>
                <w:szCs w:val="20"/>
              </w:rPr>
              <w:t>1</w:t>
            </w:r>
          </w:p>
        </w:tc>
        <w:tc>
          <w:tcPr>
            <w:tcW w:w="1290" w:type="dxa"/>
            <w:vAlign w:val="center"/>
          </w:tcPr>
          <w:p w14:paraId="217CADCC" w14:textId="77777777" w:rsidR="00AF7A86" w:rsidRDefault="00AF7A86">
            <w:pPr>
              <w:spacing w:before="60" w:after="60"/>
              <w:jc w:val="right"/>
              <w:rPr>
                <w:noProof/>
                <w:sz w:val="20"/>
                <w:szCs w:val="20"/>
              </w:rPr>
            </w:pPr>
            <w:r>
              <w:rPr>
                <w:noProof/>
                <w:sz w:val="20"/>
                <w:szCs w:val="20"/>
              </w:rPr>
              <w:t>2</w:t>
            </w:r>
          </w:p>
        </w:tc>
      </w:tr>
      <w:tr w:rsidR="00AF7A86" w:rsidRPr="002D73DA" w14:paraId="1B42C34D" w14:textId="77777777">
        <w:trPr>
          <w:trHeight w:val="585"/>
          <w:jc w:val="center"/>
        </w:trPr>
        <w:tc>
          <w:tcPr>
            <w:tcW w:w="3697" w:type="dxa"/>
            <w:vAlign w:val="center"/>
          </w:tcPr>
          <w:p w14:paraId="509C27D1" w14:textId="77777777" w:rsidR="00AF7A86" w:rsidRPr="002D73DA" w:rsidRDefault="00AF7A86">
            <w:pPr>
              <w:spacing w:before="60" w:after="60"/>
              <w:jc w:val="left"/>
              <w:rPr>
                <w:noProof/>
                <w:sz w:val="20"/>
                <w:szCs w:val="20"/>
              </w:rPr>
            </w:pPr>
            <w:r w:rsidRPr="002D73DA">
              <w:rPr>
                <w:noProof/>
                <w:sz w:val="20"/>
                <w:szCs w:val="20"/>
              </w:rPr>
              <w:t xml:space="preserve">Seconded </w:t>
            </w:r>
            <w:r>
              <w:rPr>
                <w:noProof/>
                <w:sz w:val="20"/>
                <w:szCs w:val="20"/>
              </w:rPr>
              <w:t>n</w:t>
            </w:r>
            <w:r w:rsidRPr="002D73DA">
              <w:rPr>
                <w:noProof/>
                <w:sz w:val="20"/>
                <w:szCs w:val="20"/>
              </w:rPr>
              <w:t xml:space="preserve">ational </w:t>
            </w:r>
            <w:r>
              <w:rPr>
                <w:noProof/>
                <w:sz w:val="20"/>
                <w:szCs w:val="20"/>
              </w:rPr>
              <w:t>e</w:t>
            </w:r>
            <w:r w:rsidRPr="002D73DA">
              <w:rPr>
                <w:noProof/>
                <w:sz w:val="20"/>
                <w:szCs w:val="20"/>
              </w:rPr>
              <w:t>xperts</w:t>
            </w:r>
          </w:p>
        </w:tc>
        <w:tc>
          <w:tcPr>
            <w:tcW w:w="1404" w:type="dxa"/>
            <w:vAlign w:val="center"/>
          </w:tcPr>
          <w:p w14:paraId="11B065E7" w14:textId="77777777" w:rsidR="00AF7A86" w:rsidRPr="002D73DA" w:rsidRDefault="00AF7A86">
            <w:pPr>
              <w:spacing w:before="60" w:after="60"/>
              <w:jc w:val="right"/>
              <w:rPr>
                <w:noProof/>
                <w:sz w:val="20"/>
                <w:szCs w:val="20"/>
              </w:rPr>
            </w:pPr>
          </w:p>
        </w:tc>
        <w:tc>
          <w:tcPr>
            <w:tcW w:w="1404" w:type="dxa"/>
            <w:vAlign w:val="center"/>
          </w:tcPr>
          <w:p w14:paraId="374214C1" w14:textId="77777777" w:rsidR="00AF7A86" w:rsidRPr="002D73DA" w:rsidRDefault="00AF7A86">
            <w:pPr>
              <w:spacing w:before="60" w:after="60"/>
              <w:jc w:val="right"/>
              <w:rPr>
                <w:noProof/>
                <w:sz w:val="20"/>
                <w:szCs w:val="20"/>
              </w:rPr>
            </w:pPr>
          </w:p>
        </w:tc>
        <w:tc>
          <w:tcPr>
            <w:tcW w:w="1404" w:type="dxa"/>
            <w:vAlign w:val="center"/>
          </w:tcPr>
          <w:p w14:paraId="7D22EEAD" w14:textId="77777777" w:rsidR="00AF7A86" w:rsidRPr="002D73DA" w:rsidRDefault="00AF7A86">
            <w:pPr>
              <w:spacing w:before="60" w:after="60"/>
              <w:jc w:val="right"/>
              <w:rPr>
                <w:noProof/>
                <w:sz w:val="20"/>
                <w:szCs w:val="20"/>
              </w:rPr>
            </w:pPr>
          </w:p>
        </w:tc>
        <w:tc>
          <w:tcPr>
            <w:tcW w:w="1404" w:type="dxa"/>
            <w:vAlign w:val="center"/>
          </w:tcPr>
          <w:p w14:paraId="402B5663" w14:textId="77777777" w:rsidR="00AF7A86" w:rsidRPr="002D73DA" w:rsidRDefault="00AF7A86">
            <w:pPr>
              <w:spacing w:before="60" w:after="60"/>
              <w:jc w:val="right"/>
              <w:rPr>
                <w:noProof/>
                <w:sz w:val="20"/>
                <w:szCs w:val="20"/>
              </w:rPr>
            </w:pPr>
          </w:p>
        </w:tc>
        <w:tc>
          <w:tcPr>
            <w:tcW w:w="1290" w:type="dxa"/>
            <w:vAlign w:val="center"/>
          </w:tcPr>
          <w:p w14:paraId="599DF166" w14:textId="77777777" w:rsidR="00AF7A86" w:rsidRPr="002D73DA" w:rsidRDefault="00AF7A86">
            <w:pPr>
              <w:spacing w:before="60" w:after="60"/>
              <w:jc w:val="right"/>
              <w:rPr>
                <w:noProof/>
                <w:sz w:val="20"/>
                <w:szCs w:val="20"/>
              </w:rPr>
            </w:pPr>
          </w:p>
        </w:tc>
      </w:tr>
      <w:tr w:rsidR="00AF7A86" w:rsidRPr="002D73DA" w14:paraId="3B0C3946" w14:textId="77777777">
        <w:trPr>
          <w:trHeight w:val="585"/>
          <w:jc w:val="center"/>
        </w:trPr>
        <w:tc>
          <w:tcPr>
            <w:tcW w:w="3697" w:type="dxa"/>
            <w:tcBorders>
              <w:bottom w:val="single" w:sz="4" w:space="0" w:color="auto"/>
            </w:tcBorders>
            <w:vAlign w:val="center"/>
          </w:tcPr>
          <w:p w14:paraId="6B4B345E" w14:textId="77777777" w:rsidR="00AF7A86" w:rsidRPr="005279FF" w:rsidRDefault="00AF7A86">
            <w:pPr>
              <w:spacing w:before="60" w:after="60"/>
              <w:jc w:val="left"/>
              <w:rPr>
                <w:i/>
                <w:iCs/>
                <w:noProof/>
                <w:sz w:val="20"/>
                <w:szCs w:val="20"/>
              </w:rPr>
            </w:pPr>
            <w:r w:rsidRPr="005279FF">
              <w:rPr>
                <w:i/>
                <w:iCs/>
                <w:noProof/>
                <w:sz w:val="20"/>
                <w:szCs w:val="20"/>
              </w:rPr>
              <w:t xml:space="preserve">Contract </w:t>
            </w:r>
            <w:r>
              <w:rPr>
                <w:i/>
                <w:iCs/>
                <w:noProof/>
                <w:sz w:val="20"/>
                <w:szCs w:val="20"/>
              </w:rPr>
              <w:t>agents</w:t>
            </w:r>
            <w:r w:rsidRPr="005279FF">
              <w:rPr>
                <w:i/>
                <w:iCs/>
                <w:noProof/>
                <w:sz w:val="20"/>
                <w:szCs w:val="20"/>
              </w:rPr>
              <w:t xml:space="preserve"> and </w:t>
            </w:r>
            <w:r>
              <w:rPr>
                <w:i/>
                <w:iCs/>
                <w:noProof/>
                <w:sz w:val="20"/>
                <w:szCs w:val="20"/>
              </w:rPr>
              <w:t>seconded national experts subtotal</w:t>
            </w:r>
          </w:p>
        </w:tc>
        <w:tc>
          <w:tcPr>
            <w:tcW w:w="1404" w:type="dxa"/>
            <w:tcBorders>
              <w:bottom w:val="single" w:sz="4" w:space="0" w:color="auto"/>
            </w:tcBorders>
            <w:vAlign w:val="center"/>
          </w:tcPr>
          <w:p w14:paraId="3F24DA5B" w14:textId="77777777" w:rsidR="00AF7A86" w:rsidRPr="00070628" w:rsidRDefault="00AF7A86">
            <w:pPr>
              <w:spacing w:before="60" w:after="60"/>
              <w:jc w:val="right"/>
              <w:rPr>
                <w:i/>
                <w:iCs/>
                <w:noProof/>
                <w:sz w:val="20"/>
                <w:szCs w:val="20"/>
              </w:rPr>
            </w:pPr>
            <w:r w:rsidRPr="00070628">
              <w:rPr>
                <w:b/>
                <w:bCs/>
                <w:i/>
                <w:iCs/>
                <w:noProof/>
                <w:color w:val="000000"/>
                <w:sz w:val="16"/>
                <w:szCs w:val="16"/>
                <w:lang w:val="en-IE" w:eastAsia="en-IE"/>
              </w:rPr>
              <w:t>0</w:t>
            </w:r>
          </w:p>
        </w:tc>
        <w:tc>
          <w:tcPr>
            <w:tcW w:w="1404" w:type="dxa"/>
            <w:tcBorders>
              <w:bottom w:val="single" w:sz="4" w:space="0" w:color="auto"/>
            </w:tcBorders>
            <w:vAlign w:val="center"/>
          </w:tcPr>
          <w:p w14:paraId="03D9B798" w14:textId="77777777" w:rsidR="00AF7A86" w:rsidRPr="00070628" w:rsidRDefault="00AF7A86">
            <w:pPr>
              <w:spacing w:before="60" w:after="60"/>
              <w:jc w:val="right"/>
              <w:rPr>
                <w:i/>
                <w:iCs/>
                <w:noProof/>
                <w:sz w:val="20"/>
                <w:szCs w:val="20"/>
              </w:rPr>
            </w:pPr>
            <w:r w:rsidRPr="00070628">
              <w:rPr>
                <w:b/>
                <w:bCs/>
                <w:i/>
                <w:iCs/>
                <w:noProof/>
                <w:color w:val="000000"/>
                <w:sz w:val="16"/>
                <w:szCs w:val="16"/>
                <w:lang w:val="en-IE" w:eastAsia="en-IE"/>
              </w:rPr>
              <w:t>0</w:t>
            </w:r>
          </w:p>
        </w:tc>
        <w:tc>
          <w:tcPr>
            <w:tcW w:w="1404" w:type="dxa"/>
            <w:tcBorders>
              <w:bottom w:val="single" w:sz="4" w:space="0" w:color="auto"/>
            </w:tcBorders>
            <w:vAlign w:val="center"/>
          </w:tcPr>
          <w:p w14:paraId="5264F039" w14:textId="77777777" w:rsidR="00AF7A86" w:rsidRPr="00070628" w:rsidRDefault="00AF7A86">
            <w:pPr>
              <w:spacing w:before="60" w:after="60"/>
              <w:jc w:val="right"/>
              <w:rPr>
                <w:i/>
                <w:iCs/>
                <w:noProof/>
                <w:sz w:val="20"/>
                <w:szCs w:val="20"/>
              </w:rPr>
            </w:pPr>
            <w:r w:rsidRPr="00070628">
              <w:rPr>
                <w:b/>
                <w:bCs/>
                <w:i/>
                <w:iCs/>
                <w:noProof/>
                <w:color w:val="000000"/>
                <w:sz w:val="16"/>
                <w:szCs w:val="16"/>
                <w:lang w:val="en-IE" w:eastAsia="en-IE"/>
              </w:rPr>
              <w:t>0</w:t>
            </w:r>
          </w:p>
        </w:tc>
        <w:tc>
          <w:tcPr>
            <w:tcW w:w="1404" w:type="dxa"/>
            <w:tcBorders>
              <w:bottom w:val="single" w:sz="4" w:space="0" w:color="auto"/>
            </w:tcBorders>
            <w:vAlign w:val="center"/>
          </w:tcPr>
          <w:p w14:paraId="0560A8C8" w14:textId="77777777" w:rsidR="00AF7A86" w:rsidRPr="00070628" w:rsidRDefault="00AF7A86">
            <w:pPr>
              <w:spacing w:before="60" w:after="60"/>
              <w:jc w:val="right"/>
              <w:rPr>
                <w:i/>
                <w:iCs/>
                <w:noProof/>
                <w:sz w:val="20"/>
                <w:szCs w:val="20"/>
              </w:rPr>
            </w:pPr>
            <w:r>
              <w:rPr>
                <w:i/>
                <w:iCs/>
                <w:noProof/>
                <w:sz w:val="20"/>
                <w:szCs w:val="20"/>
              </w:rPr>
              <w:t>1</w:t>
            </w:r>
          </w:p>
        </w:tc>
        <w:tc>
          <w:tcPr>
            <w:tcW w:w="1290" w:type="dxa"/>
            <w:tcBorders>
              <w:bottom w:val="single" w:sz="4" w:space="0" w:color="auto"/>
            </w:tcBorders>
            <w:vAlign w:val="center"/>
          </w:tcPr>
          <w:p w14:paraId="6837AD9C" w14:textId="77777777" w:rsidR="00AF7A86" w:rsidRDefault="00AF7A86">
            <w:pPr>
              <w:spacing w:before="60" w:after="60"/>
              <w:jc w:val="right"/>
              <w:rPr>
                <w:b/>
                <w:bCs/>
                <w:i/>
                <w:iCs/>
                <w:noProof/>
                <w:color w:val="000000"/>
                <w:sz w:val="16"/>
                <w:szCs w:val="16"/>
                <w:lang w:val="en-IE" w:eastAsia="en-IE"/>
              </w:rPr>
            </w:pPr>
            <w:r>
              <w:rPr>
                <w:b/>
                <w:bCs/>
                <w:i/>
                <w:iCs/>
                <w:noProof/>
                <w:color w:val="000000"/>
                <w:sz w:val="16"/>
                <w:szCs w:val="16"/>
                <w:lang w:val="en-IE" w:eastAsia="en-IE"/>
              </w:rPr>
              <w:t>2</w:t>
            </w:r>
          </w:p>
        </w:tc>
      </w:tr>
      <w:tr w:rsidR="00AF7A86" w:rsidRPr="002D73DA" w14:paraId="6F4FA5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3697" w:type="dxa"/>
            <w:tcBorders>
              <w:top w:val="single" w:sz="4" w:space="0" w:color="auto"/>
              <w:left w:val="single" w:sz="4" w:space="0" w:color="auto"/>
              <w:bottom w:val="single" w:sz="4" w:space="0" w:color="auto"/>
              <w:right w:val="single" w:sz="4" w:space="0" w:color="auto"/>
            </w:tcBorders>
            <w:vAlign w:val="center"/>
          </w:tcPr>
          <w:p w14:paraId="5EFE1914" w14:textId="77777777" w:rsidR="00AF7A86" w:rsidRPr="002D73DA" w:rsidRDefault="00AF7A86">
            <w:pPr>
              <w:spacing w:before="60" w:after="60"/>
              <w:jc w:val="left"/>
              <w:rPr>
                <w:noProof/>
                <w:sz w:val="20"/>
                <w:szCs w:val="20"/>
              </w:rPr>
            </w:pPr>
            <w:r w:rsidRPr="002D73DA">
              <w:rPr>
                <w:b/>
                <w:noProof/>
                <w:sz w:val="20"/>
                <w:szCs w:val="20"/>
              </w:rPr>
              <w:t>TOTAL</w:t>
            </w:r>
            <w:r>
              <w:rPr>
                <w:b/>
                <w:noProof/>
                <w:sz w:val="20"/>
                <w:szCs w:val="20"/>
              </w:rPr>
              <w:t xml:space="preserve"> staff</w:t>
            </w:r>
          </w:p>
        </w:tc>
        <w:tc>
          <w:tcPr>
            <w:tcW w:w="1404" w:type="dxa"/>
            <w:tcBorders>
              <w:top w:val="single" w:sz="4" w:space="0" w:color="auto"/>
              <w:left w:val="single" w:sz="4" w:space="0" w:color="auto"/>
              <w:bottom w:val="single" w:sz="4" w:space="0" w:color="auto"/>
              <w:right w:val="single" w:sz="4" w:space="0" w:color="auto"/>
            </w:tcBorders>
            <w:vAlign w:val="center"/>
          </w:tcPr>
          <w:p w14:paraId="55150E9F" w14:textId="77777777" w:rsidR="00AF7A86" w:rsidRPr="00070628" w:rsidRDefault="00AF7A86">
            <w:pPr>
              <w:spacing w:before="60" w:after="60"/>
              <w:jc w:val="right"/>
              <w:rPr>
                <w:noProof/>
                <w:sz w:val="20"/>
                <w:szCs w:val="20"/>
              </w:rPr>
            </w:pPr>
            <w:r w:rsidRPr="00066A1C">
              <w:rPr>
                <w:b/>
                <w:bCs/>
                <w:noProof/>
                <w:color w:val="000000"/>
                <w:sz w:val="16"/>
                <w:szCs w:val="16"/>
                <w:lang w:val="en-IE" w:eastAsia="en-IE"/>
              </w:rPr>
              <w:t>0</w:t>
            </w:r>
          </w:p>
        </w:tc>
        <w:tc>
          <w:tcPr>
            <w:tcW w:w="1404" w:type="dxa"/>
            <w:tcBorders>
              <w:top w:val="single" w:sz="4" w:space="0" w:color="auto"/>
              <w:left w:val="single" w:sz="4" w:space="0" w:color="auto"/>
              <w:bottom w:val="single" w:sz="4" w:space="0" w:color="auto"/>
              <w:right w:val="single" w:sz="4" w:space="0" w:color="auto"/>
            </w:tcBorders>
            <w:vAlign w:val="center"/>
          </w:tcPr>
          <w:p w14:paraId="23DEDB5B" w14:textId="77777777" w:rsidR="00AF7A86" w:rsidRPr="002D73DA" w:rsidRDefault="00AF7A86">
            <w:pPr>
              <w:spacing w:before="60" w:after="60"/>
              <w:jc w:val="right"/>
              <w:rPr>
                <w:b/>
                <w:noProof/>
                <w:sz w:val="20"/>
                <w:szCs w:val="20"/>
              </w:rPr>
            </w:pPr>
            <w:r w:rsidRPr="00066A1C">
              <w:rPr>
                <w:b/>
                <w:bCs/>
                <w:noProof/>
                <w:color w:val="000000"/>
                <w:sz w:val="16"/>
                <w:szCs w:val="16"/>
                <w:lang w:val="en-IE" w:eastAsia="en-IE"/>
              </w:rPr>
              <w:t>0</w:t>
            </w:r>
          </w:p>
        </w:tc>
        <w:tc>
          <w:tcPr>
            <w:tcW w:w="1404" w:type="dxa"/>
            <w:tcBorders>
              <w:top w:val="single" w:sz="4" w:space="0" w:color="auto"/>
              <w:left w:val="single" w:sz="4" w:space="0" w:color="auto"/>
              <w:bottom w:val="single" w:sz="4" w:space="0" w:color="auto"/>
              <w:right w:val="single" w:sz="4" w:space="0" w:color="auto"/>
            </w:tcBorders>
            <w:vAlign w:val="center"/>
          </w:tcPr>
          <w:p w14:paraId="3791F39F" w14:textId="77777777" w:rsidR="00AF7A86" w:rsidRPr="002D73DA" w:rsidRDefault="00AF7A86">
            <w:pPr>
              <w:spacing w:before="60" w:after="60"/>
              <w:jc w:val="right"/>
              <w:rPr>
                <w:b/>
                <w:noProof/>
                <w:sz w:val="20"/>
                <w:szCs w:val="20"/>
              </w:rPr>
            </w:pPr>
            <w:r w:rsidRPr="00066A1C">
              <w:rPr>
                <w:b/>
                <w:bCs/>
                <w:noProof/>
                <w:color w:val="000000"/>
                <w:sz w:val="16"/>
                <w:szCs w:val="16"/>
                <w:lang w:val="en-IE" w:eastAsia="en-IE"/>
              </w:rPr>
              <w:t>0</w:t>
            </w:r>
          </w:p>
        </w:tc>
        <w:tc>
          <w:tcPr>
            <w:tcW w:w="1404" w:type="dxa"/>
            <w:tcBorders>
              <w:top w:val="single" w:sz="4" w:space="0" w:color="auto"/>
              <w:left w:val="single" w:sz="4" w:space="0" w:color="auto"/>
              <w:bottom w:val="single" w:sz="4" w:space="0" w:color="auto"/>
              <w:right w:val="single" w:sz="4" w:space="0" w:color="auto"/>
            </w:tcBorders>
            <w:vAlign w:val="center"/>
          </w:tcPr>
          <w:p w14:paraId="753BF220" w14:textId="77777777" w:rsidR="00AF7A86" w:rsidRPr="002D73DA" w:rsidRDefault="00AF7A86">
            <w:pPr>
              <w:spacing w:before="60" w:after="60"/>
              <w:jc w:val="right"/>
              <w:rPr>
                <w:b/>
                <w:noProof/>
                <w:sz w:val="20"/>
                <w:szCs w:val="20"/>
              </w:rPr>
            </w:pPr>
            <w:r>
              <w:rPr>
                <w:b/>
                <w:noProof/>
                <w:sz w:val="20"/>
                <w:szCs w:val="20"/>
              </w:rPr>
              <w:t>2</w:t>
            </w:r>
          </w:p>
        </w:tc>
        <w:tc>
          <w:tcPr>
            <w:tcW w:w="1290" w:type="dxa"/>
            <w:tcBorders>
              <w:top w:val="single" w:sz="4" w:space="0" w:color="auto"/>
              <w:left w:val="single" w:sz="4" w:space="0" w:color="auto"/>
              <w:bottom w:val="single" w:sz="4" w:space="0" w:color="auto"/>
              <w:right w:val="single" w:sz="4" w:space="0" w:color="auto"/>
            </w:tcBorders>
            <w:vAlign w:val="center"/>
          </w:tcPr>
          <w:p w14:paraId="17C4ADE3" w14:textId="77777777" w:rsidR="00AF7A86" w:rsidRDefault="00AF7A86">
            <w:pPr>
              <w:spacing w:before="60" w:after="60"/>
              <w:jc w:val="right"/>
              <w:rPr>
                <w:b/>
                <w:bCs/>
                <w:noProof/>
                <w:color w:val="000000"/>
                <w:sz w:val="16"/>
                <w:szCs w:val="16"/>
                <w:lang w:val="en-IE" w:eastAsia="en-IE"/>
              </w:rPr>
            </w:pPr>
            <w:r>
              <w:rPr>
                <w:b/>
                <w:bCs/>
                <w:noProof/>
                <w:color w:val="000000"/>
                <w:sz w:val="16"/>
                <w:szCs w:val="16"/>
                <w:lang w:val="en-IE" w:eastAsia="en-IE"/>
              </w:rPr>
              <w:t>3</w:t>
            </w:r>
          </w:p>
        </w:tc>
      </w:tr>
    </w:tbl>
    <w:p w14:paraId="5D8BDBC9" w14:textId="77777777" w:rsidR="00AF7A86" w:rsidRDefault="00AF7A86" w:rsidP="00AF7A86">
      <w:pPr>
        <w:spacing w:before="240"/>
        <w:rPr>
          <w:noProof/>
          <w:sz w:val="22"/>
          <w:u w:val="single"/>
          <w:lang w:val="en-IE"/>
        </w:rPr>
      </w:pPr>
      <w:r w:rsidRPr="003F4D71">
        <w:rPr>
          <w:noProof/>
          <w:sz w:val="22"/>
          <w:u w:val="single"/>
          <w:lang w:val="en-IE"/>
        </w:rPr>
        <w:t xml:space="preserve">Appropriations covered by the EU </w:t>
      </w:r>
      <w:r>
        <w:rPr>
          <w:noProof/>
          <w:sz w:val="22"/>
          <w:u w:val="single"/>
          <w:lang w:val="en-IE"/>
        </w:rPr>
        <w:t>b</w:t>
      </w:r>
      <w:r w:rsidRPr="003F4D71">
        <w:rPr>
          <w:noProof/>
          <w:sz w:val="22"/>
          <w:u w:val="single"/>
          <w:lang w:val="en-IE"/>
        </w:rPr>
        <w:t>udget contribution in EUR million (to three decimal places)</w:t>
      </w:r>
    </w:p>
    <w:p w14:paraId="597B9D23" w14:textId="77777777" w:rsidR="00AF7A86" w:rsidRPr="00B0740E" w:rsidRDefault="00AF7A86" w:rsidP="00AF7A86">
      <w:pPr>
        <w:pStyle w:val="Text1"/>
        <w:ind w:left="-142" w:right="1"/>
        <w:rPr>
          <w:rStyle w:val="Marker110000"/>
          <w:noProof/>
          <w:color w:val="auto"/>
        </w:rPr>
      </w:pPr>
      <w:r w:rsidRPr="00B0740E">
        <w:rPr>
          <w:rStyle w:val="Marker110000"/>
          <w:noProof/>
          <w:color w:val="auto"/>
        </w:rPr>
        <w:t>Staff expenditure to be adapted to the planned recruitment month (if recruitment occurs in July, only 50 % of the average cost is taken into account).</w:t>
      </w:r>
    </w:p>
    <w:tbl>
      <w:tblPr>
        <w:tblW w:w="1018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6"/>
        <w:gridCol w:w="1112"/>
        <w:gridCol w:w="1112"/>
        <w:gridCol w:w="1112"/>
        <w:gridCol w:w="1112"/>
        <w:gridCol w:w="1112"/>
        <w:gridCol w:w="1112"/>
      </w:tblGrid>
      <w:tr w:rsidR="00AF7A86" w14:paraId="1E4E0747" w14:textId="77777777" w:rsidTr="00E04EF1">
        <w:trPr>
          <w:cantSplit/>
          <w:trHeight w:val="670"/>
        </w:trPr>
        <w:tc>
          <w:tcPr>
            <w:tcW w:w="3516" w:type="dxa"/>
            <w:vAlign w:val="center"/>
          </w:tcPr>
          <w:p w14:paraId="76482FDD" w14:textId="77777777" w:rsidR="00AF7A86" w:rsidRPr="00070628" w:rsidRDefault="00AF7A86">
            <w:pPr>
              <w:spacing w:before="60" w:after="60"/>
              <w:jc w:val="center"/>
              <w:rPr>
                <w:b/>
                <w:bCs/>
                <w:noProof/>
                <w:color w:val="444444"/>
                <w:sz w:val="20"/>
                <w:szCs w:val="20"/>
                <w:shd w:val="clear" w:color="auto" w:fill="FFFFFF"/>
              </w:rPr>
            </w:pPr>
            <w:r w:rsidRPr="00070628">
              <w:rPr>
                <w:b/>
                <w:bCs/>
                <w:noProof/>
                <w:color w:val="444444"/>
                <w:sz w:val="20"/>
                <w:szCs w:val="20"/>
                <w:shd w:val="clear" w:color="auto" w:fill="FFFFFF"/>
              </w:rPr>
              <w:t xml:space="preserve">Agency: </w:t>
            </w:r>
            <w:r>
              <w:rPr>
                <w:b/>
                <w:bCs/>
                <w:noProof/>
                <w:color w:val="444444"/>
                <w:sz w:val="20"/>
                <w:szCs w:val="20"/>
                <w:shd w:val="clear" w:color="auto" w:fill="FFFFFF"/>
              </w:rPr>
              <w:t>ACER</w:t>
            </w:r>
          </w:p>
        </w:tc>
        <w:tc>
          <w:tcPr>
            <w:tcW w:w="1112" w:type="dxa"/>
            <w:vAlign w:val="center"/>
          </w:tcPr>
          <w:p w14:paraId="4A611D8E" w14:textId="77777777" w:rsidR="00AF7A86" w:rsidRDefault="00AF7A86">
            <w:pPr>
              <w:jc w:val="center"/>
              <w:rPr>
                <w:noProof/>
                <w:sz w:val="20"/>
              </w:rPr>
            </w:pPr>
            <w:r>
              <w:rPr>
                <w:noProof/>
                <w:sz w:val="20"/>
              </w:rPr>
              <w:t xml:space="preserve">Year </w:t>
            </w:r>
            <w:r w:rsidRPr="00070628">
              <w:rPr>
                <w:b/>
                <w:bCs/>
                <w:noProof/>
                <w:sz w:val="20"/>
              </w:rPr>
              <w:t>2024</w:t>
            </w:r>
          </w:p>
        </w:tc>
        <w:tc>
          <w:tcPr>
            <w:tcW w:w="1112" w:type="dxa"/>
            <w:vAlign w:val="center"/>
          </w:tcPr>
          <w:p w14:paraId="0AB7BC90" w14:textId="77777777" w:rsidR="00AF7A86" w:rsidRDefault="00AF7A86">
            <w:pPr>
              <w:jc w:val="center"/>
              <w:rPr>
                <w:noProof/>
                <w:sz w:val="20"/>
              </w:rPr>
            </w:pPr>
            <w:r>
              <w:rPr>
                <w:noProof/>
                <w:sz w:val="20"/>
              </w:rPr>
              <w:t>Year</w:t>
            </w:r>
            <w:r>
              <w:rPr>
                <w:b/>
                <w:noProof/>
                <w:sz w:val="20"/>
              </w:rPr>
              <w:t xml:space="preserve"> 2025</w:t>
            </w:r>
          </w:p>
        </w:tc>
        <w:tc>
          <w:tcPr>
            <w:tcW w:w="1112" w:type="dxa"/>
            <w:vAlign w:val="center"/>
          </w:tcPr>
          <w:p w14:paraId="45C989F9" w14:textId="77777777" w:rsidR="00AF7A86" w:rsidRDefault="00AF7A86">
            <w:pPr>
              <w:jc w:val="center"/>
              <w:rPr>
                <w:noProof/>
                <w:sz w:val="20"/>
              </w:rPr>
            </w:pPr>
            <w:r>
              <w:rPr>
                <w:noProof/>
                <w:sz w:val="20"/>
              </w:rPr>
              <w:t xml:space="preserve">Year </w:t>
            </w:r>
            <w:r>
              <w:rPr>
                <w:b/>
                <w:noProof/>
                <w:sz w:val="20"/>
              </w:rPr>
              <w:t>2026</w:t>
            </w:r>
          </w:p>
        </w:tc>
        <w:tc>
          <w:tcPr>
            <w:tcW w:w="1112" w:type="dxa"/>
            <w:vAlign w:val="center"/>
          </w:tcPr>
          <w:p w14:paraId="5FBEEEFF" w14:textId="77777777" w:rsidR="00AF7A86" w:rsidRDefault="00AF7A86">
            <w:pPr>
              <w:jc w:val="center"/>
              <w:rPr>
                <w:noProof/>
                <w:sz w:val="20"/>
              </w:rPr>
            </w:pPr>
            <w:r>
              <w:rPr>
                <w:noProof/>
                <w:sz w:val="20"/>
              </w:rPr>
              <w:t xml:space="preserve">Year </w:t>
            </w:r>
            <w:r>
              <w:rPr>
                <w:b/>
                <w:noProof/>
                <w:sz w:val="20"/>
              </w:rPr>
              <w:t>2027</w:t>
            </w:r>
          </w:p>
        </w:tc>
        <w:tc>
          <w:tcPr>
            <w:tcW w:w="1112" w:type="dxa"/>
            <w:vAlign w:val="center"/>
          </w:tcPr>
          <w:p w14:paraId="3AE388CD" w14:textId="77777777" w:rsidR="00AF7A86" w:rsidRPr="004C127A" w:rsidRDefault="00AF7A86">
            <w:pPr>
              <w:spacing w:before="60" w:after="60"/>
              <w:jc w:val="center"/>
              <w:rPr>
                <w:noProof/>
                <w:sz w:val="20"/>
                <w:szCs w:val="20"/>
              </w:rPr>
            </w:pPr>
            <w:r w:rsidRPr="00070628">
              <w:rPr>
                <w:b/>
                <w:bCs/>
                <w:noProof/>
                <w:color w:val="000000"/>
                <w:sz w:val="20"/>
                <w:szCs w:val="20"/>
                <w:lang w:val="en-IE" w:eastAsia="en-IE"/>
              </w:rPr>
              <w:t>TOTAL</w:t>
            </w:r>
            <w:r>
              <w:rPr>
                <w:b/>
                <w:bCs/>
                <w:noProof/>
                <w:color w:val="000000"/>
                <w:sz w:val="20"/>
                <w:szCs w:val="20"/>
                <w:lang w:val="en-IE" w:eastAsia="en-IE"/>
              </w:rPr>
              <w:t xml:space="preserve"> </w:t>
            </w:r>
            <w:r w:rsidRPr="00070628">
              <w:rPr>
                <w:b/>
                <w:bCs/>
                <w:noProof/>
                <w:color w:val="000000"/>
                <w:sz w:val="20"/>
                <w:szCs w:val="20"/>
                <w:lang w:val="en-IE" w:eastAsia="en-IE"/>
              </w:rPr>
              <w:t>2021 - 2027</w:t>
            </w:r>
          </w:p>
        </w:tc>
        <w:tc>
          <w:tcPr>
            <w:tcW w:w="1112" w:type="dxa"/>
          </w:tcPr>
          <w:p w14:paraId="4603E3FC" w14:textId="77777777" w:rsidR="00AF7A86" w:rsidRDefault="00AF7A86">
            <w:pPr>
              <w:spacing w:before="60" w:after="60"/>
              <w:jc w:val="center"/>
              <w:rPr>
                <w:b/>
                <w:bCs/>
                <w:noProof/>
                <w:color w:val="000000"/>
                <w:sz w:val="20"/>
                <w:szCs w:val="20"/>
                <w:lang w:val="en-IE" w:eastAsia="en-IE"/>
              </w:rPr>
            </w:pPr>
            <w:r>
              <w:rPr>
                <w:b/>
                <w:bCs/>
                <w:noProof/>
                <w:color w:val="000000"/>
                <w:sz w:val="20"/>
                <w:szCs w:val="20"/>
                <w:lang w:val="en-IE" w:eastAsia="en-IE"/>
              </w:rPr>
              <w:t>POST 2027</w:t>
            </w:r>
            <w:r>
              <w:rPr>
                <w:rStyle w:val="FootnoteReference"/>
                <w:b/>
                <w:bCs/>
                <w:noProof/>
                <w:color w:val="000000"/>
                <w:sz w:val="20"/>
                <w:szCs w:val="20"/>
                <w:lang w:val="en-IE" w:eastAsia="en-IE"/>
              </w:rPr>
              <w:footnoteReference w:id="85"/>
            </w:r>
          </w:p>
        </w:tc>
      </w:tr>
      <w:tr w:rsidR="00AF7A86" w:rsidRPr="003A769F" w14:paraId="4A430811" w14:textId="77777777" w:rsidTr="00E04EF1">
        <w:trPr>
          <w:cantSplit/>
          <w:trHeight w:val="809"/>
        </w:trPr>
        <w:tc>
          <w:tcPr>
            <w:tcW w:w="3516" w:type="dxa"/>
            <w:vAlign w:val="center"/>
          </w:tcPr>
          <w:p w14:paraId="3279E245" w14:textId="77777777" w:rsidR="00AF7A86" w:rsidRPr="003A769F" w:rsidRDefault="00AF7A86">
            <w:pPr>
              <w:jc w:val="left"/>
              <w:rPr>
                <w:noProof/>
                <w:lang w:val="en-IE"/>
              </w:rPr>
            </w:pPr>
            <w:r w:rsidRPr="004B2A0E">
              <w:rPr>
                <w:noProof/>
                <w:sz w:val="20"/>
                <w:szCs w:val="20"/>
              </w:rPr>
              <w:t>Title 1:</w:t>
            </w:r>
            <w:r>
              <w:rPr>
                <w:noProof/>
                <w:sz w:val="20"/>
                <w:szCs w:val="20"/>
              </w:rPr>
              <w:t xml:space="preserve"> Staff expenditure</w:t>
            </w:r>
          </w:p>
        </w:tc>
        <w:tc>
          <w:tcPr>
            <w:tcW w:w="1112" w:type="dxa"/>
            <w:vAlign w:val="center"/>
          </w:tcPr>
          <w:p w14:paraId="08EA42BE" w14:textId="77777777" w:rsidR="00AF7A86" w:rsidRPr="003A769F" w:rsidRDefault="00AF7A86">
            <w:pPr>
              <w:spacing w:before="60" w:after="60"/>
              <w:jc w:val="right"/>
              <w:rPr>
                <w:noProof/>
                <w:sz w:val="20"/>
                <w:lang w:val="en-IE"/>
              </w:rPr>
            </w:pPr>
          </w:p>
        </w:tc>
        <w:tc>
          <w:tcPr>
            <w:tcW w:w="1112" w:type="dxa"/>
            <w:vAlign w:val="center"/>
          </w:tcPr>
          <w:p w14:paraId="1E0F260D" w14:textId="77777777" w:rsidR="00AF7A86" w:rsidRPr="003A769F" w:rsidRDefault="00AF7A86">
            <w:pPr>
              <w:spacing w:before="60" w:after="60"/>
              <w:jc w:val="right"/>
              <w:rPr>
                <w:noProof/>
                <w:sz w:val="20"/>
                <w:lang w:val="en-IE"/>
              </w:rPr>
            </w:pPr>
          </w:p>
        </w:tc>
        <w:tc>
          <w:tcPr>
            <w:tcW w:w="1112" w:type="dxa"/>
            <w:vAlign w:val="center"/>
          </w:tcPr>
          <w:p w14:paraId="46338EF3" w14:textId="77777777" w:rsidR="00AF7A86" w:rsidRPr="003A769F" w:rsidRDefault="00AF7A86">
            <w:pPr>
              <w:spacing w:before="60" w:after="60"/>
              <w:jc w:val="right"/>
              <w:rPr>
                <w:noProof/>
                <w:sz w:val="20"/>
                <w:lang w:val="en-IE"/>
              </w:rPr>
            </w:pPr>
          </w:p>
        </w:tc>
        <w:tc>
          <w:tcPr>
            <w:tcW w:w="1112" w:type="dxa"/>
            <w:vAlign w:val="center"/>
          </w:tcPr>
          <w:p w14:paraId="42FFCC08" w14:textId="77777777" w:rsidR="00AF7A86" w:rsidRPr="003A769F" w:rsidRDefault="00AF7A86">
            <w:pPr>
              <w:spacing w:before="60" w:after="60"/>
              <w:jc w:val="center"/>
              <w:rPr>
                <w:noProof/>
                <w:sz w:val="20"/>
                <w:lang w:val="en-IE"/>
              </w:rPr>
            </w:pPr>
            <w:r>
              <w:rPr>
                <w:noProof/>
                <w:sz w:val="20"/>
                <w:lang w:val="en-IE"/>
              </w:rPr>
              <w:t>0.127</w:t>
            </w:r>
          </w:p>
        </w:tc>
        <w:tc>
          <w:tcPr>
            <w:tcW w:w="1112" w:type="dxa"/>
            <w:vAlign w:val="center"/>
          </w:tcPr>
          <w:p w14:paraId="6A431AE2" w14:textId="77777777" w:rsidR="00AF7A86" w:rsidRPr="003A769F" w:rsidRDefault="00AF7A86">
            <w:pPr>
              <w:spacing w:before="60" w:after="60"/>
              <w:jc w:val="center"/>
              <w:rPr>
                <w:noProof/>
                <w:sz w:val="20"/>
                <w:szCs w:val="20"/>
                <w:lang w:val="en-IE"/>
              </w:rPr>
            </w:pPr>
            <w:r>
              <w:rPr>
                <w:noProof/>
                <w:sz w:val="20"/>
                <w:szCs w:val="20"/>
                <w:lang w:val="en-IE"/>
              </w:rPr>
              <w:t>0.127</w:t>
            </w:r>
          </w:p>
        </w:tc>
        <w:tc>
          <w:tcPr>
            <w:tcW w:w="1112" w:type="dxa"/>
            <w:vAlign w:val="center"/>
          </w:tcPr>
          <w:p w14:paraId="2B6B30FC" w14:textId="77777777" w:rsidR="00AF7A86" w:rsidRDefault="00AF7A86">
            <w:pPr>
              <w:spacing w:before="60" w:after="60"/>
              <w:jc w:val="center"/>
              <w:rPr>
                <w:b/>
                <w:bCs/>
                <w:noProof/>
                <w:sz w:val="20"/>
                <w:szCs w:val="20"/>
              </w:rPr>
            </w:pPr>
            <w:r>
              <w:rPr>
                <w:b/>
                <w:bCs/>
                <w:noProof/>
                <w:sz w:val="20"/>
                <w:szCs w:val="20"/>
              </w:rPr>
              <w:t>2.546</w:t>
            </w:r>
          </w:p>
        </w:tc>
      </w:tr>
      <w:tr w:rsidR="00AF7A86" w:rsidRPr="003A769F" w14:paraId="22163A9C" w14:textId="77777777" w:rsidTr="00E04EF1">
        <w:trPr>
          <w:cantSplit/>
          <w:trHeight w:val="809"/>
        </w:trPr>
        <w:tc>
          <w:tcPr>
            <w:tcW w:w="3516" w:type="dxa"/>
            <w:vAlign w:val="center"/>
          </w:tcPr>
          <w:p w14:paraId="089949D3" w14:textId="77777777" w:rsidR="00AF7A86" w:rsidRPr="003A769F" w:rsidRDefault="00AF7A86">
            <w:pPr>
              <w:jc w:val="left"/>
              <w:rPr>
                <w:noProof/>
                <w:sz w:val="20"/>
                <w:lang w:val="en-IE"/>
              </w:rPr>
            </w:pPr>
            <w:r w:rsidRPr="004B2A0E">
              <w:rPr>
                <w:noProof/>
                <w:sz w:val="20"/>
                <w:szCs w:val="20"/>
              </w:rPr>
              <w:t>Title 2:</w:t>
            </w:r>
            <w:r>
              <w:rPr>
                <w:noProof/>
                <w:sz w:val="20"/>
                <w:szCs w:val="20"/>
              </w:rPr>
              <w:t xml:space="preserve"> Infrastructure and operating expenditure</w:t>
            </w:r>
          </w:p>
        </w:tc>
        <w:tc>
          <w:tcPr>
            <w:tcW w:w="1112" w:type="dxa"/>
            <w:vAlign w:val="center"/>
          </w:tcPr>
          <w:p w14:paraId="7BB1C85D" w14:textId="77777777" w:rsidR="00AF7A86" w:rsidRPr="003A769F" w:rsidRDefault="00AF7A86">
            <w:pPr>
              <w:spacing w:before="60" w:after="60"/>
              <w:jc w:val="right"/>
              <w:rPr>
                <w:noProof/>
                <w:sz w:val="20"/>
                <w:lang w:val="en-IE"/>
              </w:rPr>
            </w:pPr>
          </w:p>
        </w:tc>
        <w:tc>
          <w:tcPr>
            <w:tcW w:w="1112" w:type="dxa"/>
            <w:vAlign w:val="center"/>
          </w:tcPr>
          <w:p w14:paraId="6E609823" w14:textId="77777777" w:rsidR="00AF7A86" w:rsidRPr="003A769F" w:rsidRDefault="00AF7A86">
            <w:pPr>
              <w:spacing w:before="60" w:after="60"/>
              <w:jc w:val="right"/>
              <w:rPr>
                <w:noProof/>
                <w:sz w:val="20"/>
                <w:lang w:val="en-IE"/>
              </w:rPr>
            </w:pPr>
          </w:p>
        </w:tc>
        <w:tc>
          <w:tcPr>
            <w:tcW w:w="1112" w:type="dxa"/>
            <w:vAlign w:val="center"/>
          </w:tcPr>
          <w:p w14:paraId="0AB95667" w14:textId="77777777" w:rsidR="00AF7A86" w:rsidRPr="003A769F" w:rsidRDefault="00AF7A86">
            <w:pPr>
              <w:spacing w:before="60" w:after="60"/>
              <w:jc w:val="right"/>
              <w:rPr>
                <w:noProof/>
                <w:sz w:val="20"/>
                <w:lang w:val="en-IE"/>
              </w:rPr>
            </w:pPr>
          </w:p>
        </w:tc>
        <w:tc>
          <w:tcPr>
            <w:tcW w:w="1112" w:type="dxa"/>
            <w:vAlign w:val="center"/>
          </w:tcPr>
          <w:p w14:paraId="03345F40" w14:textId="77777777" w:rsidR="00AF7A86" w:rsidRPr="003A769F" w:rsidRDefault="00AF7A86">
            <w:pPr>
              <w:spacing w:before="60" w:after="60"/>
              <w:jc w:val="center"/>
              <w:rPr>
                <w:noProof/>
                <w:sz w:val="20"/>
                <w:lang w:val="en-IE"/>
              </w:rPr>
            </w:pPr>
          </w:p>
        </w:tc>
        <w:tc>
          <w:tcPr>
            <w:tcW w:w="1112" w:type="dxa"/>
            <w:vAlign w:val="center"/>
          </w:tcPr>
          <w:p w14:paraId="0B36C5B6" w14:textId="77777777" w:rsidR="00AF7A86" w:rsidRPr="003A769F" w:rsidRDefault="00AF7A86">
            <w:pPr>
              <w:spacing w:before="60" w:after="60"/>
              <w:jc w:val="center"/>
              <w:rPr>
                <w:noProof/>
                <w:sz w:val="20"/>
                <w:szCs w:val="20"/>
                <w:lang w:val="en-IE"/>
              </w:rPr>
            </w:pPr>
          </w:p>
        </w:tc>
        <w:tc>
          <w:tcPr>
            <w:tcW w:w="1112" w:type="dxa"/>
            <w:vAlign w:val="center"/>
          </w:tcPr>
          <w:p w14:paraId="4F4B9815" w14:textId="77777777" w:rsidR="00AF7A86" w:rsidRPr="1B2547E8" w:rsidRDefault="00AF7A86">
            <w:pPr>
              <w:spacing w:before="60" w:after="60"/>
              <w:jc w:val="center"/>
              <w:rPr>
                <w:b/>
                <w:bCs/>
                <w:noProof/>
                <w:sz w:val="20"/>
                <w:szCs w:val="20"/>
              </w:rPr>
            </w:pPr>
          </w:p>
        </w:tc>
      </w:tr>
      <w:tr w:rsidR="00AF7A86" w:rsidRPr="003A769F" w14:paraId="5D97FCB3" w14:textId="77777777" w:rsidTr="00E04EF1">
        <w:trPr>
          <w:cantSplit/>
          <w:trHeight w:val="809"/>
        </w:trPr>
        <w:tc>
          <w:tcPr>
            <w:tcW w:w="3516" w:type="dxa"/>
            <w:vAlign w:val="center"/>
          </w:tcPr>
          <w:p w14:paraId="49D326D2" w14:textId="77777777" w:rsidR="00AF7A86" w:rsidRPr="003A769F" w:rsidRDefault="00AF7A86">
            <w:pPr>
              <w:jc w:val="left"/>
              <w:rPr>
                <w:noProof/>
                <w:sz w:val="20"/>
                <w:lang w:val="en-IE"/>
              </w:rPr>
            </w:pPr>
            <w:r w:rsidRPr="004B2A0E">
              <w:rPr>
                <w:noProof/>
                <w:sz w:val="20"/>
                <w:szCs w:val="20"/>
              </w:rPr>
              <w:t>Title</w:t>
            </w:r>
            <w:r>
              <w:rPr>
                <w:noProof/>
                <w:sz w:val="20"/>
                <w:szCs w:val="20"/>
              </w:rPr>
              <w:t xml:space="preserve"> </w:t>
            </w:r>
            <w:r w:rsidRPr="004B2A0E">
              <w:rPr>
                <w:noProof/>
                <w:sz w:val="20"/>
                <w:szCs w:val="20"/>
              </w:rPr>
              <w:t>3:</w:t>
            </w:r>
            <w:r>
              <w:rPr>
                <w:noProof/>
                <w:sz w:val="20"/>
                <w:szCs w:val="20"/>
              </w:rPr>
              <w:t xml:space="preserve"> Operational expenditure</w:t>
            </w:r>
          </w:p>
        </w:tc>
        <w:tc>
          <w:tcPr>
            <w:tcW w:w="1112" w:type="dxa"/>
            <w:vAlign w:val="center"/>
          </w:tcPr>
          <w:p w14:paraId="44853050" w14:textId="77777777" w:rsidR="00AF7A86" w:rsidRPr="003A769F" w:rsidRDefault="00AF7A86">
            <w:pPr>
              <w:spacing w:before="60" w:after="60"/>
              <w:jc w:val="right"/>
              <w:rPr>
                <w:noProof/>
                <w:sz w:val="20"/>
                <w:lang w:val="en-IE"/>
              </w:rPr>
            </w:pPr>
          </w:p>
        </w:tc>
        <w:tc>
          <w:tcPr>
            <w:tcW w:w="1112" w:type="dxa"/>
            <w:vAlign w:val="center"/>
          </w:tcPr>
          <w:p w14:paraId="449B47BA" w14:textId="77777777" w:rsidR="00AF7A86" w:rsidRPr="003A769F" w:rsidRDefault="00AF7A86">
            <w:pPr>
              <w:spacing w:before="60" w:after="60"/>
              <w:jc w:val="right"/>
              <w:rPr>
                <w:noProof/>
                <w:sz w:val="20"/>
                <w:lang w:val="en-IE"/>
              </w:rPr>
            </w:pPr>
          </w:p>
        </w:tc>
        <w:tc>
          <w:tcPr>
            <w:tcW w:w="1112" w:type="dxa"/>
            <w:vAlign w:val="center"/>
          </w:tcPr>
          <w:p w14:paraId="141B7C2C" w14:textId="77777777" w:rsidR="00AF7A86" w:rsidRPr="003A769F" w:rsidRDefault="00AF7A86">
            <w:pPr>
              <w:spacing w:before="60" w:after="60"/>
              <w:jc w:val="right"/>
              <w:rPr>
                <w:noProof/>
                <w:sz w:val="20"/>
                <w:lang w:val="en-IE"/>
              </w:rPr>
            </w:pPr>
          </w:p>
        </w:tc>
        <w:tc>
          <w:tcPr>
            <w:tcW w:w="1112" w:type="dxa"/>
            <w:vAlign w:val="center"/>
          </w:tcPr>
          <w:p w14:paraId="7D77500A" w14:textId="77777777" w:rsidR="00AF7A86" w:rsidRPr="003A769F" w:rsidRDefault="00AF7A86">
            <w:pPr>
              <w:spacing w:before="60" w:after="60"/>
              <w:jc w:val="center"/>
              <w:rPr>
                <w:noProof/>
                <w:sz w:val="20"/>
                <w:lang w:val="en-IE"/>
              </w:rPr>
            </w:pPr>
            <w:r>
              <w:rPr>
                <w:noProof/>
                <w:sz w:val="20"/>
                <w:lang w:val="en-IE"/>
              </w:rPr>
              <w:t>0.200</w:t>
            </w:r>
          </w:p>
        </w:tc>
        <w:tc>
          <w:tcPr>
            <w:tcW w:w="1112" w:type="dxa"/>
            <w:vAlign w:val="center"/>
          </w:tcPr>
          <w:p w14:paraId="65468857" w14:textId="77777777" w:rsidR="00AF7A86" w:rsidRPr="003A769F" w:rsidRDefault="00AF7A86">
            <w:pPr>
              <w:spacing w:before="60" w:after="60"/>
              <w:jc w:val="center"/>
              <w:rPr>
                <w:noProof/>
                <w:sz w:val="20"/>
                <w:szCs w:val="20"/>
                <w:lang w:val="en-IE"/>
              </w:rPr>
            </w:pPr>
            <w:r>
              <w:rPr>
                <w:noProof/>
                <w:sz w:val="20"/>
                <w:szCs w:val="20"/>
                <w:lang w:val="en-IE"/>
              </w:rPr>
              <w:t>0.200</w:t>
            </w:r>
          </w:p>
        </w:tc>
        <w:tc>
          <w:tcPr>
            <w:tcW w:w="1112" w:type="dxa"/>
            <w:vAlign w:val="center"/>
          </w:tcPr>
          <w:p w14:paraId="5DE9636C" w14:textId="77777777" w:rsidR="00AF7A86" w:rsidRPr="1B2547E8" w:rsidRDefault="00AF7A86">
            <w:pPr>
              <w:spacing w:before="60" w:after="60"/>
              <w:jc w:val="center"/>
              <w:rPr>
                <w:b/>
                <w:bCs/>
                <w:noProof/>
                <w:sz w:val="20"/>
                <w:szCs w:val="20"/>
              </w:rPr>
            </w:pPr>
            <w:r>
              <w:rPr>
                <w:b/>
                <w:bCs/>
                <w:noProof/>
                <w:sz w:val="20"/>
                <w:szCs w:val="20"/>
              </w:rPr>
              <w:t>0.773</w:t>
            </w:r>
          </w:p>
        </w:tc>
      </w:tr>
      <w:tr w:rsidR="00AF7A86" w14:paraId="15F97379" w14:textId="77777777" w:rsidTr="00E04EF1">
        <w:trPr>
          <w:cantSplit/>
          <w:trHeight w:val="809"/>
        </w:trPr>
        <w:tc>
          <w:tcPr>
            <w:tcW w:w="3516" w:type="dxa"/>
            <w:vAlign w:val="center"/>
          </w:tcPr>
          <w:p w14:paraId="2AC65065" w14:textId="77777777" w:rsidR="00AF7A86" w:rsidRPr="003F4D71" w:rsidRDefault="00AF7A86">
            <w:pPr>
              <w:spacing w:before="60" w:after="60"/>
              <w:jc w:val="left"/>
              <w:rPr>
                <w:b/>
                <w:bCs/>
                <w:noProof/>
                <w:sz w:val="20"/>
              </w:rPr>
            </w:pPr>
            <w:r>
              <w:rPr>
                <w:b/>
                <w:bCs/>
                <w:noProof/>
                <w:sz w:val="20"/>
              </w:rPr>
              <w:t>TOTAL of</w:t>
            </w:r>
            <w:r w:rsidRPr="003F4D71">
              <w:rPr>
                <w:b/>
                <w:bCs/>
                <w:noProof/>
                <w:sz w:val="20"/>
              </w:rPr>
              <w:t xml:space="preserve"> appropriations </w:t>
            </w:r>
            <w:r>
              <w:rPr>
                <w:b/>
                <w:bCs/>
                <w:noProof/>
                <w:sz w:val="20"/>
              </w:rPr>
              <w:t>covered by the EU budget</w:t>
            </w:r>
            <w:r w:rsidRPr="003F4D71">
              <w:rPr>
                <w:b/>
                <w:bCs/>
                <w:noProof/>
                <w:sz w:val="20"/>
              </w:rPr>
              <w:t xml:space="preserve"> </w:t>
            </w:r>
          </w:p>
        </w:tc>
        <w:tc>
          <w:tcPr>
            <w:tcW w:w="1112" w:type="dxa"/>
            <w:vAlign w:val="center"/>
          </w:tcPr>
          <w:p w14:paraId="150705B7" w14:textId="77777777" w:rsidR="00AF7A86" w:rsidRDefault="00AF7A86">
            <w:pPr>
              <w:spacing w:before="60" w:after="60"/>
              <w:jc w:val="right"/>
              <w:rPr>
                <w:noProof/>
                <w:sz w:val="20"/>
              </w:rPr>
            </w:pPr>
            <w:r>
              <w:rPr>
                <w:b/>
                <w:bCs/>
                <w:noProof/>
                <w:sz w:val="20"/>
              </w:rPr>
              <w:t>0.000</w:t>
            </w:r>
          </w:p>
        </w:tc>
        <w:tc>
          <w:tcPr>
            <w:tcW w:w="1112" w:type="dxa"/>
            <w:vAlign w:val="center"/>
          </w:tcPr>
          <w:p w14:paraId="4972FAD9" w14:textId="77777777" w:rsidR="00AF7A86" w:rsidRDefault="00AF7A86">
            <w:pPr>
              <w:spacing w:before="60" w:after="60"/>
              <w:jc w:val="right"/>
              <w:rPr>
                <w:noProof/>
                <w:sz w:val="20"/>
              </w:rPr>
            </w:pPr>
            <w:r w:rsidRPr="00D45D3D">
              <w:rPr>
                <w:b/>
                <w:bCs/>
                <w:noProof/>
                <w:sz w:val="20"/>
              </w:rPr>
              <w:t>0.000</w:t>
            </w:r>
          </w:p>
        </w:tc>
        <w:tc>
          <w:tcPr>
            <w:tcW w:w="1112" w:type="dxa"/>
            <w:vAlign w:val="center"/>
          </w:tcPr>
          <w:p w14:paraId="5B0E279A" w14:textId="77777777" w:rsidR="00AF7A86" w:rsidRDefault="00AF7A86">
            <w:pPr>
              <w:spacing w:before="60" w:after="60"/>
              <w:jc w:val="center"/>
              <w:rPr>
                <w:noProof/>
                <w:sz w:val="20"/>
              </w:rPr>
            </w:pPr>
            <w:r w:rsidRPr="00D45D3D">
              <w:rPr>
                <w:b/>
                <w:bCs/>
                <w:noProof/>
                <w:sz w:val="20"/>
              </w:rPr>
              <w:t>0.000</w:t>
            </w:r>
          </w:p>
        </w:tc>
        <w:tc>
          <w:tcPr>
            <w:tcW w:w="1112" w:type="dxa"/>
            <w:vAlign w:val="center"/>
          </w:tcPr>
          <w:p w14:paraId="491237CE" w14:textId="77777777" w:rsidR="00AF7A86" w:rsidRDefault="00AF7A86">
            <w:pPr>
              <w:spacing w:before="60" w:after="60"/>
              <w:jc w:val="center"/>
              <w:rPr>
                <w:noProof/>
                <w:sz w:val="20"/>
              </w:rPr>
            </w:pPr>
            <w:r w:rsidRPr="00D45D3D">
              <w:rPr>
                <w:b/>
                <w:bCs/>
                <w:noProof/>
                <w:sz w:val="20"/>
              </w:rPr>
              <w:t>0</w:t>
            </w:r>
            <w:r>
              <w:rPr>
                <w:b/>
                <w:bCs/>
                <w:noProof/>
                <w:sz w:val="20"/>
              </w:rPr>
              <w:t>.327</w:t>
            </w:r>
          </w:p>
        </w:tc>
        <w:tc>
          <w:tcPr>
            <w:tcW w:w="1112" w:type="dxa"/>
            <w:vAlign w:val="center"/>
          </w:tcPr>
          <w:p w14:paraId="5AF3B326" w14:textId="77777777" w:rsidR="00AF7A86" w:rsidRPr="006B566F" w:rsidRDefault="00AF7A86">
            <w:pPr>
              <w:spacing w:before="60" w:after="60"/>
              <w:jc w:val="center"/>
              <w:rPr>
                <w:b/>
                <w:bCs/>
                <w:noProof/>
                <w:sz w:val="20"/>
              </w:rPr>
            </w:pPr>
            <w:r>
              <w:rPr>
                <w:b/>
                <w:bCs/>
                <w:noProof/>
                <w:sz w:val="20"/>
              </w:rPr>
              <w:t>0.327</w:t>
            </w:r>
          </w:p>
        </w:tc>
        <w:tc>
          <w:tcPr>
            <w:tcW w:w="1112" w:type="dxa"/>
            <w:vAlign w:val="center"/>
          </w:tcPr>
          <w:p w14:paraId="522CA66D" w14:textId="77777777" w:rsidR="00AF7A86" w:rsidRDefault="00AF7A86">
            <w:pPr>
              <w:spacing w:before="60" w:after="60"/>
              <w:jc w:val="center"/>
              <w:rPr>
                <w:b/>
                <w:bCs/>
                <w:noProof/>
                <w:sz w:val="20"/>
              </w:rPr>
            </w:pPr>
            <w:r>
              <w:rPr>
                <w:b/>
                <w:bCs/>
                <w:noProof/>
                <w:sz w:val="20"/>
              </w:rPr>
              <w:t>3.320</w:t>
            </w:r>
          </w:p>
        </w:tc>
      </w:tr>
    </w:tbl>
    <w:p w14:paraId="1DCFB490" w14:textId="77777777" w:rsidR="00AF7A86" w:rsidRDefault="00AF7A86" w:rsidP="00AF7A86">
      <w:pPr>
        <w:spacing w:before="240"/>
        <w:rPr>
          <w:b/>
          <w:bCs/>
          <w:noProof/>
          <w:sz w:val="22"/>
          <w:u w:val="single"/>
          <w:lang w:val="en-IE"/>
        </w:rPr>
      </w:pPr>
      <w:r w:rsidRPr="00070628">
        <w:rPr>
          <w:b/>
          <w:bCs/>
          <w:noProof/>
          <w:sz w:val="22"/>
          <w:u w:val="single"/>
          <w:lang w:val="en-IE"/>
        </w:rPr>
        <w:t>Overview</w:t>
      </w:r>
      <w:r>
        <w:rPr>
          <w:b/>
          <w:bCs/>
          <w:noProof/>
          <w:sz w:val="22"/>
          <w:u w:val="single"/>
          <w:lang w:val="en-IE"/>
        </w:rPr>
        <w:t>/summary</w:t>
      </w:r>
      <w:r w:rsidRPr="00070628">
        <w:rPr>
          <w:b/>
          <w:bCs/>
          <w:noProof/>
          <w:sz w:val="22"/>
          <w:u w:val="single"/>
          <w:lang w:val="en-IE"/>
        </w:rPr>
        <w:t xml:space="preserve"> of human resources and appropriations </w:t>
      </w:r>
      <w:r>
        <w:rPr>
          <w:b/>
          <w:bCs/>
          <w:noProof/>
          <w:sz w:val="22"/>
          <w:u w:val="single"/>
          <w:lang w:val="en-IE"/>
        </w:rPr>
        <w:t>(</w:t>
      </w:r>
      <w:r w:rsidRPr="00070628">
        <w:rPr>
          <w:b/>
          <w:bCs/>
          <w:noProof/>
          <w:sz w:val="22"/>
          <w:u w:val="single"/>
          <w:lang w:val="en-IE"/>
        </w:rPr>
        <w:t>in EUR million</w:t>
      </w:r>
      <w:r>
        <w:rPr>
          <w:b/>
          <w:bCs/>
          <w:noProof/>
          <w:sz w:val="22"/>
          <w:u w:val="single"/>
          <w:lang w:val="en-IE"/>
        </w:rPr>
        <w:t>)</w:t>
      </w:r>
      <w:r w:rsidRPr="00070628">
        <w:rPr>
          <w:b/>
          <w:bCs/>
          <w:noProof/>
          <w:sz w:val="22"/>
          <w:u w:val="single"/>
          <w:lang w:val="en-IE"/>
        </w:rPr>
        <w:t xml:space="preserve"> </w:t>
      </w:r>
      <w:r>
        <w:rPr>
          <w:b/>
          <w:bCs/>
          <w:noProof/>
          <w:sz w:val="22"/>
          <w:u w:val="single"/>
          <w:lang w:val="en-IE"/>
        </w:rPr>
        <w:t xml:space="preserve">required by the proposal/initiative in a decentralised agency </w:t>
      </w:r>
    </w:p>
    <w:tbl>
      <w:tblPr>
        <w:tblW w:w="1018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9"/>
        <w:gridCol w:w="1087"/>
        <w:gridCol w:w="1087"/>
        <w:gridCol w:w="1087"/>
        <w:gridCol w:w="1087"/>
        <w:gridCol w:w="1087"/>
        <w:gridCol w:w="1087"/>
      </w:tblGrid>
      <w:tr w:rsidR="00AF7A86" w14:paraId="557C17F6" w14:textId="77777777" w:rsidTr="00E04EF1">
        <w:trPr>
          <w:cantSplit/>
        </w:trPr>
        <w:tc>
          <w:tcPr>
            <w:tcW w:w="3659" w:type="dxa"/>
            <w:vAlign w:val="center"/>
          </w:tcPr>
          <w:p w14:paraId="444EB65A" w14:textId="77777777" w:rsidR="00AF7A86" w:rsidRPr="00070628" w:rsidRDefault="00AF7A86">
            <w:pPr>
              <w:spacing w:before="60" w:after="60"/>
              <w:jc w:val="center"/>
              <w:rPr>
                <w:b/>
                <w:bCs/>
                <w:noProof/>
                <w:sz w:val="20"/>
                <w:lang w:val="en-IE"/>
              </w:rPr>
            </w:pPr>
            <w:r w:rsidRPr="00070628">
              <w:rPr>
                <w:b/>
                <w:bCs/>
                <w:noProof/>
                <w:color w:val="444444"/>
                <w:sz w:val="20"/>
                <w:szCs w:val="20"/>
                <w:shd w:val="clear" w:color="auto" w:fill="FFFFFF"/>
              </w:rPr>
              <w:t>Agency</w:t>
            </w:r>
            <w:r>
              <w:rPr>
                <w:b/>
                <w:bCs/>
                <w:noProof/>
                <w:color w:val="444444"/>
                <w:sz w:val="20"/>
                <w:szCs w:val="20"/>
                <w:shd w:val="clear" w:color="auto" w:fill="FFFFFF"/>
              </w:rPr>
              <w:t>: ACER</w:t>
            </w:r>
          </w:p>
        </w:tc>
        <w:tc>
          <w:tcPr>
            <w:tcW w:w="1087" w:type="dxa"/>
            <w:vAlign w:val="center"/>
          </w:tcPr>
          <w:p w14:paraId="1AB683D3" w14:textId="77777777" w:rsidR="00AF7A86" w:rsidRDefault="00AF7A86">
            <w:pPr>
              <w:jc w:val="center"/>
              <w:rPr>
                <w:noProof/>
                <w:sz w:val="20"/>
              </w:rPr>
            </w:pPr>
            <w:r>
              <w:rPr>
                <w:noProof/>
                <w:sz w:val="20"/>
              </w:rPr>
              <w:t xml:space="preserve">Year </w:t>
            </w:r>
            <w:r w:rsidRPr="003F4D71">
              <w:rPr>
                <w:b/>
                <w:bCs/>
                <w:noProof/>
                <w:sz w:val="20"/>
              </w:rPr>
              <w:t>2024</w:t>
            </w:r>
          </w:p>
        </w:tc>
        <w:tc>
          <w:tcPr>
            <w:tcW w:w="1087" w:type="dxa"/>
            <w:vAlign w:val="center"/>
          </w:tcPr>
          <w:p w14:paraId="66EBE30F" w14:textId="77777777" w:rsidR="00AF7A86" w:rsidRDefault="00AF7A86">
            <w:pPr>
              <w:jc w:val="center"/>
              <w:rPr>
                <w:noProof/>
                <w:sz w:val="20"/>
              </w:rPr>
            </w:pPr>
            <w:r>
              <w:rPr>
                <w:noProof/>
                <w:sz w:val="20"/>
              </w:rPr>
              <w:t xml:space="preserve">Year </w:t>
            </w:r>
            <w:r>
              <w:rPr>
                <w:b/>
                <w:noProof/>
                <w:sz w:val="20"/>
              </w:rPr>
              <w:t>2025</w:t>
            </w:r>
          </w:p>
        </w:tc>
        <w:tc>
          <w:tcPr>
            <w:tcW w:w="1087" w:type="dxa"/>
            <w:vAlign w:val="center"/>
          </w:tcPr>
          <w:p w14:paraId="02729324" w14:textId="77777777" w:rsidR="00AF7A86" w:rsidRDefault="00AF7A86">
            <w:pPr>
              <w:jc w:val="center"/>
              <w:rPr>
                <w:noProof/>
                <w:sz w:val="20"/>
              </w:rPr>
            </w:pPr>
            <w:r>
              <w:rPr>
                <w:noProof/>
                <w:sz w:val="20"/>
              </w:rPr>
              <w:t xml:space="preserve">Year </w:t>
            </w:r>
            <w:r>
              <w:rPr>
                <w:b/>
                <w:noProof/>
                <w:sz w:val="20"/>
              </w:rPr>
              <w:t>2026</w:t>
            </w:r>
          </w:p>
        </w:tc>
        <w:tc>
          <w:tcPr>
            <w:tcW w:w="1087" w:type="dxa"/>
            <w:vAlign w:val="center"/>
          </w:tcPr>
          <w:p w14:paraId="008373A5" w14:textId="77777777" w:rsidR="00AF7A86" w:rsidRDefault="00AF7A86">
            <w:pPr>
              <w:jc w:val="center"/>
              <w:rPr>
                <w:noProof/>
                <w:sz w:val="20"/>
              </w:rPr>
            </w:pPr>
            <w:r>
              <w:rPr>
                <w:noProof/>
                <w:sz w:val="20"/>
              </w:rPr>
              <w:t xml:space="preserve">Year </w:t>
            </w:r>
            <w:r>
              <w:rPr>
                <w:b/>
                <w:noProof/>
                <w:sz w:val="20"/>
              </w:rPr>
              <w:t>2027</w:t>
            </w:r>
          </w:p>
        </w:tc>
        <w:tc>
          <w:tcPr>
            <w:tcW w:w="1087" w:type="dxa"/>
            <w:vAlign w:val="center"/>
          </w:tcPr>
          <w:p w14:paraId="4DF830D3" w14:textId="77777777" w:rsidR="00AF7A86" w:rsidRPr="004C127A" w:rsidRDefault="00AF7A86">
            <w:pPr>
              <w:spacing w:before="60" w:after="60"/>
              <w:jc w:val="center"/>
              <w:rPr>
                <w:noProof/>
                <w:sz w:val="20"/>
                <w:szCs w:val="20"/>
              </w:rPr>
            </w:pPr>
            <w:r w:rsidRPr="00070628">
              <w:rPr>
                <w:b/>
                <w:bCs/>
                <w:noProof/>
                <w:color w:val="000000"/>
                <w:sz w:val="20"/>
                <w:szCs w:val="20"/>
                <w:lang w:val="en-IE" w:eastAsia="en-IE"/>
              </w:rPr>
              <w:t>TOTAL</w:t>
            </w:r>
            <w:r>
              <w:rPr>
                <w:b/>
                <w:bCs/>
                <w:noProof/>
                <w:color w:val="000000"/>
                <w:sz w:val="20"/>
                <w:szCs w:val="20"/>
                <w:lang w:val="en-IE" w:eastAsia="en-IE"/>
              </w:rPr>
              <w:t xml:space="preserve"> </w:t>
            </w:r>
            <w:r w:rsidRPr="00070628">
              <w:rPr>
                <w:b/>
                <w:bCs/>
                <w:noProof/>
                <w:color w:val="000000"/>
                <w:sz w:val="20"/>
                <w:szCs w:val="20"/>
                <w:lang w:val="en-IE" w:eastAsia="en-IE"/>
              </w:rPr>
              <w:t>2021 - 2027</w:t>
            </w:r>
          </w:p>
        </w:tc>
        <w:tc>
          <w:tcPr>
            <w:tcW w:w="1087" w:type="dxa"/>
            <w:vAlign w:val="center"/>
          </w:tcPr>
          <w:p w14:paraId="4575DBBF" w14:textId="77777777" w:rsidR="00AF7A86" w:rsidRDefault="00AF7A86">
            <w:pPr>
              <w:spacing w:before="60" w:after="60"/>
              <w:jc w:val="center"/>
              <w:rPr>
                <w:b/>
                <w:bCs/>
                <w:noProof/>
                <w:color w:val="000000"/>
                <w:sz w:val="20"/>
                <w:szCs w:val="20"/>
                <w:lang w:val="en-IE" w:eastAsia="en-IE"/>
              </w:rPr>
            </w:pPr>
            <w:r>
              <w:rPr>
                <w:b/>
                <w:bCs/>
                <w:noProof/>
                <w:color w:val="000000"/>
                <w:sz w:val="20"/>
                <w:szCs w:val="20"/>
                <w:lang w:val="en-IE" w:eastAsia="en-IE"/>
              </w:rPr>
              <w:t>Post 2027</w:t>
            </w:r>
          </w:p>
        </w:tc>
      </w:tr>
      <w:tr w:rsidR="00AF7A86" w:rsidRPr="003A769F" w14:paraId="365B6272" w14:textId="77777777" w:rsidTr="00E04EF1">
        <w:trPr>
          <w:cantSplit/>
          <w:trHeight w:val="700"/>
        </w:trPr>
        <w:tc>
          <w:tcPr>
            <w:tcW w:w="3659" w:type="dxa"/>
            <w:vAlign w:val="center"/>
          </w:tcPr>
          <w:p w14:paraId="14B00F96" w14:textId="77777777" w:rsidR="00AF7A86" w:rsidRPr="002D2D1C" w:rsidRDefault="00AF7A86">
            <w:pPr>
              <w:jc w:val="left"/>
              <w:rPr>
                <w:noProof/>
                <w:lang w:val="en-IE"/>
              </w:rPr>
            </w:pPr>
            <w:r w:rsidRPr="00070628">
              <w:rPr>
                <w:noProof/>
                <w:sz w:val="20"/>
                <w:szCs w:val="20"/>
              </w:rPr>
              <w:t>Temporary agents (AD+AS</w:t>
            </w:r>
            <w:r>
              <w:rPr>
                <w:noProof/>
                <w:sz w:val="20"/>
                <w:szCs w:val="20"/>
              </w:rPr>
              <w:t>T)</w:t>
            </w:r>
          </w:p>
        </w:tc>
        <w:tc>
          <w:tcPr>
            <w:tcW w:w="1087" w:type="dxa"/>
            <w:vAlign w:val="center"/>
          </w:tcPr>
          <w:p w14:paraId="4152B174" w14:textId="77777777" w:rsidR="00AF7A86" w:rsidRDefault="00AF7A86">
            <w:pPr>
              <w:spacing w:before="60" w:after="60"/>
              <w:jc w:val="right"/>
              <w:rPr>
                <w:noProof/>
                <w:sz w:val="20"/>
                <w:szCs w:val="20"/>
              </w:rPr>
            </w:pPr>
            <w:r>
              <w:rPr>
                <w:b/>
                <w:bCs/>
                <w:noProof/>
                <w:color w:val="000000"/>
                <w:sz w:val="16"/>
                <w:szCs w:val="16"/>
                <w:lang w:val="en-IE" w:eastAsia="en-IE"/>
              </w:rPr>
              <w:t>0</w:t>
            </w:r>
          </w:p>
        </w:tc>
        <w:tc>
          <w:tcPr>
            <w:tcW w:w="1087" w:type="dxa"/>
            <w:vAlign w:val="center"/>
          </w:tcPr>
          <w:p w14:paraId="1C6E7F51" w14:textId="77777777" w:rsidR="00AF7A86" w:rsidRDefault="00AF7A86">
            <w:pPr>
              <w:spacing w:before="60" w:after="60"/>
              <w:jc w:val="right"/>
              <w:rPr>
                <w:noProof/>
                <w:sz w:val="20"/>
                <w:szCs w:val="20"/>
              </w:rPr>
            </w:pPr>
            <w:r>
              <w:rPr>
                <w:b/>
                <w:bCs/>
                <w:noProof/>
                <w:color w:val="000000"/>
                <w:sz w:val="16"/>
                <w:szCs w:val="16"/>
                <w:lang w:val="en-IE" w:eastAsia="en-IE"/>
              </w:rPr>
              <w:t>0</w:t>
            </w:r>
          </w:p>
        </w:tc>
        <w:tc>
          <w:tcPr>
            <w:tcW w:w="1087" w:type="dxa"/>
            <w:vAlign w:val="center"/>
          </w:tcPr>
          <w:p w14:paraId="5617078A" w14:textId="77777777" w:rsidR="00AF7A86" w:rsidRDefault="00AF7A86">
            <w:pPr>
              <w:spacing w:before="60" w:after="60"/>
              <w:jc w:val="right"/>
              <w:rPr>
                <w:noProof/>
                <w:sz w:val="20"/>
                <w:szCs w:val="20"/>
              </w:rPr>
            </w:pPr>
            <w:r>
              <w:rPr>
                <w:b/>
                <w:bCs/>
                <w:noProof/>
                <w:color w:val="000000"/>
                <w:sz w:val="16"/>
                <w:szCs w:val="16"/>
                <w:lang w:val="en-IE" w:eastAsia="en-IE"/>
              </w:rPr>
              <w:t>0</w:t>
            </w:r>
          </w:p>
        </w:tc>
        <w:tc>
          <w:tcPr>
            <w:tcW w:w="1087" w:type="dxa"/>
            <w:vAlign w:val="center"/>
          </w:tcPr>
          <w:p w14:paraId="4C890D0D" w14:textId="77777777" w:rsidR="00AF7A86" w:rsidRDefault="00AF7A86">
            <w:pPr>
              <w:spacing w:before="60" w:after="60"/>
              <w:jc w:val="right"/>
              <w:rPr>
                <w:noProof/>
                <w:sz w:val="20"/>
                <w:szCs w:val="20"/>
              </w:rPr>
            </w:pPr>
            <w:r>
              <w:rPr>
                <w:noProof/>
                <w:sz w:val="20"/>
                <w:szCs w:val="20"/>
              </w:rPr>
              <w:t>1</w:t>
            </w:r>
          </w:p>
        </w:tc>
        <w:tc>
          <w:tcPr>
            <w:tcW w:w="1087" w:type="dxa"/>
            <w:vAlign w:val="center"/>
          </w:tcPr>
          <w:p w14:paraId="40C69659" w14:textId="77777777" w:rsidR="00AF7A86" w:rsidRPr="00070628" w:rsidRDefault="00AF7A86">
            <w:pPr>
              <w:spacing w:before="60" w:after="60"/>
              <w:jc w:val="center"/>
              <w:rPr>
                <w:b/>
                <w:bCs/>
                <w:noProof/>
                <w:sz w:val="20"/>
                <w:szCs w:val="20"/>
              </w:rPr>
            </w:pPr>
            <w:r>
              <w:rPr>
                <w:b/>
                <w:bCs/>
                <w:noProof/>
                <w:sz w:val="20"/>
                <w:szCs w:val="20"/>
              </w:rPr>
              <w:t>1</w:t>
            </w:r>
          </w:p>
        </w:tc>
        <w:tc>
          <w:tcPr>
            <w:tcW w:w="1087" w:type="dxa"/>
            <w:vAlign w:val="center"/>
          </w:tcPr>
          <w:p w14:paraId="1D829A05" w14:textId="77777777" w:rsidR="00AF7A86" w:rsidRDefault="00AF7A86">
            <w:pPr>
              <w:spacing w:before="60" w:after="60"/>
              <w:jc w:val="center"/>
              <w:rPr>
                <w:b/>
                <w:bCs/>
                <w:noProof/>
                <w:sz w:val="20"/>
                <w:szCs w:val="20"/>
              </w:rPr>
            </w:pPr>
            <w:r>
              <w:rPr>
                <w:b/>
                <w:bCs/>
                <w:noProof/>
                <w:sz w:val="20"/>
                <w:szCs w:val="20"/>
              </w:rPr>
              <w:t>1</w:t>
            </w:r>
          </w:p>
        </w:tc>
      </w:tr>
      <w:tr w:rsidR="00AF7A86" w:rsidRPr="003A769F" w14:paraId="31ABE72F" w14:textId="77777777" w:rsidTr="00E04EF1">
        <w:trPr>
          <w:cantSplit/>
          <w:trHeight w:val="700"/>
        </w:trPr>
        <w:tc>
          <w:tcPr>
            <w:tcW w:w="3659" w:type="dxa"/>
            <w:vAlign w:val="center"/>
          </w:tcPr>
          <w:p w14:paraId="6ADC84D4" w14:textId="77777777" w:rsidR="00AF7A86" w:rsidRPr="003A769F" w:rsidRDefault="00AF7A86">
            <w:pPr>
              <w:jc w:val="left"/>
              <w:rPr>
                <w:noProof/>
                <w:sz w:val="20"/>
                <w:lang w:val="en-IE"/>
              </w:rPr>
            </w:pPr>
            <w:r w:rsidRPr="002D73DA">
              <w:rPr>
                <w:noProof/>
                <w:sz w:val="20"/>
                <w:szCs w:val="20"/>
              </w:rPr>
              <w:t xml:space="preserve">Contract </w:t>
            </w:r>
            <w:r>
              <w:rPr>
                <w:noProof/>
                <w:sz w:val="20"/>
                <w:szCs w:val="20"/>
              </w:rPr>
              <w:t>agents</w:t>
            </w:r>
          </w:p>
        </w:tc>
        <w:tc>
          <w:tcPr>
            <w:tcW w:w="1087" w:type="dxa"/>
            <w:vAlign w:val="center"/>
          </w:tcPr>
          <w:p w14:paraId="28E0BBEB" w14:textId="77777777" w:rsidR="00AF7A86" w:rsidRDefault="00AF7A86">
            <w:pPr>
              <w:spacing w:before="60" w:after="60"/>
              <w:jc w:val="right"/>
              <w:rPr>
                <w:noProof/>
                <w:sz w:val="20"/>
                <w:szCs w:val="20"/>
              </w:rPr>
            </w:pPr>
            <w:r>
              <w:rPr>
                <w:b/>
                <w:bCs/>
                <w:noProof/>
                <w:color w:val="000000"/>
                <w:sz w:val="16"/>
                <w:szCs w:val="16"/>
                <w:lang w:val="en-IE" w:eastAsia="en-IE"/>
              </w:rPr>
              <w:t>0</w:t>
            </w:r>
          </w:p>
        </w:tc>
        <w:tc>
          <w:tcPr>
            <w:tcW w:w="1087" w:type="dxa"/>
            <w:vAlign w:val="center"/>
          </w:tcPr>
          <w:p w14:paraId="5095E66F" w14:textId="77777777" w:rsidR="00AF7A86" w:rsidRDefault="00AF7A86">
            <w:pPr>
              <w:spacing w:before="60" w:after="60"/>
              <w:jc w:val="right"/>
              <w:rPr>
                <w:noProof/>
                <w:sz w:val="20"/>
                <w:szCs w:val="20"/>
              </w:rPr>
            </w:pPr>
            <w:r>
              <w:rPr>
                <w:b/>
                <w:bCs/>
                <w:noProof/>
                <w:color w:val="000000"/>
                <w:sz w:val="16"/>
                <w:szCs w:val="16"/>
                <w:lang w:val="en-IE" w:eastAsia="en-IE"/>
              </w:rPr>
              <w:t>0</w:t>
            </w:r>
          </w:p>
        </w:tc>
        <w:tc>
          <w:tcPr>
            <w:tcW w:w="1087" w:type="dxa"/>
            <w:vAlign w:val="center"/>
          </w:tcPr>
          <w:p w14:paraId="21B615C8" w14:textId="77777777" w:rsidR="00AF7A86" w:rsidRDefault="00AF7A86">
            <w:pPr>
              <w:spacing w:before="60" w:after="60"/>
              <w:jc w:val="right"/>
              <w:rPr>
                <w:noProof/>
                <w:sz w:val="20"/>
                <w:szCs w:val="20"/>
              </w:rPr>
            </w:pPr>
            <w:r>
              <w:rPr>
                <w:b/>
                <w:bCs/>
                <w:noProof/>
                <w:color w:val="000000"/>
                <w:sz w:val="16"/>
                <w:szCs w:val="16"/>
                <w:lang w:val="en-IE" w:eastAsia="en-IE"/>
              </w:rPr>
              <w:t>0</w:t>
            </w:r>
          </w:p>
        </w:tc>
        <w:tc>
          <w:tcPr>
            <w:tcW w:w="1087" w:type="dxa"/>
            <w:vAlign w:val="center"/>
          </w:tcPr>
          <w:p w14:paraId="616E4AE2" w14:textId="77777777" w:rsidR="00AF7A86" w:rsidRDefault="00AF7A86">
            <w:pPr>
              <w:spacing w:before="60" w:after="60"/>
              <w:jc w:val="right"/>
              <w:rPr>
                <w:noProof/>
                <w:sz w:val="20"/>
                <w:szCs w:val="20"/>
              </w:rPr>
            </w:pPr>
            <w:r>
              <w:rPr>
                <w:noProof/>
                <w:sz w:val="20"/>
                <w:szCs w:val="20"/>
              </w:rPr>
              <w:t>1</w:t>
            </w:r>
          </w:p>
        </w:tc>
        <w:tc>
          <w:tcPr>
            <w:tcW w:w="1087" w:type="dxa"/>
            <w:vAlign w:val="center"/>
          </w:tcPr>
          <w:p w14:paraId="5F3BA6E7" w14:textId="77777777" w:rsidR="00AF7A86" w:rsidRPr="00070628" w:rsidRDefault="00AF7A86">
            <w:pPr>
              <w:spacing w:before="60" w:after="60"/>
              <w:jc w:val="center"/>
              <w:rPr>
                <w:b/>
                <w:bCs/>
                <w:noProof/>
                <w:sz w:val="20"/>
                <w:szCs w:val="20"/>
              </w:rPr>
            </w:pPr>
            <w:r>
              <w:rPr>
                <w:b/>
                <w:bCs/>
                <w:noProof/>
                <w:sz w:val="20"/>
                <w:szCs w:val="20"/>
              </w:rPr>
              <w:t>1</w:t>
            </w:r>
          </w:p>
        </w:tc>
        <w:tc>
          <w:tcPr>
            <w:tcW w:w="1087" w:type="dxa"/>
            <w:vAlign w:val="center"/>
          </w:tcPr>
          <w:p w14:paraId="0E7ECDDA" w14:textId="77777777" w:rsidR="00AF7A86" w:rsidRDefault="00AF7A86">
            <w:pPr>
              <w:spacing w:before="60" w:after="60"/>
              <w:jc w:val="center"/>
              <w:rPr>
                <w:b/>
                <w:bCs/>
                <w:noProof/>
                <w:sz w:val="20"/>
                <w:szCs w:val="20"/>
              </w:rPr>
            </w:pPr>
            <w:r>
              <w:rPr>
                <w:b/>
                <w:bCs/>
                <w:noProof/>
                <w:sz w:val="20"/>
                <w:szCs w:val="20"/>
              </w:rPr>
              <w:t>2</w:t>
            </w:r>
          </w:p>
        </w:tc>
      </w:tr>
      <w:tr w:rsidR="00AF7A86" w:rsidRPr="003A769F" w14:paraId="2B0057C0" w14:textId="77777777" w:rsidTr="00E04EF1">
        <w:trPr>
          <w:cantSplit/>
          <w:trHeight w:val="700"/>
        </w:trPr>
        <w:tc>
          <w:tcPr>
            <w:tcW w:w="3659" w:type="dxa"/>
            <w:vAlign w:val="center"/>
          </w:tcPr>
          <w:p w14:paraId="2AD0B863" w14:textId="77777777" w:rsidR="00AF7A86" w:rsidRPr="003A769F" w:rsidRDefault="00AF7A86">
            <w:pPr>
              <w:jc w:val="left"/>
              <w:rPr>
                <w:noProof/>
                <w:sz w:val="20"/>
                <w:lang w:val="en-IE"/>
              </w:rPr>
            </w:pPr>
            <w:r w:rsidRPr="002D73DA">
              <w:rPr>
                <w:noProof/>
                <w:sz w:val="20"/>
                <w:szCs w:val="20"/>
              </w:rPr>
              <w:t xml:space="preserve">Seconded </w:t>
            </w:r>
            <w:r>
              <w:rPr>
                <w:noProof/>
                <w:sz w:val="20"/>
                <w:szCs w:val="20"/>
              </w:rPr>
              <w:t>n</w:t>
            </w:r>
            <w:r w:rsidRPr="002D73DA">
              <w:rPr>
                <w:noProof/>
                <w:sz w:val="20"/>
                <w:szCs w:val="20"/>
              </w:rPr>
              <w:t xml:space="preserve">ational </w:t>
            </w:r>
            <w:r>
              <w:rPr>
                <w:noProof/>
                <w:sz w:val="20"/>
                <w:szCs w:val="20"/>
              </w:rPr>
              <w:t>e</w:t>
            </w:r>
            <w:r w:rsidRPr="002D73DA">
              <w:rPr>
                <w:noProof/>
                <w:sz w:val="20"/>
                <w:szCs w:val="20"/>
              </w:rPr>
              <w:t>xperts</w:t>
            </w:r>
          </w:p>
        </w:tc>
        <w:tc>
          <w:tcPr>
            <w:tcW w:w="1087" w:type="dxa"/>
            <w:vAlign w:val="center"/>
          </w:tcPr>
          <w:p w14:paraId="243E7E4A" w14:textId="77777777" w:rsidR="00AF7A86" w:rsidRDefault="00AF7A86">
            <w:pPr>
              <w:spacing w:before="60" w:after="60"/>
              <w:jc w:val="right"/>
              <w:rPr>
                <w:noProof/>
                <w:sz w:val="20"/>
                <w:szCs w:val="20"/>
              </w:rPr>
            </w:pPr>
            <w:r>
              <w:rPr>
                <w:b/>
                <w:bCs/>
                <w:noProof/>
                <w:color w:val="000000"/>
                <w:sz w:val="16"/>
                <w:szCs w:val="16"/>
                <w:lang w:val="en-IE" w:eastAsia="en-IE"/>
              </w:rPr>
              <w:t>0</w:t>
            </w:r>
          </w:p>
        </w:tc>
        <w:tc>
          <w:tcPr>
            <w:tcW w:w="1087" w:type="dxa"/>
            <w:vAlign w:val="center"/>
          </w:tcPr>
          <w:p w14:paraId="0C7FABF0" w14:textId="77777777" w:rsidR="00AF7A86" w:rsidRDefault="00AF7A86">
            <w:pPr>
              <w:spacing w:before="60" w:after="60"/>
              <w:jc w:val="right"/>
              <w:rPr>
                <w:noProof/>
                <w:sz w:val="20"/>
                <w:szCs w:val="20"/>
              </w:rPr>
            </w:pPr>
            <w:r>
              <w:rPr>
                <w:b/>
                <w:bCs/>
                <w:noProof/>
                <w:color w:val="000000"/>
                <w:sz w:val="16"/>
                <w:szCs w:val="16"/>
                <w:lang w:val="en-IE" w:eastAsia="en-IE"/>
              </w:rPr>
              <w:t>0</w:t>
            </w:r>
          </w:p>
        </w:tc>
        <w:tc>
          <w:tcPr>
            <w:tcW w:w="1087" w:type="dxa"/>
            <w:vAlign w:val="center"/>
          </w:tcPr>
          <w:p w14:paraId="18F3BB81" w14:textId="77777777" w:rsidR="00AF7A86" w:rsidRDefault="00AF7A86">
            <w:pPr>
              <w:spacing w:before="60" w:after="60"/>
              <w:jc w:val="right"/>
              <w:rPr>
                <w:noProof/>
                <w:sz w:val="20"/>
                <w:szCs w:val="20"/>
              </w:rPr>
            </w:pPr>
            <w:r>
              <w:rPr>
                <w:b/>
                <w:bCs/>
                <w:noProof/>
                <w:color w:val="000000"/>
                <w:sz w:val="16"/>
                <w:szCs w:val="16"/>
                <w:lang w:val="en-IE" w:eastAsia="en-IE"/>
              </w:rPr>
              <w:t>0</w:t>
            </w:r>
          </w:p>
        </w:tc>
        <w:tc>
          <w:tcPr>
            <w:tcW w:w="1087" w:type="dxa"/>
            <w:vAlign w:val="center"/>
          </w:tcPr>
          <w:p w14:paraId="596D08DF" w14:textId="77777777" w:rsidR="00AF7A86" w:rsidRDefault="00AF7A86">
            <w:pPr>
              <w:spacing w:before="60" w:after="60"/>
              <w:jc w:val="right"/>
              <w:rPr>
                <w:noProof/>
                <w:sz w:val="20"/>
                <w:szCs w:val="20"/>
              </w:rPr>
            </w:pPr>
            <w:r>
              <w:rPr>
                <w:b/>
                <w:bCs/>
                <w:noProof/>
                <w:sz w:val="20"/>
                <w:szCs w:val="20"/>
              </w:rPr>
              <w:t>0</w:t>
            </w:r>
          </w:p>
        </w:tc>
        <w:tc>
          <w:tcPr>
            <w:tcW w:w="1087" w:type="dxa"/>
            <w:vAlign w:val="center"/>
          </w:tcPr>
          <w:p w14:paraId="46FA3804" w14:textId="77777777" w:rsidR="00AF7A86" w:rsidRPr="00070628" w:rsidRDefault="00AF7A86">
            <w:pPr>
              <w:spacing w:before="60" w:after="60"/>
              <w:jc w:val="center"/>
              <w:rPr>
                <w:b/>
                <w:bCs/>
                <w:noProof/>
                <w:sz w:val="20"/>
                <w:szCs w:val="20"/>
              </w:rPr>
            </w:pPr>
            <w:r>
              <w:rPr>
                <w:b/>
                <w:bCs/>
                <w:noProof/>
                <w:sz w:val="20"/>
                <w:szCs w:val="20"/>
              </w:rPr>
              <w:t>0</w:t>
            </w:r>
          </w:p>
        </w:tc>
        <w:tc>
          <w:tcPr>
            <w:tcW w:w="1087" w:type="dxa"/>
            <w:vAlign w:val="center"/>
          </w:tcPr>
          <w:p w14:paraId="0843C59A" w14:textId="77777777" w:rsidR="00AF7A86" w:rsidRDefault="00AF7A86">
            <w:pPr>
              <w:spacing w:before="60" w:after="60"/>
              <w:jc w:val="center"/>
              <w:rPr>
                <w:b/>
                <w:bCs/>
                <w:noProof/>
                <w:sz w:val="20"/>
                <w:szCs w:val="20"/>
              </w:rPr>
            </w:pPr>
            <w:r>
              <w:rPr>
                <w:b/>
                <w:bCs/>
                <w:noProof/>
                <w:sz w:val="20"/>
                <w:szCs w:val="20"/>
              </w:rPr>
              <w:t>0</w:t>
            </w:r>
          </w:p>
        </w:tc>
      </w:tr>
      <w:tr w:rsidR="00AF7A86" w14:paraId="3A256C2B" w14:textId="77777777" w:rsidTr="00E04EF1">
        <w:trPr>
          <w:cantSplit/>
          <w:trHeight w:val="700"/>
        </w:trPr>
        <w:tc>
          <w:tcPr>
            <w:tcW w:w="3659" w:type="dxa"/>
            <w:vAlign w:val="center"/>
          </w:tcPr>
          <w:p w14:paraId="47331A12" w14:textId="77777777" w:rsidR="00AF7A86" w:rsidRDefault="00AF7A86">
            <w:pPr>
              <w:spacing w:before="60" w:after="60"/>
              <w:jc w:val="left"/>
              <w:rPr>
                <w:b/>
                <w:bCs/>
                <w:noProof/>
                <w:sz w:val="20"/>
              </w:rPr>
            </w:pPr>
            <w:r>
              <w:rPr>
                <w:b/>
                <w:bCs/>
                <w:noProof/>
                <w:sz w:val="20"/>
              </w:rPr>
              <w:t>Total staff</w:t>
            </w:r>
          </w:p>
        </w:tc>
        <w:tc>
          <w:tcPr>
            <w:tcW w:w="1087" w:type="dxa"/>
            <w:vAlign w:val="center"/>
          </w:tcPr>
          <w:p w14:paraId="0E7BFCA8" w14:textId="77777777" w:rsidR="00AF7A86" w:rsidRDefault="00AF7A86">
            <w:pPr>
              <w:spacing w:before="60" w:after="60"/>
              <w:jc w:val="right"/>
              <w:rPr>
                <w:noProof/>
                <w:sz w:val="20"/>
              </w:rPr>
            </w:pPr>
            <w:r w:rsidRPr="00066A1C">
              <w:rPr>
                <w:b/>
                <w:bCs/>
                <w:noProof/>
                <w:color w:val="000000"/>
                <w:sz w:val="16"/>
                <w:szCs w:val="16"/>
                <w:lang w:val="en-IE" w:eastAsia="en-IE"/>
              </w:rPr>
              <w:t>0</w:t>
            </w:r>
          </w:p>
        </w:tc>
        <w:tc>
          <w:tcPr>
            <w:tcW w:w="1087" w:type="dxa"/>
            <w:vAlign w:val="center"/>
          </w:tcPr>
          <w:p w14:paraId="459883E2" w14:textId="77777777" w:rsidR="00AF7A86" w:rsidRDefault="00AF7A86">
            <w:pPr>
              <w:spacing w:before="60" w:after="60"/>
              <w:jc w:val="right"/>
              <w:rPr>
                <w:noProof/>
                <w:sz w:val="20"/>
              </w:rPr>
            </w:pPr>
            <w:r w:rsidRPr="00066A1C">
              <w:rPr>
                <w:b/>
                <w:bCs/>
                <w:noProof/>
                <w:color w:val="000000"/>
                <w:sz w:val="16"/>
                <w:szCs w:val="16"/>
                <w:lang w:val="en-IE" w:eastAsia="en-IE"/>
              </w:rPr>
              <w:t>0</w:t>
            </w:r>
          </w:p>
        </w:tc>
        <w:tc>
          <w:tcPr>
            <w:tcW w:w="1087" w:type="dxa"/>
            <w:vAlign w:val="center"/>
          </w:tcPr>
          <w:p w14:paraId="0708608D" w14:textId="77777777" w:rsidR="00AF7A86" w:rsidRDefault="00AF7A86">
            <w:pPr>
              <w:spacing w:before="60" w:after="60"/>
              <w:jc w:val="right"/>
              <w:rPr>
                <w:noProof/>
                <w:sz w:val="20"/>
              </w:rPr>
            </w:pPr>
            <w:r w:rsidRPr="00066A1C">
              <w:rPr>
                <w:b/>
                <w:bCs/>
                <w:noProof/>
                <w:color w:val="000000"/>
                <w:sz w:val="16"/>
                <w:szCs w:val="16"/>
                <w:lang w:val="en-IE" w:eastAsia="en-IE"/>
              </w:rPr>
              <w:t>0</w:t>
            </w:r>
          </w:p>
        </w:tc>
        <w:tc>
          <w:tcPr>
            <w:tcW w:w="1087" w:type="dxa"/>
            <w:vAlign w:val="center"/>
          </w:tcPr>
          <w:p w14:paraId="676CC6D4" w14:textId="77777777" w:rsidR="00AF7A86" w:rsidRDefault="00AF7A86">
            <w:pPr>
              <w:spacing w:before="60" w:after="60"/>
              <w:jc w:val="right"/>
              <w:rPr>
                <w:noProof/>
                <w:sz w:val="20"/>
              </w:rPr>
            </w:pPr>
            <w:r>
              <w:rPr>
                <w:noProof/>
                <w:sz w:val="20"/>
              </w:rPr>
              <w:t>2</w:t>
            </w:r>
          </w:p>
        </w:tc>
        <w:tc>
          <w:tcPr>
            <w:tcW w:w="1087" w:type="dxa"/>
            <w:vAlign w:val="center"/>
          </w:tcPr>
          <w:p w14:paraId="5314A967" w14:textId="77777777" w:rsidR="00AF7A86" w:rsidRPr="00070628" w:rsidRDefault="00AF7A86">
            <w:pPr>
              <w:spacing w:before="60" w:after="60"/>
              <w:jc w:val="center"/>
              <w:rPr>
                <w:b/>
                <w:bCs/>
                <w:noProof/>
                <w:sz w:val="20"/>
                <w:szCs w:val="20"/>
              </w:rPr>
            </w:pPr>
            <w:r>
              <w:rPr>
                <w:b/>
                <w:bCs/>
                <w:noProof/>
                <w:sz w:val="20"/>
                <w:szCs w:val="20"/>
              </w:rPr>
              <w:t>2</w:t>
            </w:r>
          </w:p>
        </w:tc>
        <w:tc>
          <w:tcPr>
            <w:tcW w:w="1087" w:type="dxa"/>
            <w:vAlign w:val="center"/>
          </w:tcPr>
          <w:p w14:paraId="5AB3ADF5" w14:textId="77777777" w:rsidR="00AF7A86" w:rsidRDefault="00AF7A86">
            <w:pPr>
              <w:spacing w:before="60" w:after="60"/>
              <w:jc w:val="center"/>
              <w:rPr>
                <w:b/>
                <w:bCs/>
                <w:noProof/>
                <w:sz w:val="20"/>
                <w:szCs w:val="20"/>
              </w:rPr>
            </w:pPr>
            <w:r>
              <w:rPr>
                <w:b/>
                <w:bCs/>
                <w:noProof/>
                <w:sz w:val="20"/>
                <w:szCs w:val="20"/>
              </w:rPr>
              <w:t>3</w:t>
            </w:r>
          </w:p>
        </w:tc>
      </w:tr>
      <w:tr w:rsidR="00AF7A86" w14:paraId="7ED10967" w14:textId="77777777" w:rsidTr="00E04EF1">
        <w:trPr>
          <w:cantSplit/>
          <w:trHeight w:val="700"/>
        </w:trPr>
        <w:tc>
          <w:tcPr>
            <w:tcW w:w="3659" w:type="dxa"/>
            <w:vAlign w:val="center"/>
          </w:tcPr>
          <w:p w14:paraId="48B37122" w14:textId="77777777" w:rsidR="00AF7A86" w:rsidRPr="00070628" w:rsidRDefault="00AF7A86">
            <w:pPr>
              <w:spacing w:before="60" w:after="60"/>
              <w:jc w:val="left"/>
              <w:rPr>
                <w:noProof/>
                <w:sz w:val="20"/>
              </w:rPr>
            </w:pPr>
            <w:r>
              <w:rPr>
                <w:noProof/>
                <w:sz w:val="20"/>
              </w:rPr>
              <w:t xml:space="preserve">Appropriations covered by the </w:t>
            </w:r>
            <w:r w:rsidRPr="00070628">
              <w:rPr>
                <w:noProof/>
                <w:sz w:val="20"/>
              </w:rPr>
              <w:t xml:space="preserve">EU </w:t>
            </w:r>
            <w:r>
              <w:rPr>
                <w:noProof/>
                <w:sz w:val="20"/>
              </w:rPr>
              <w:t>b</w:t>
            </w:r>
            <w:r w:rsidRPr="00070628">
              <w:rPr>
                <w:noProof/>
                <w:sz w:val="20"/>
              </w:rPr>
              <w:t>udget</w:t>
            </w:r>
          </w:p>
        </w:tc>
        <w:tc>
          <w:tcPr>
            <w:tcW w:w="1087" w:type="dxa"/>
            <w:vAlign w:val="center"/>
          </w:tcPr>
          <w:p w14:paraId="2707F214"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76DEC31A"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5AEFB47B"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38EBAC39" w14:textId="77777777" w:rsidR="00AF7A86" w:rsidRPr="0094063F" w:rsidRDefault="00AF7A86">
            <w:pPr>
              <w:spacing w:before="60" w:after="60"/>
              <w:jc w:val="right"/>
              <w:rPr>
                <w:noProof/>
                <w:sz w:val="20"/>
              </w:rPr>
            </w:pPr>
            <w:r w:rsidRPr="0094063F">
              <w:rPr>
                <w:noProof/>
                <w:sz w:val="20"/>
                <w:szCs w:val="20"/>
              </w:rPr>
              <w:t>0.</w:t>
            </w:r>
            <w:r>
              <w:rPr>
                <w:noProof/>
                <w:sz w:val="20"/>
                <w:szCs w:val="20"/>
              </w:rPr>
              <w:t>327</w:t>
            </w:r>
          </w:p>
        </w:tc>
        <w:tc>
          <w:tcPr>
            <w:tcW w:w="1087" w:type="dxa"/>
            <w:vAlign w:val="center"/>
          </w:tcPr>
          <w:p w14:paraId="443AE2DE" w14:textId="77777777" w:rsidR="00AF7A86" w:rsidRPr="00070628" w:rsidRDefault="00AF7A86">
            <w:pPr>
              <w:spacing w:before="60" w:after="60"/>
              <w:jc w:val="right"/>
              <w:rPr>
                <w:b/>
                <w:bCs/>
                <w:noProof/>
                <w:sz w:val="20"/>
                <w:szCs w:val="20"/>
              </w:rPr>
            </w:pPr>
            <w:r w:rsidRPr="00215F1E">
              <w:rPr>
                <w:b/>
                <w:noProof/>
                <w:sz w:val="20"/>
                <w:szCs w:val="20"/>
              </w:rPr>
              <w:t>0.327</w:t>
            </w:r>
          </w:p>
        </w:tc>
        <w:tc>
          <w:tcPr>
            <w:tcW w:w="1087" w:type="dxa"/>
            <w:vAlign w:val="center"/>
          </w:tcPr>
          <w:p w14:paraId="221E4886" w14:textId="77777777" w:rsidR="00AF7A86" w:rsidRPr="00215F1E" w:rsidRDefault="00AF7A86">
            <w:pPr>
              <w:spacing w:before="60" w:after="60"/>
              <w:jc w:val="center"/>
              <w:rPr>
                <w:b/>
                <w:noProof/>
                <w:sz w:val="20"/>
                <w:lang w:val="en-IE"/>
              </w:rPr>
            </w:pPr>
            <w:r w:rsidRPr="00215F1E">
              <w:rPr>
                <w:b/>
                <w:noProof/>
                <w:sz w:val="20"/>
                <w:szCs w:val="20"/>
              </w:rPr>
              <w:t>3.</w:t>
            </w:r>
            <w:r w:rsidRPr="00215F1E">
              <w:rPr>
                <w:b/>
                <w:bCs/>
                <w:noProof/>
                <w:sz w:val="20"/>
                <w:szCs w:val="20"/>
              </w:rPr>
              <w:t>320</w:t>
            </w:r>
          </w:p>
        </w:tc>
      </w:tr>
      <w:tr w:rsidR="00AF7A86" w14:paraId="7FDB4858" w14:textId="77777777" w:rsidTr="00E04EF1">
        <w:trPr>
          <w:cantSplit/>
          <w:trHeight w:val="700"/>
        </w:trPr>
        <w:tc>
          <w:tcPr>
            <w:tcW w:w="3659" w:type="dxa"/>
            <w:vAlign w:val="center"/>
          </w:tcPr>
          <w:p w14:paraId="3462B49F" w14:textId="77777777" w:rsidR="00AF7A86" w:rsidRDefault="00AF7A86">
            <w:pPr>
              <w:spacing w:before="60" w:after="60"/>
              <w:jc w:val="left"/>
              <w:rPr>
                <w:noProof/>
                <w:sz w:val="20"/>
              </w:rPr>
            </w:pPr>
            <w:r w:rsidRPr="00070628">
              <w:rPr>
                <w:noProof/>
                <w:sz w:val="20"/>
              </w:rPr>
              <w:t>Appropriations covered by fees</w:t>
            </w:r>
            <w:r>
              <w:rPr>
                <w:noProof/>
                <w:sz w:val="20"/>
              </w:rPr>
              <w:t xml:space="preserve"> </w:t>
            </w:r>
          </w:p>
          <w:p w14:paraId="49B80982" w14:textId="77777777" w:rsidR="00AF7A86" w:rsidRPr="00070628" w:rsidRDefault="00AF7A86">
            <w:pPr>
              <w:spacing w:before="60" w:after="60"/>
              <w:jc w:val="left"/>
              <w:rPr>
                <w:noProof/>
                <w:sz w:val="20"/>
              </w:rPr>
            </w:pPr>
            <w:r>
              <w:rPr>
                <w:noProof/>
                <w:sz w:val="20"/>
              </w:rPr>
              <w:t>(if applicable)</w:t>
            </w:r>
          </w:p>
        </w:tc>
        <w:tc>
          <w:tcPr>
            <w:tcW w:w="1087" w:type="dxa"/>
            <w:vAlign w:val="center"/>
          </w:tcPr>
          <w:p w14:paraId="3451A096"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3A8A6499"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6A420DB5"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0314C794"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4F391EAE" w14:textId="77777777" w:rsidR="00AF7A86" w:rsidRPr="00070628" w:rsidRDefault="00AF7A86">
            <w:pPr>
              <w:spacing w:before="60" w:after="60"/>
              <w:jc w:val="right"/>
              <w:rPr>
                <w:b/>
                <w:bCs/>
                <w:noProof/>
                <w:sz w:val="20"/>
                <w:szCs w:val="20"/>
              </w:rPr>
            </w:pPr>
            <w:r w:rsidRPr="1B2547E8">
              <w:rPr>
                <w:b/>
                <w:bCs/>
                <w:noProof/>
                <w:sz w:val="20"/>
                <w:szCs w:val="20"/>
              </w:rPr>
              <w:t>0.000</w:t>
            </w:r>
          </w:p>
        </w:tc>
        <w:tc>
          <w:tcPr>
            <w:tcW w:w="1087" w:type="dxa"/>
            <w:vAlign w:val="center"/>
          </w:tcPr>
          <w:p w14:paraId="5D5ACF9B" w14:textId="77777777" w:rsidR="00AF7A86" w:rsidRPr="1B2547E8" w:rsidRDefault="00AF7A86">
            <w:pPr>
              <w:spacing w:before="60" w:after="60"/>
              <w:jc w:val="center"/>
              <w:rPr>
                <w:b/>
                <w:bCs/>
                <w:noProof/>
                <w:sz w:val="20"/>
                <w:szCs w:val="20"/>
              </w:rPr>
            </w:pPr>
            <w:r w:rsidRPr="1B2547E8">
              <w:rPr>
                <w:b/>
                <w:bCs/>
                <w:noProof/>
                <w:sz w:val="20"/>
                <w:szCs w:val="20"/>
              </w:rPr>
              <w:t>0.000</w:t>
            </w:r>
          </w:p>
        </w:tc>
      </w:tr>
      <w:tr w:rsidR="00AF7A86" w14:paraId="036CC3C3" w14:textId="77777777" w:rsidTr="00E04EF1">
        <w:trPr>
          <w:cantSplit/>
          <w:trHeight w:val="700"/>
        </w:trPr>
        <w:tc>
          <w:tcPr>
            <w:tcW w:w="3659" w:type="dxa"/>
            <w:vAlign w:val="center"/>
          </w:tcPr>
          <w:p w14:paraId="1A734C69" w14:textId="77777777" w:rsidR="00AF7A86" w:rsidRDefault="00AF7A86">
            <w:pPr>
              <w:spacing w:before="60" w:after="60"/>
              <w:jc w:val="left"/>
              <w:rPr>
                <w:noProof/>
                <w:sz w:val="20"/>
              </w:rPr>
            </w:pPr>
            <w:r w:rsidRPr="00070628">
              <w:rPr>
                <w:noProof/>
                <w:sz w:val="20"/>
              </w:rPr>
              <w:t xml:space="preserve">Appropriations co-financed </w:t>
            </w:r>
          </w:p>
          <w:p w14:paraId="5447161C" w14:textId="77777777" w:rsidR="00AF7A86" w:rsidRPr="00070628" w:rsidRDefault="00AF7A86">
            <w:pPr>
              <w:spacing w:before="60" w:after="60"/>
              <w:jc w:val="left"/>
              <w:rPr>
                <w:noProof/>
                <w:sz w:val="20"/>
              </w:rPr>
            </w:pPr>
            <w:r w:rsidRPr="00070628">
              <w:rPr>
                <w:noProof/>
                <w:sz w:val="20"/>
              </w:rPr>
              <w:t>(if applicable)</w:t>
            </w:r>
          </w:p>
        </w:tc>
        <w:tc>
          <w:tcPr>
            <w:tcW w:w="1087" w:type="dxa"/>
            <w:vAlign w:val="center"/>
          </w:tcPr>
          <w:p w14:paraId="46281254"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0A53F869"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526D8A18"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4F578C2A" w14:textId="77777777" w:rsidR="00AF7A86" w:rsidRPr="0094063F" w:rsidRDefault="00AF7A86">
            <w:pPr>
              <w:spacing w:before="60" w:after="60"/>
              <w:jc w:val="right"/>
              <w:rPr>
                <w:noProof/>
                <w:sz w:val="20"/>
              </w:rPr>
            </w:pPr>
            <w:r w:rsidRPr="0094063F">
              <w:rPr>
                <w:noProof/>
                <w:sz w:val="20"/>
                <w:szCs w:val="20"/>
              </w:rPr>
              <w:t>0.000</w:t>
            </w:r>
          </w:p>
        </w:tc>
        <w:tc>
          <w:tcPr>
            <w:tcW w:w="1087" w:type="dxa"/>
            <w:vAlign w:val="center"/>
          </w:tcPr>
          <w:p w14:paraId="6CA9121A" w14:textId="77777777" w:rsidR="00AF7A86" w:rsidRPr="00070628" w:rsidRDefault="00AF7A86">
            <w:pPr>
              <w:spacing w:before="60" w:after="60"/>
              <w:jc w:val="right"/>
              <w:rPr>
                <w:b/>
                <w:bCs/>
                <w:noProof/>
                <w:sz w:val="20"/>
                <w:szCs w:val="20"/>
              </w:rPr>
            </w:pPr>
            <w:r w:rsidRPr="1B2547E8">
              <w:rPr>
                <w:b/>
                <w:bCs/>
                <w:noProof/>
                <w:sz w:val="20"/>
                <w:szCs w:val="20"/>
              </w:rPr>
              <w:t>0.000</w:t>
            </w:r>
          </w:p>
        </w:tc>
        <w:tc>
          <w:tcPr>
            <w:tcW w:w="1087" w:type="dxa"/>
            <w:vAlign w:val="center"/>
          </w:tcPr>
          <w:p w14:paraId="2D287066" w14:textId="77777777" w:rsidR="00AF7A86" w:rsidRPr="1B2547E8" w:rsidRDefault="00AF7A86">
            <w:pPr>
              <w:spacing w:before="60" w:after="60"/>
              <w:jc w:val="center"/>
              <w:rPr>
                <w:b/>
                <w:bCs/>
                <w:noProof/>
                <w:sz w:val="20"/>
                <w:szCs w:val="20"/>
              </w:rPr>
            </w:pPr>
            <w:r w:rsidRPr="1B2547E8">
              <w:rPr>
                <w:b/>
                <w:bCs/>
                <w:noProof/>
                <w:sz w:val="20"/>
                <w:szCs w:val="20"/>
              </w:rPr>
              <w:t>0.000</w:t>
            </w:r>
          </w:p>
        </w:tc>
      </w:tr>
      <w:tr w:rsidR="00AF7A86" w14:paraId="03228E31" w14:textId="77777777" w:rsidTr="00E04EF1">
        <w:trPr>
          <w:cantSplit/>
          <w:trHeight w:val="700"/>
        </w:trPr>
        <w:tc>
          <w:tcPr>
            <w:tcW w:w="3659" w:type="dxa"/>
            <w:vAlign w:val="center"/>
          </w:tcPr>
          <w:p w14:paraId="7E9EC6FC" w14:textId="77777777" w:rsidR="00AF7A86" w:rsidRPr="003F4D71" w:rsidRDefault="00AF7A86">
            <w:pPr>
              <w:spacing w:before="60" w:after="60"/>
              <w:jc w:val="left"/>
              <w:rPr>
                <w:b/>
                <w:bCs/>
                <w:noProof/>
                <w:sz w:val="20"/>
              </w:rPr>
            </w:pPr>
            <w:r>
              <w:rPr>
                <w:b/>
                <w:bCs/>
                <w:noProof/>
                <w:sz w:val="20"/>
              </w:rPr>
              <w:t xml:space="preserve">TOTAL </w:t>
            </w:r>
            <w:r w:rsidRPr="003F4D71">
              <w:rPr>
                <w:b/>
                <w:bCs/>
                <w:noProof/>
                <w:sz w:val="20"/>
              </w:rPr>
              <w:t>appropriations</w:t>
            </w:r>
          </w:p>
        </w:tc>
        <w:tc>
          <w:tcPr>
            <w:tcW w:w="1087" w:type="dxa"/>
            <w:vAlign w:val="center"/>
          </w:tcPr>
          <w:p w14:paraId="2C44A5C3" w14:textId="77777777" w:rsidR="00AF7A86" w:rsidRPr="00070628" w:rsidRDefault="00AF7A86">
            <w:pPr>
              <w:spacing w:before="60" w:after="60"/>
              <w:jc w:val="right"/>
              <w:rPr>
                <w:b/>
                <w:bCs/>
                <w:noProof/>
                <w:sz w:val="20"/>
              </w:rPr>
            </w:pPr>
            <w:r>
              <w:rPr>
                <w:b/>
                <w:bCs/>
                <w:noProof/>
                <w:sz w:val="20"/>
              </w:rPr>
              <w:t>0.000</w:t>
            </w:r>
          </w:p>
        </w:tc>
        <w:tc>
          <w:tcPr>
            <w:tcW w:w="1087" w:type="dxa"/>
            <w:vAlign w:val="center"/>
          </w:tcPr>
          <w:p w14:paraId="6097F930" w14:textId="77777777" w:rsidR="00AF7A86" w:rsidRPr="00070628" w:rsidRDefault="00AF7A86">
            <w:pPr>
              <w:spacing w:before="60" w:after="60"/>
              <w:jc w:val="right"/>
              <w:rPr>
                <w:b/>
                <w:bCs/>
                <w:noProof/>
                <w:sz w:val="20"/>
              </w:rPr>
            </w:pPr>
            <w:r w:rsidRPr="00D45D3D">
              <w:rPr>
                <w:b/>
                <w:bCs/>
                <w:noProof/>
                <w:sz w:val="20"/>
              </w:rPr>
              <w:t>0.000</w:t>
            </w:r>
          </w:p>
        </w:tc>
        <w:tc>
          <w:tcPr>
            <w:tcW w:w="1087" w:type="dxa"/>
            <w:vAlign w:val="center"/>
          </w:tcPr>
          <w:p w14:paraId="413F8DFD" w14:textId="77777777" w:rsidR="00AF7A86" w:rsidRPr="00070628" w:rsidRDefault="00AF7A86">
            <w:pPr>
              <w:spacing w:before="60" w:after="60"/>
              <w:jc w:val="right"/>
              <w:rPr>
                <w:b/>
                <w:bCs/>
                <w:noProof/>
                <w:sz w:val="20"/>
              </w:rPr>
            </w:pPr>
            <w:r w:rsidRPr="00D45D3D">
              <w:rPr>
                <w:b/>
                <w:bCs/>
                <w:noProof/>
                <w:sz w:val="20"/>
              </w:rPr>
              <w:t>0.000</w:t>
            </w:r>
          </w:p>
        </w:tc>
        <w:tc>
          <w:tcPr>
            <w:tcW w:w="1087" w:type="dxa"/>
            <w:vAlign w:val="center"/>
          </w:tcPr>
          <w:p w14:paraId="3E36FDCC" w14:textId="77777777" w:rsidR="00AF7A86" w:rsidRPr="00070628" w:rsidRDefault="00AF7A86">
            <w:pPr>
              <w:spacing w:before="60" w:after="60"/>
              <w:jc w:val="right"/>
              <w:rPr>
                <w:b/>
                <w:bCs/>
                <w:noProof/>
                <w:sz w:val="20"/>
              </w:rPr>
            </w:pPr>
            <w:r w:rsidRPr="00B7351D">
              <w:rPr>
                <w:b/>
                <w:bCs/>
                <w:noProof/>
                <w:sz w:val="20"/>
                <w:lang w:val="en-IE"/>
              </w:rPr>
              <w:t>0</w:t>
            </w:r>
            <w:r>
              <w:rPr>
                <w:b/>
                <w:bCs/>
                <w:noProof/>
                <w:sz w:val="20"/>
                <w:lang w:val="en-IE"/>
              </w:rPr>
              <w:t>.327</w:t>
            </w:r>
          </w:p>
        </w:tc>
        <w:tc>
          <w:tcPr>
            <w:tcW w:w="1087" w:type="dxa"/>
            <w:vAlign w:val="center"/>
          </w:tcPr>
          <w:p w14:paraId="5EB3619C" w14:textId="77777777" w:rsidR="00AF7A86" w:rsidRPr="00070628" w:rsidRDefault="00AF7A86">
            <w:pPr>
              <w:spacing w:before="60" w:after="60"/>
              <w:jc w:val="right"/>
              <w:rPr>
                <w:b/>
                <w:bCs/>
                <w:noProof/>
                <w:sz w:val="20"/>
              </w:rPr>
            </w:pPr>
            <w:r>
              <w:rPr>
                <w:b/>
                <w:bCs/>
                <w:noProof/>
                <w:sz w:val="20"/>
                <w:lang w:val="en-IE"/>
              </w:rPr>
              <w:t>0.327</w:t>
            </w:r>
          </w:p>
        </w:tc>
        <w:tc>
          <w:tcPr>
            <w:tcW w:w="1087" w:type="dxa"/>
            <w:vAlign w:val="center"/>
          </w:tcPr>
          <w:p w14:paraId="22B48A18" w14:textId="77777777" w:rsidR="00AF7A86" w:rsidRPr="00B7351D" w:rsidRDefault="00AF7A86">
            <w:pPr>
              <w:spacing w:before="60" w:after="60"/>
              <w:jc w:val="center"/>
              <w:rPr>
                <w:b/>
                <w:bCs/>
                <w:noProof/>
                <w:sz w:val="20"/>
                <w:lang w:val="en-IE"/>
              </w:rPr>
            </w:pPr>
            <w:r>
              <w:rPr>
                <w:b/>
                <w:bCs/>
                <w:noProof/>
                <w:sz w:val="20"/>
                <w:lang w:val="en-IE"/>
              </w:rPr>
              <w:t>3.320</w:t>
            </w:r>
          </w:p>
        </w:tc>
      </w:tr>
    </w:tbl>
    <w:p w14:paraId="5FB5AE9D" w14:textId="77777777" w:rsidR="00AF7A86" w:rsidRDefault="00AF7A86" w:rsidP="00AF7A86">
      <w:pPr>
        <w:pStyle w:val="ManualHeading2"/>
        <w:ind w:left="0" w:firstLine="0"/>
        <w:rPr>
          <w:bCs/>
          <w:noProof/>
          <w:szCs w:val="24"/>
        </w:rPr>
      </w:pPr>
      <w:r>
        <w:rPr>
          <w:noProof/>
        </w:rPr>
        <w:br w:type="page"/>
      </w:r>
      <w:bookmarkStart w:id="181" w:name="_Toc514938059"/>
      <w:bookmarkStart w:id="182" w:name="_Toc520485057"/>
      <w:bookmarkStart w:id="183" w:name="_Toc160804602"/>
      <w:bookmarkStart w:id="184" w:name="_Toc172893720"/>
      <w:r w:rsidRPr="0021790A">
        <w:rPr>
          <w:noProof/>
        </w:rPr>
        <w:t>3.3.</w:t>
      </w:r>
      <w:r w:rsidRPr="0021790A">
        <w:rPr>
          <w:noProof/>
        </w:rPr>
        <w:tab/>
      </w:r>
      <w:r>
        <w:rPr>
          <w:noProof/>
        </w:rPr>
        <w:t>Estimated impact on revenue</w:t>
      </w:r>
      <w:bookmarkEnd w:id="181"/>
      <w:bookmarkEnd w:id="182"/>
      <w:bookmarkEnd w:id="183"/>
      <w:bookmarkEnd w:id="184"/>
      <w:r>
        <w:rPr>
          <w:noProof/>
        </w:rPr>
        <w:t xml:space="preserve"> </w:t>
      </w:r>
    </w:p>
    <w:p w14:paraId="57F89B72" w14:textId="77777777" w:rsidR="00AF7A86" w:rsidRDefault="00AF7A86" w:rsidP="00AF7A86">
      <w:pPr>
        <w:pStyle w:val="ListDash1"/>
        <w:rPr>
          <w:noProof/>
        </w:rPr>
      </w:pPr>
      <w:r>
        <w:rPr>
          <w:noProof/>
        </w:rPr>
        <w:t>X The proposal/initiative has no financial impact on revenue.</w:t>
      </w:r>
    </w:p>
    <w:p w14:paraId="77705028" w14:textId="77777777" w:rsidR="00AF7A86" w:rsidRDefault="00AF7A86" w:rsidP="00AF7A86">
      <w:pPr>
        <w:pStyle w:val="ListDash1"/>
        <w:rPr>
          <w:noProof/>
        </w:rPr>
      </w:pPr>
      <w:r>
        <w:rPr>
          <w:rFonts w:ascii="Wingdings" w:eastAsia="Wingdings" w:hAnsi="Wingdings" w:cs="Wingdings"/>
          <w:noProof/>
        </w:rPr>
        <w:t></w:t>
      </w:r>
      <w:r>
        <w:rPr>
          <w:noProof/>
        </w:rPr>
        <w:tab/>
        <w:t>The proposal/initiative has the following financial impact:</w:t>
      </w:r>
    </w:p>
    <w:p w14:paraId="2AC01661" w14:textId="77777777" w:rsidR="00AF7A86" w:rsidRDefault="00AF7A86" w:rsidP="00AF7A86">
      <w:pPr>
        <w:pStyle w:val="ListNumberLevel3"/>
        <w:tabs>
          <w:tab w:val="clear" w:pos="2126"/>
          <w:tab w:val="num" w:pos="1843"/>
        </w:tabs>
        <w:rPr>
          <w:noProof/>
        </w:rPr>
      </w:pPr>
      <w:r>
        <w:rPr>
          <w:rFonts w:ascii="Wingdings" w:eastAsia="Wingdings" w:hAnsi="Wingdings" w:cs="Wingdings"/>
          <w:noProof/>
        </w:rPr>
        <w:t></w:t>
      </w:r>
      <w:r>
        <w:rPr>
          <w:noProof/>
        </w:rPr>
        <w:tab/>
        <w:t xml:space="preserve">on own resources </w:t>
      </w:r>
    </w:p>
    <w:p w14:paraId="262746DB" w14:textId="77777777" w:rsidR="00AF7A86" w:rsidRDefault="00AF7A86" w:rsidP="00AF7A86">
      <w:pPr>
        <w:pStyle w:val="ListNumberLevel3"/>
        <w:tabs>
          <w:tab w:val="clear" w:pos="2126"/>
          <w:tab w:val="num" w:pos="1843"/>
        </w:tabs>
        <w:rPr>
          <w:noProof/>
        </w:rPr>
      </w:pPr>
      <w:r>
        <w:rPr>
          <w:rFonts w:ascii="Wingdings" w:eastAsia="Wingdings" w:hAnsi="Wingdings" w:cs="Wingdings"/>
          <w:noProof/>
        </w:rPr>
        <w:t></w:t>
      </w:r>
      <w:r>
        <w:rPr>
          <w:noProof/>
        </w:rPr>
        <w:tab/>
        <w:t>on other revenue</w:t>
      </w:r>
    </w:p>
    <w:p w14:paraId="4BD5FB33" w14:textId="77777777" w:rsidR="00AF7A86" w:rsidRDefault="00AF7A86" w:rsidP="00AF7A86">
      <w:pPr>
        <w:pStyle w:val="ListNumberLevel3"/>
        <w:tabs>
          <w:tab w:val="clear" w:pos="2126"/>
          <w:tab w:val="num" w:pos="1843"/>
        </w:tabs>
        <w:rPr>
          <w:noProof/>
        </w:rPr>
      </w:pPr>
      <w:r w:rsidRPr="0047065F">
        <w:rPr>
          <w:rFonts w:ascii="Wingdings" w:eastAsia="Wingdings" w:hAnsi="Wingdings" w:cs="Wingdings"/>
          <w:noProof/>
        </w:rPr>
        <w:t></w:t>
      </w:r>
      <w:r>
        <w:rPr>
          <w:noProof/>
        </w:rPr>
        <w:tab/>
      </w:r>
      <w:r w:rsidRPr="009B753E">
        <w:rPr>
          <w:noProof/>
        </w:rPr>
        <w:t>please indicate, if the revenue is assigned to expenditure lines</w:t>
      </w:r>
    </w:p>
    <w:p w14:paraId="6B12C3D8" w14:textId="77777777" w:rsidR="00AF7A86" w:rsidRPr="0047065F" w:rsidRDefault="00AF7A86" w:rsidP="00AF7A86">
      <w:pPr>
        <w:ind w:left="4320"/>
        <w:jc w:val="right"/>
        <w:rPr>
          <w:i/>
          <w:noProof/>
          <w:sz w:val="20"/>
          <w:szCs w:val="20"/>
          <w:lang w:val="en-IE"/>
        </w:rPr>
      </w:pPr>
      <w:r w:rsidRPr="0047065F">
        <w:rPr>
          <w:noProof/>
          <w:sz w:val="20"/>
          <w:szCs w:val="20"/>
          <w:lang w:val="en-IE"/>
        </w:rPr>
        <w:t xml:space="preserve">     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1613"/>
        <w:gridCol w:w="1692"/>
        <w:gridCol w:w="1044"/>
        <w:gridCol w:w="1035"/>
        <w:gridCol w:w="1261"/>
      </w:tblGrid>
      <w:tr w:rsidR="00AF7A86" w:rsidRPr="003A769F" w14:paraId="5A1DE0EB" w14:textId="77777777">
        <w:trPr>
          <w:trHeight w:val="388"/>
        </w:trPr>
        <w:tc>
          <w:tcPr>
            <w:tcW w:w="1422" w:type="pct"/>
            <w:vMerge w:val="restart"/>
            <w:vAlign w:val="center"/>
          </w:tcPr>
          <w:p w14:paraId="49F01A06" w14:textId="77777777" w:rsidR="00AF7A86" w:rsidRDefault="00AF7A86">
            <w:pPr>
              <w:spacing w:before="40" w:after="40"/>
              <w:rPr>
                <w:noProof/>
                <w:sz w:val="18"/>
              </w:rPr>
            </w:pPr>
            <w:r>
              <w:rPr>
                <w:noProof/>
                <w:sz w:val="18"/>
              </w:rPr>
              <w:t>Budget revenue line:</w:t>
            </w:r>
          </w:p>
        </w:tc>
        <w:tc>
          <w:tcPr>
            <w:tcW w:w="868" w:type="pct"/>
            <w:vMerge w:val="restart"/>
            <w:vAlign w:val="center"/>
          </w:tcPr>
          <w:p w14:paraId="1B232908" w14:textId="77777777" w:rsidR="00AF7A86" w:rsidRPr="003A769F" w:rsidRDefault="00AF7A86">
            <w:pPr>
              <w:jc w:val="center"/>
              <w:rPr>
                <w:noProof/>
                <w:sz w:val="18"/>
                <w:lang w:val="en-IE"/>
              </w:rPr>
            </w:pPr>
            <w:r w:rsidRPr="003A769F">
              <w:rPr>
                <w:noProof/>
                <w:sz w:val="18"/>
                <w:lang w:val="en-IE"/>
              </w:rPr>
              <w:t>Appropriations available for the current financial year</w:t>
            </w:r>
          </w:p>
        </w:tc>
        <w:tc>
          <w:tcPr>
            <w:tcW w:w="2709" w:type="pct"/>
            <w:gridSpan w:val="4"/>
            <w:vAlign w:val="center"/>
          </w:tcPr>
          <w:p w14:paraId="2EE9CB02" w14:textId="77777777" w:rsidR="00AF7A86" w:rsidRPr="003A769F" w:rsidRDefault="00AF7A86">
            <w:pPr>
              <w:jc w:val="center"/>
              <w:rPr>
                <w:noProof/>
                <w:sz w:val="18"/>
                <w:lang w:val="en-IE"/>
              </w:rPr>
            </w:pPr>
            <w:r w:rsidRPr="003A769F">
              <w:rPr>
                <w:noProof/>
                <w:sz w:val="18"/>
                <w:lang w:val="en-IE"/>
              </w:rPr>
              <w:t>Impact of the proposal/initiative</w:t>
            </w:r>
            <w:r>
              <w:rPr>
                <w:rStyle w:val="FootnoteReference"/>
                <w:noProof/>
                <w:sz w:val="18"/>
              </w:rPr>
              <w:footnoteReference w:id="86"/>
            </w:r>
          </w:p>
        </w:tc>
      </w:tr>
      <w:tr w:rsidR="00AF7A86" w:rsidRPr="003A769F" w14:paraId="4BEFE011" w14:textId="77777777">
        <w:trPr>
          <w:trHeight w:val="388"/>
        </w:trPr>
        <w:tc>
          <w:tcPr>
            <w:tcW w:w="1422" w:type="pct"/>
            <w:vMerge/>
          </w:tcPr>
          <w:p w14:paraId="474A855E" w14:textId="77777777" w:rsidR="00AF7A86" w:rsidRPr="003A769F" w:rsidRDefault="00AF7A86">
            <w:pPr>
              <w:spacing w:before="40" w:after="40"/>
              <w:rPr>
                <w:noProof/>
                <w:sz w:val="18"/>
                <w:lang w:val="en-IE"/>
              </w:rPr>
            </w:pPr>
          </w:p>
        </w:tc>
        <w:tc>
          <w:tcPr>
            <w:tcW w:w="868" w:type="pct"/>
            <w:vMerge/>
          </w:tcPr>
          <w:p w14:paraId="10EB3381" w14:textId="77777777" w:rsidR="00AF7A86" w:rsidRPr="003A769F" w:rsidRDefault="00AF7A86">
            <w:pPr>
              <w:spacing w:beforeLines="40" w:before="96" w:afterLines="40" w:after="96"/>
              <w:rPr>
                <w:i/>
                <w:noProof/>
                <w:sz w:val="18"/>
                <w:lang w:val="en-IE"/>
              </w:rPr>
            </w:pPr>
          </w:p>
        </w:tc>
        <w:tc>
          <w:tcPr>
            <w:tcW w:w="911" w:type="pct"/>
            <w:vAlign w:val="center"/>
          </w:tcPr>
          <w:p w14:paraId="2A2392DD" w14:textId="77777777" w:rsidR="00AF7A86" w:rsidRDefault="00AF7A86">
            <w:pPr>
              <w:jc w:val="center"/>
              <w:rPr>
                <w:noProof/>
                <w:sz w:val="18"/>
              </w:rPr>
            </w:pPr>
            <w:r>
              <w:rPr>
                <w:noProof/>
                <w:sz w:val="18"/>
              </w:rPr>
              <w:t xml:space="preserve">Year </w:t>
            </w:r>
            <w:r>
              <w:rPr>
                <w:b/>
                <w:noProof/>
                <w:sz w:val="18"/>
              </w:rPr>
              <w:t>2024</w:t>
            </w:r>
          </w:p>
        </w:tc>
        <w:tc>
          <w:tcPr>
            <w:tcW w:w="562" w:type="pct"/>
            <w:vAlign w:val="center"/>
          </w:tcPr>
          <w:p w14:paraId="31C5E833" w14:textId="77777777" w:rsidR="00AF7A86" w:rsidRDefault="00AF7A86">
            <w:pPr>
              <w:jc w:val="center"/>
              <w:rPr>
                <w:noProof/>
                <w:sz w:val="18"/>
              </w:rPr>
            </w:pPr>
            <w:r>
              <w:rPr>
                <w:noProof/>
                <w:sz w:val="18"/>
              </w:rPr>
              <w:t xml:space="preserve">Year </w:t>
            </w:r>
            <w:r>
              <w:rPr>
                <w:b/>
                <w:noProof/>
                <w:sz w:val="18"/>
              </w:rPr>
              <w:t>2025</w:t>
            </w:r>
          </w:p>
        </w:tc>
        <w:tc>
          <w:tcPr>
            <w:tcW w:w="557" w:type="pct"/>
            <w:vAlign w:val="center"/>
          </w:tcPr>
          <w:p w14:paraId="1069C40C" w14:textId="77777777" w:rsidR="00AF7A86" w:rsidRDefault="00AF7A86">
            <w:pPr>
              <w:jc w:val="center"/>
              <w:rPr>
                <w:noProof/>
                <w:sz w:val="18"/>
              </w:rPr>
            </w:pPr>
            <w:r>
              <w:rPr>
                <w:noProof/>
                <w:sz w:val="18"/>
              </w:rPr>
              <w:t xml:space="preserve">Year </w:t>
            </w:r>
            <w:r>
              <w:rPr>
                <w:b/>
                <w:noProof/>
                <w:sz w:val="18"/>
              </w:rPr>
              <w:t>2026</w:t>
            </w:r>
          </w:p>
        </w:tc>
        <w:tc>
          <w:tcPr>
            <w:tcW w:w="677" w:type="pct"/>
            <w:vAlign w:val="center"/>
          </w:tcPr>
          <w:p w14:paraId="4492B9D4" w14:textId="77777777" w:rsidR="00AF7A86" w:rsidRDefault="00AF7A86">
            <w:pPr>
              <w:jc w:val="center"/>
              <w:rPr>
                <w:noProof/>
                <w:sz w:val="18"/>
              </w:rPr>
            </w:pPr>
            <w:r>
              <w:rPr>
                <w:noProof/>
                <w:sz w:val="18"/>
              </w:rPr>
              <w:t xml:space="preserve">Year </w:t>
            </w:r>
            <w:r>
              <w:rPr>
                <w:b/>
                <w:noProof/>
                <w:sz w:val="18"/>
              </w:rPr>
              <w:t>2027</w:t>
            </w:r>
          </w:p>
        </w:tc>
      </w:tr>
      <w:tr w:rsidR="00AF7A86" w14:paraId="62783DD6" w14:textId="77777777">
        <w:trPr>
          <w:trHeight w:val="388"/>
        </w:trPr>
        <w:tc>
          <w:tcPr>
            <w:tcW w:w="1422" w:type="pct"/>
            <w:vAlign w:val="center"/>
          </w:tcPr>
          <w:p w14:paraId="4C73D526" w14:textId="77777777" w:rsidR="00AF7A86" w:rsidRDefault="00AF7A86">
            <w:pPr>
              <w:spacing w:before="40" w:after="40"/>
              <w:rPr>
                <w:noProof/>
                <w:sz w:val="18"/>
              </w:rPr>
            </w:pPr>
            <w:r>
              <w:rPr>
                <w:noProof/>
                <w:sz w:val="18"/>
              </w:rPr>
              <w:t>Article ………….</w:t>
            </w:r>
          </w:p>
        </w:tc>
        <w:tc>
          <w:tcPr>
            <w:tcW w:w="868" w:type="pct"/>
          </w:tcPr>
          <w:p w14:paraId="12C4FF01" w14:textId="77777777" w:rsidR="00AF7A86" w:rsidRDefault="00AF7A86">
            <w:pPr>
              <w:spacing w:beforeLines="40" w:before="96" w:afterLines="40" w:after="96"/>
              <w:jc w:val="center"/>
              <w:rPr>
                <w:i/>
                <w:noProof/>
                <w:sz w:val="18"/>
              </w:rPr>
            </w:pPr>
          </w:p>
        </w:tc>
        <w:tc>
          <w:tcPr>
            <w:tcW w:w="911" w:type="pct"/>
          </w:tcPr>
          <w:p w14:paraId="2A7787EE" w14:textId="77777777" w:rsidR="00AF7A86" w:rsidRDefault="00AF7A86">
            <w:pPr>
              <w:spacing w:beforeLines="40" w:before="96" w:afterLines="40" w:after="96"/>
              <w:jc w:val="center"/>
              <w:rPr>
                <w:noProof/>
                <w:sz w:val="18"/>
              </w:rPr>
            </w:pPr>
          </w:p>
        </w:tc>
        <w:tc>
          <w:tcPr>
            <w:tcW w:w="562" w:type="pct"/>
          </w:tcPr>
          <w:p w14:paraId="46A682A3" w14:textId="77777777" w:rsidR="00AF7A86" w:rsidRDefault="00AF7A86">
            <w:pPr>
              <w:spacing w:beforeLines="40" w:before="96" w:afterLines="40" w:after="96"/>
              <w:jc w:val="center"/>
              <w:rPr>
                <w:noProof/>
                <w:sz w:val="18"/>
              </w:rPr>
            </w:pPr>
          </w:p>
        </w:tc>
        <w:tc>
          <w:tcPr>
            <w:tcW w:w="557" w:type="pct"/>
          </w:tcPr>
          <w:p w14:paraId="7CEE847F" w14:textId="77777777" w:rsidR="00AF7A86" w:rsidRDefault="00AF7A86">
            <w:pPr>
              <w:spacing w:beforeLines="40" w:before="96" w:afterLines="40" w:after="96"/>
              <w:jc w:val="center"/>
              <w:rPr>
                <w:noProof/>
                <w:sz w:val="18"/>
              </w:rPr>
            </w:pPr>
          </w:p>
        </w:tc>
        <w:tc>
          <w:tcPr>
            <w:tcW w:w="677" w:type="pct"/>
          </w:tcPr>
          <w:p w14:paraId="655E01CF" w14:textId="77777777" w:rsidR="00AF7A86" w:rsidRDefault="00AF7A86">
            <w:pPr>
              <w:spacing w:beforeLines="40" w:before="96" w:afterLines="40" w:after="96"/>
              <w:jc w:val="center"/>
              <w:rPr>
                <w:noProof/>
                <w:sz w:val="18"/>
              </w:rPr>
            </w:pPr>
          </w:p>
        </w:tc>
      </w:tr>
    </w:tbl>
    <w:p w14:paraId="39E91A34" w14:textId="77777777" w:rsidR="00AF7A86" w:rsidRPr="0047065F" w:rsidRDefault="00AF7A86" w:rsidP="00AF7A86">
      <w:pPr>
        <w:pStyle w:val="Text1"/>
        <w:rPr>
          <w:noProof/>
          <w:szCs w:val="24"/>
        </w:rPr>
      </w:pPr>
      <w:r w:rsidRPr="0047065F">
        <w:rPr>
          <w:noProof/>
          <w:szCs w:val="24"/>
        </w:rPr>
        <w:t>For assigned revenue, specify the budget expenditure line(s) affected.</w:t>
      </w:r>
    </w:p>
    <w:p w14:paraId="3E9F001A" w14:textId="77777777" w:rsidR="00AF7A86" w:rsidRPr="003B0DD1" w:rsidRDefault="00AF7A86" w:rsidP="00AF7A86">
      <w:pPr>
        <w:pStyle w:val="Text1"/>
        <w:pBdr>
          <w:top w:val="single" w:sz="4" w:space="1" w:color="auto"/>
          <w:left w:val="single" w:sz="4" w:space="4" w:color="auto"/>
          <w:bottom w:val="single" w:sz="4" w:space="1" w:color="auto"/>
          <w:right w:val="single" w:sz="4" w:space="4" w:color="auto"/>
        </w:pBdr>
        <w:rPr>
          <w:noProof/>
          <w:color w:val="000000" w:themeColor="text1"/>
        </w:rPr>
      </w:pPr>
      <w:r w:rsidRPr="0095738B">
        <w:rPr>
          <w:noProof/>
        </w:rPr>
        <w:t>n.a</w:t>
      </w:r>
    </w:p>
    <w:p w14:paraId="74D3BCA9" w14:textId="77777777" w:rsidR="00AF7A86" w:rsidRPr="0047065F" w:rsidRDefault="00AF7A86" w:rsidP="00AF7A86">
      <w:pPr>
        <w:pStyle w:val="Text1"/>
        <w:rPr>
          <w:noProof/>
          <w:szCs w:val="24"/>
        </w:rPr>
      </w:pPr>
      <w:r w:rsidRPr="0047065F">
        <w:rPr>
          <w:noProof/>
          <w:szCs w:val="24"/>
        </w:rPr>
        <w:t>Other remarks (e.g. method/formula used for calculating the impact on revenue or any other information).</w:t>
      </w:r>
    </w:p>
    <w:p w14:paraId="79F989B7" w14:textId="77777777" w:rsidR="00AF7A86" w:rsidRPr="00657433" w:rsidRDefault="00AF7A86" w:rsidP="00AF7A86">
      <w:pPr>
        <w:pStyle w:val="ManualHeading1"/>
        <w:spacing w:line="259" w:lineRule="auto"/>
        <w:rPr>
          <w:noProof/>
        </w:rPr>
      </w:pPr>
      <w:r>
        <w:rPr>
          <w:noProof/>
        </w:rPr>
        <w:t xml:space="preserve"> </w:t>
      </w:r>
      <w:bookmarkStart w:id="185" w:name="_Toc172893721"/>
      <w:r>
        <w:rPr>
          <w:noProof/>
        </w:rPr>
        <w:t>4.</w:t>
      </w:r>
      <w:r>
        <w:rPr>
          <w:noProof/>
        </w:rPr>
        <w:tab/>
        <w:t>Digital dimensions</w:t>
      </w:r>
      <w:bookmarkEnd w:id="185"/>
    </w:p>
    <w:p w14:paraId="75252817" w14:textId="77777777" w:rsidR="00AF7A86" w:rsidRPr="008774EA" w:rsidRDefault="00AF7A86" w:rsidP="00AF7A86">
      <w:pPr>
        <w:pStyle w:val="ManualHeading2"/>
        <w:rPr>
          <w:noProof/>
        </w:rPr>
      </w:pPr>
      <w:bookmarkStart w:id="186" w:name="_Toc167220302"/>
      <w:bookmarkStart w:id="187" w:name="_Toc167265072"/>
      <w:bookmarkStart w:id="188" w:name="_Toc172893722"/>
      <w:r>
        <w:rPr>
          <w:noProof/>
        </w:rPr>
        <w:t>4.1.</w:t>
      </w:r>
      <w:r>
        <w:rPr>
          <w:noProof/>
        </w:rPr>
        <w:tab/>
        <w:t>Requirements of digital relevance</w:t>
      </w:r>
      <w:bookmarkEnd w:id="186"/>
      <w:bookmarkEnd w:id="187"/>
      <w:bookmarkEnd w:id="188"/>
    </w:p>
    <w:tbl>
      <w:tblPr>
        <w:tblStyle w:val="TableGrid"/>
        <w:tblW w:w="9072" w:type="dxa"/>
        <w:tblInd w:w="-5" w:type="dxa"/>
        <w:tblLayout w:type="fixed"/>
        <w:tblLook w:val="06A0" w:firstRow="1" w:lastRow="0" w:firstColumn="1" w:lastColumn="0" w:noHBand="1" w:noVBand="1"/>
      </w:tblPr>
      <w:tblGrid>
        <w:gridCol w:w="9072"/>
      </w:tblGrid>
      <w:tr w:rsidR="00AF7A86" w14:paraId="0A76CEAB" w14:textId="77777777" w:rsidTr="00E04EF1">
        <w:trPr>
          <w:trHeight w:val="300"/>
        </w:trPr>
        <w:tc>
          <w:tcPr>
            <w:tcW w:w="9072" w:type="dxa"/>
          </w:tcPr>
          <w:p w14:paraId="2D7FE8E0" w14:textId="77777777" w:rsidR="00AF7A86" w:rsidRPr="000F5C98" w:rsidRDefault="00AF7A86">
            <w:pPr>
              <w:rPr>
                <w:rStyle w:val="Marker110000"/>
                <w:noProof/>
                <w:color w:val="000000" w:themeColor="text1"/>
              </w:rPr>
            </w:pPr>
            <w:r w:rsidRPr="000F5C98">
              <w:rPr>
                <w:rStyle w:val="Marker110000"/>
                <w:noProof/>
                <w:color w:val="000000" w:themeColor="text1"/>
              </w:rPr>
              <w:t>Requirements of digital relevance in the proposal:</w:t>
            </w:r>
          </w:p>
          <w:p w14:paraId="1F15B038" w14:textId="77777777" w:rsidR="00AF7A86" w:rsidRPr="0095738B" w:rsidRDefault="00AF7A86">
            <w:pPr>
              <w:rPr>
                <w:noProof/>
              </w:rPr>
            </w:pPr>
            <w:r w:rsidRPr="0095738B">
              <w:rPr>
                <w:noProof/>
              </w:rPr>
              <w:t>Requirement 1 (R1) relates to scenario development processes and infrastructure needs identification, which should consider the potential use of digital and smart solutions next to physical grid development already in the modelling part of the network development planning. As a related requirement, transmission system operators in electricity are required to consider with priority non-wire and digital solutions when proposing new infrastructure projects, with such requirements applicable on a European level (as part of the EU-wide ten-years network development plan) as well as on a national level (national network development plans on a transmission level). This will help ensuring  maximum efficiency in grid development and also incentivise use of digital solutions in practice.</w:t>
            </w:r>
          </w:p>
          <w:p w14:paraId="1E161BD4" w14:textId="77777777" w:rsidR="00AF7A86" w:rsidRPr="0095738B" w:rsidRDefault="00AF7A86">
            <w:pPr>
              <w:rPr>
                <w:noProof/>
              </w:rPr>
            </w:pPr>
            <w:r w:rsidRPr="0095738B">
              <w:rPr>
                <w:noProof/>
              </w:rPr>
              <w:t>This requirement applies for EU institutions responsible for the modelling process, Member States, bodies representing transmission system operators on a European level (ENTSO for Electricity, ENTSO for Gas and ENNOH) as well as to transmission system operators on a national level.</w:t>
            </w:r>
          </w:p>
          <w:p w14:paraId="5136526E" w14:textId="77777777" w:rsidR="00AF7A86" w:rsidRPr="0095738B" w:rsidRDefault="00AF7A86">
            <w:pPr>
              <w:rPr>
                <w:noProof/>
              </w:rPr>
            </w:pPr>
            <w:r w:rsidRPr="0095738B">
              <w:rPr>
                <w:noProof/>
              </w:rPr>
              <w:t>Requirement 2 (R2) relates to introduction of a new non-wire and digital transmission category for Projects of Common Interest. Such category aims to provide better incentives for use of grid enhancing and digital technologies by transmission system operators, to increase efficiency of grid utilisation and increase cross-border transmission capacity. When applying for the new category, transmission system operators are required to submit data related to technical characteristics of proposed digitalisation systems as well as expected impacts on the transmission system operation. ENTSO for Electricity, as a body proposed for calculating the costs and benefits of new projects, would be responsible for processing related data.</w:t>
            </w:r>
          </w:p>
          <w:p w14:paraId="2C052B91" w14:textId="77777777" w:rsidR="00AF7A86" w:rsidRPr="0095738B" w:rsidRDefault="00AF7A86">
            <w:pPr>
              <w:rPr>
                <w:noProof/>
              </w:rPr>
            </w:pPr>
            <w:r w:rsidRPr="00630AB7">
              <w:rPr>
                <w:noProof/>
              </w:rPr>
              <w:t>Requirement 3 (R3) relates to the permitting application procedure for projects on the Union list of projects of common interest and of projects of mutual interest. Member States’ national competent authority must be able to receive permitting applications and all relevant documents in digital format (Article 8). Under the proposal, Member States are required to ensure a digital platform is available at national level to manage steps of the permit of the permit-granting procedure</w:t>
            </w:r>
            <w:r w:rsidRPr="06D43C8E">
              <w:rPr>
                <w:noProof/>
                <w:color w:val="000000" w:themeColor="text1"/>
              </w:rPr>
              <w:t xml:space="preserve"> (including permitting applications, permitting processes, ongoing permitting decisions) and </w:t>
            </w:r>
            <w:r w:rsidRPr="09B4EB2F">
              <w:rPr>
                <w:noProof/>
                <w:color w:val="000000" w:themeColor="text1"/>
              </w:rPr>
              <w:t>make available</w:t>
            </w:r>
            <w:r w:rsidRPr="06D43C8E">
              <w:rPr>
                <w:noProof/>
                <w:color w:val="000000" w:themeColor="text1"/>
              </w:rPr>
              <w:t xml:space="preserve"> decisions issued in an easily accessible format </w:t>
            </w:r>
            <w:r w:rsidRPr="0095738B">
              <w:rPr>
                <w:noProof/>
              </w:rPr>
              <w:t xml:space="preserve">(Article 10 (4)).  This should contribute to more uniform digitalisation and transparency across different permitting authorities in Member States and ultimately speed up permitting. </w:t>
            </w:r>
          </w:p>
          <w:p w14:paraId="5D6518D7" w14:textId="77777777" w:rsidR="00AF7A86" w:rsidRPr="00650E9D" w:rsidRDefault="00AF7A86">
            <w:pPr>
              <w:rPr>
                <w:noProof/>
                <w:color w:val="008000"/>
              </w:rPr>
            </w:pPr>
            <w:r w:rsidRPr="00EA1F82">
              <w:rPr>
                <w:noProof/>
              </w:rPr>
              <w:t>This will be on top of the obligation on MS that all decisions are to be issued in an easily accessible format.</w:t>
            </w:r>
          </w:p>
        </w:tc>
      </w:tr>
    </w:tbl>
    <w:p w14:paraId="0AE33271" w14:textId="77777777" w:rsidR="00AF7A86" w:rsidRDefault="00AF7A86" w:rsidP="00AF7A86">
      <w:pPr>
        <w:pStyle w:val="Text1"/>
        <w:ind w:left="0"/>
        <w:rPr>
          <w:noProof/>
        </w:rPr>
      </w:pPr>
    </w:p>
    <w:p w14:paraId="4912D4FE" w14:textId="77777777" w:rsidR="00AF7A86" w:rsidRPr="00902D52" w:rsidRDefault="00AF7A86" w:rsidP="00AF7A86">
      <w:pPr>
        <w:pStyle w:val="ManualHeading2"/>
        <w:rPr>
          <w:noProof/>
        </w:rPr>
      </w:pPr>
      <w:bookmarkStart w:id="189" w:name="_Toc167220303"/>
      <w:bookmarkStart w:id="190" w:name="_Toc167265073"/>
      <w:bookmarkStart w:id="191" w:name="_Toc172893723"/>
      <w:r>
        <w:rPr>
          <w:noProof/>
        </w:rPr>
        <w:t>4.2.</w:t>
      </w:r>
      <w:r>
        <w:rPr>
          <w:noProof/>
        </w:rPr>
        <w:tab/>
        <w:t>Data</w:t>
      </w:r>
      <w:bookmarkEnd w:id="189"/>
      <w:bookmarkEnd w:id="190"/>
      <w:bookmarkEnd w:id="191"/>
    </w:p>
    <w:tbl>
      <w:tblPr>
        <w:tblStyle w:val="TableGrid"/>
        <w:tblW w:w="0" w:type="auto"/>
        <w:tblLook w:val="04A0" w:firstRow="1" w:lastRow="0" w:firstColumn="1" w:lastColumn="0" w:noHBand="0" w:noVBand="1"/>
      </w:tblPr>
      <w:tblGrid>
        <w:gridCol w:w="9063"/>
      </w:tblGrid>
      <w:tr w:rsidR="00AF7A86" w14:paraId="425C6A6D" w14:textId="77777777">
        <w:tc>
          <w:tcPr>
            <w:tcW w:w="9063" w:type="dxa"/>
          </w:tcPr>
          <w:p w14:paraId="7281FA19" w14:textId="77777777" w:rsidR="00AF7A86" w:rsidRPr="0095738B" w:rsidRDefault="00AF7A86">
            <w:pPr>
              <w:rPr>
                <w:noProof/>
              </w:rPr>
            </w:pPr>
            <w:r w:rsidRPr="0095738B">
              <w:rPr>
                <w:noProof/>
              </w:rPr>
              <w:t>For Requirement 1: The requirement relates to existing data collection for purposes of grid modelling and scenario development and may lead to new data being collected on future use of digital technologies and their potential. While assumptions on potential of such technologies exist in literature, Member States’ data are currently not publicly available and are not collected for the same purpose (once-only principle has been duly followed). Transmission system operators will start assessing flexibility needs assessment pursuant to Regulation (EU) 2019/943 as of 2026 and some of the data being used can also be used for purposes of grid planning. However, the span of the former is only 10 years, while Union-wide grid planning covers upcoming 10-20 years. In this regard, data collection seems inevitable to ensure full coverage. Secondary legislation on concrete format of data will ensure existing collections for the purposes of Flexibility Needs Assessments are taken into account to avoid any duplication in requirements. Regarding the data flow, data are provided by transmission system operators, regulatory authorities and Member States to the Commission based on rule to be adopted via secondary legal acts. Additional data for grid modelling, if necessary, are to be provided by transmission system operators directly to the ENTSO for electricity.</w:t>
            </w:r>
          </w:p>
          <w:p w14:paraId="7F648B83" w14:textId="77777777" w:rsidR="00AF7A86" w:rsidRPr="0095738B" w:rsidRDefault="00AF7A86">
            <w:pPr>
              <w:rPr>
                <w:noProof/>
              </w:rPr>
            </w:pPr>
            <w:r w:rsidRPr="0095738B">
              <w:rPr>
                <w:noProof/>
              </w:rPr>
              <w:t>For Requirement 2: Data related to submission of application for the Project of Common Interest are unique for each project and hence must be collected at time of submission of the application (once-only principle hence fully complied to). Such data relate to scope of the project, financial estimates, technologies used, location, impact on environment and power grid, etc. Data will be submitted by project promoters (mostly transmission system operators) to the ENTSO for Electricity and the European Commission for the purpose of assessing costs and benefits under the evaluation processes for Projects of Common Interest.</w:t>
            </w:r>
          </w:p>
          <w:p w14:paraId="4F49194C" w14:textId="77777777" w:rsidR="00AF7A86" w:rsidRPr="00650E9D" w:rsidRDefault="00AF7A86">
            <w:pPr>
              <w:rPr>
                <w:noProof/>
                <w:color w:val="008000"/>
              </w:rPr>
            </w:pPr>
            <w:r w:rsidRPr="0095738B">
              <w:rPr>
                <w:noProof/>
              </w:rPr>
              <w:t xml:space="preserve">For Requirement 3: The digital platforms which Member States would be required to set up would store all data necessary for a complete permit or permits for projects of common interest and projects of mutual interest. These are personal data with connection to the applicant whether a natural or legal person, the characteristics of the project and all necessary supporting documents. </w:t>
            </w:r>
          </w:p>
        </w:tc>
      </w:tr>
    </w:tbl>
    <w:p w14:paraId="6E6BAE10" w14:textId="77777777" w:rsidR="00AF7A86" w:rsidRPr="009347D1" w:rsidRDefault="00AF7A86" w:rsidP="00AF7A86">
      <w:pPr>
        <w:pStyle w:val="ManualHeading2"/>
        <w:rPr>
          <w:noProof/>
        </w:rPr>
      </w:pPr>
      <w:bookmarkStart w:id="192" w:name="_Toc167220305"/>
      <w:bookmarkStart w:id="193" w:name="_Toc167265074"/>
      <w:bookmarkStart w:id="194" w:name="_Toc172893724"/>
      <w:r>
        <w:rPr>
          <w:noProof/>
        </w:rPr>
        <w:t>4.3.</w:t>
      </w:r>
      <w:r>
        <w:rPr>
          <w:noProof/>
        </w:rPr>
        <w:tab/>
        <w:t>Digital solutions</w:t>
      </w:r>
      <w:bookmarkEnd w:id="192"/>
      <w:bookmarkEnd w:id="193"/>
      <w:bookmarkEnd w:id="194"/>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F7A86" w14:paraId="44A4C96C" w14:textId="77777777">
        <w:tc>
          <w:tcPr>
            <w:tcW w:w="9067" w:type="dxa"/>
          </w:tcPr>
          <w:p w14:paraId="34018D2E" w14:textId="77777777" w:rsidR="00AF7A86" w:rsidRPr="0095738B" w:rsidRDefault="00AF7A86">
            <w:pPr>
              <w:rPr>
                <w:noProof/>
              </w:rPr>
            </w:pPr>
            <w:r w:rsidRPr="0095738B">
              <w:rPr>
                <w:noProof/>
              </w:rPr>
              <w:t xml:space="preserve">For Requirement 1: Platform related to requirement 1 relates to grid modelling and scenario modelling for future infrastructure development. ENTSO for Electricity already uses such platform, hence new requirement relates to upgrade of the platform to process more data. Regarding European Commission role in the scenario modelling process, data will be used in existing models, hence no new requirements to establish a separate platform are stipulated by changes. </w:t>
            </w:r>
          </w:p>
          <w:p w14:paraId="3A91F0CF" w14:textId="77777777" w:rsidR="00AF7A86" w:rsidRPr="0095738B" w:rsidRDefault="00AF7A86">
            <w:pPr>
              <w:spacing w:line="259" w:lineRule="auto"/>
              <w:rPr>
                <w:noProof/>
              </w:rPr>
            </w:pPr>
            <w:r w:rsidRPr="0095738B">
              <w:rPr>
                <w:noProof/>
              </w:rPr>
              <w:t>For Requirement 2: This requirement should not lead to establishment of new platforms of systems for processing the data, as the PCI selection process is well established and the aim is to broaden the scope of categories (while keeping the principles for the assessment, using existing systems for processing applications and calculating costs and benefits).</w:t>
            </w:r>
          </w:p>
          <w:p w14:paraId="0BCFF98A" w14:textId="77777777" w:rsidR="00AF7A86" w:rsidRPr="001B7467" w:rsidRDefault="00AF7A86">
            <w:pPr>
              <w:rPr>
                <w:noProof/>
              </w:rPr>
            </w:pPr>
            <w:r w:rsidRPr="0095738B">
              <w:rPr>
                <w:noProof/>
              </w:rPr>
              <w:t xml:space="preserve">For Requirement 3: </w:t>
            </w:r>
            <w:r w:rsidRPr="00EA1F82">
              <w:rPr>
                <w:noProof/>
              </w:rPr>
              <w:t xml:space="preserve">The digitalisation </w:t>
            </w:r>
            <w:r w:rsidRPr="00FD2070">
              <w:rPr>
                <w:noProof/>
              </w:rPr>
              <w:t>and centralisation of permitting procedures will be facilitated by the digital platforms which</w:t>
            </w:r>
            <w:r w:rsidRPr="00EA1F82">
              <w:rPr>
                <w:noProof/>
              </w:rPr>
              <w:t xml:space="preserve"> Member States would be required to set up.</w:t>
            </w:r>
            <w:r>
              <w:rPr>
                <w:noProof/>
              </w:rPr>
              <w:t xml:space="preserve"> </w:t>
            </w:r>
            <w:r w:rsidRPr="00EA1F82">
              <w:rPr>
                <w:noProof/>
              </w:rPr>
              <w:t>By centralising this data</w:t>
            </w:r>
            <w:r>
              <w:rPr>
                <w:noProof/>
              </w:rPr>
              <w:t>,</w:t>
            </w:r>
            <w:r w:rsidRPr="00EA1F82">
              <w:rPr>
                <w:noProof/>
              </w:rPr>
              <w:t xml:space="preserve"> we expect to simplify procedures and prevent the duplication of the same data in different platforms. In the recitals, the Commission urges that the portal should present features, </w:t>
            </w:r>
            <w:r w:rsidRPr="00FD2070">
              <w:rPr>
                <w:noProof/>
              </w:rPr>
              <w:t>including by means of artificial intelligence,</w:t>
            </w:r>
            <w:r w:rsidRPr="00EA1F82">
              <w:rPr>
                <w:noProof/>
              </w:rPr>
              <w:t xml:space="preserve"> allowing the single contact point, other authorities and applicants to check the status of the application and where delays are, as well as check compliance with the permitting deadlines. In addition, it should allow for the extraction of statistics to check the overall progress of permitting-granting procedures in Member States. The portal should facilitate the duties of the single contact point who should have access to all relevant data and information.</w:t>
            </w:r>
          </w:p>
        </w:tc>
      </w:tr>
    </w:tbl>
    <w:p w14:paraId="00D0071C" w14:textId="77777777" w:rsidR="00AF7A86" w:rsidRDefault="00AF7A86" w:rsidP="00AF7A86">
      <w:pPr>
        <w:rPr>
          <w:noProof/>
        </w:rPr>
      </w:pPr>
    </w:p>
    <w:p w14:paraId="47AD6C9A" w14:textId="77777777" w:rsidR="00AF7A86" w:rsidRPr="00B27729" w:rsidRDefault="00AF7A86" w:rsidP="00AF7A86">
      <w:pPr>
        <w:pStyle w:val="ManualHeading2"/>
        <w:rPr>
          <w:rStyle w:val="Emphasis"/>
          <w:b w:val="0"/>
          <w:bCs/>
          <w:i w:val="0"/>
          <w:iCs w:val="0"/>
          <w:noProof/>
        </w:rPr>
      </w:pPr>
      <w:bookmarkStart w:id="195" w:name="_Toc167220304"/>
      <w:bookmarkStart w:id="196" w:name="_Toc167265075"/>
      <w:bookmarkStart w:id="197" w:name="_Toc172893725"/>
      <w:r>
        <w:rPr>
          <w:rStyle w:val="Emphasis"/>
          <w:bCs/>
          <w:noProof/>
        </w:rPr>
        <w:t>4.4.</w:t>
      </w:r>
      <w:r>
        <w:rPr>
          <w:noProof/>
        </w:rPr>
        <w:tab/>
      </w:r>
      <w:r w:rsidRPr="00B27729">
        <w:rPr>
          <w:rStyle w:val="Emphasis"/>
          <w:bCs/>
          <w:noProof/>
        </w:rPr>
        <w:t>Interoperability assessment</w:t>
      </w:r>
      <w:bookmarkEnd w:id="195"/>
      <w:bookmarkEnd w:id="196"/>
      <w:bookmarkEnd w:id="197"/>
      <w:r>
        <w:rPr>
          <w:rStyle w:val="Emphasis"/>
          <w:bCs/>
          <w:noProof/>
        </w:rPr>
        <w:t xml:space="preserve"> </w:t>
      </w:r>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F7A86" w14:paraId="6727EB91" w14:textId="77777777">
        <w:trPr>
          <w:trHeight w:val="300"/>
        </w:trPr>
        <w:tc>
          <w:tcPr>
            <w:tcW w:w="9067" w:type="dxa"/>
          </w:tcPr>
          <w:p w14:paraId="632C28F6" w14:textId="77777777" w:rsidR="00AF7A86" w:rsidRPr="0095738B" w:rsidRDefault="00AF7A86">
            <w:pPr>
              <w:rPr>
                <w:noProof/>
              </w:rPr>
            </w:pPr>
            <w:r w:rsidRPr="00630AB7">
              <w:rPr>
                <w:noProof/>
              </w:rPr>
              <w:t>Requirements 1 and 2</w:t>
            </w:r>
            <w:r w:rsidRPr="003316A0">
              <w:rPr>
                <w:noProof/>
                <w:color w:val="000000" w:themeColor="text1"/>
              </w:rPr>
              <w:t xml:space="preserve"> </w:t>
            </w:r>
            <w:r>
              <w:rPr>
                <w:noProof/>
                <w:color w:val="000000" w:themeColor="text1"/>
              </w:rPr>
              <w:t xml:space="preserve">do not require interaction across Member State borders as the aim is to feed data for evaluations </w:t>
            </w:r>
            <w:r w:rsidRPr="5EF33CE7">
              <w:rPr>
                <w:noProof/>
                <w:color w:val="000000" w:themeColor="text1"/>
              </w:rPr>
              <w:t xml:space="preserve">at </w:t>
            </w:r>
            <w:r w:rsidRPr="5F20DEBE">
              <w:rPr>
                <w:noProof/>
                <w:color w:val="000000" w:themeColor="text1"/>
              </w:rPr>
              <w:t>the EU</w:t>
            </w:r>
            <w:r>
              <w:rPr>
                <w:noProof/>
                <w:color w:val="000000" w:themeColor="text1"/>
              </w:rPr>
              <w:t xml:space="preserve"> level, in a centralized way. They are also not related to cross-border interoperability as the data exchanged are on future estimates of project development, not on existing data flows related to operation of the system (which are already exchanged via other TSO cooperation platforms).</w:t>
            </w:r>
            <w:r w:rsidRPr="42D26784">
              <w:rPr>
                <w:rStyle w:val="Marker110000"/>
                <w:noProof/>
                <w:color w:val="000000" w:themeColor="text1"/>
              </w:rPr>
              <w:t xml:space="preserve"> </w:t>
            </w:r>
            <w:r w:rsidRPr="0095738B">
              <w:rPr>
                <w:noProof/>
              </w:rPr>
              <w:t>There is an expectation that data will be shared only once, i.e. either to the ENTSO for Electricity (which will consequently share them with the Commission), or with the Commission directly (in case identical data are not needed by the ENTSO for Electricity). Information is exchanged via data files – not via mutual linking of two platforms.</w:t>
            </w:r>
          </w:p>
          <w:p w14:paraId="302C4294" w14:textId="77777777" w:rsidR="00AF7A86" w:rsidRPr="0095738B" w:rsidRDefault="00AF7A86">
            <w:pPr>
              <w:rPr>
                <w:noProof/>
              </w:rPr>
            </w:pPr>
            <w:r w:rsidRPr="00630AB7">
              <w:rPr>
                <w:noProof/>
              </w:rPr>
              <w:t xml:space="preserve">Requirement 3 does not require interaction across Member State borders, among EU entities or between EU entities and public sector bodies. It also does not have an effect on cross-border inter-operability as the data is of relevance for national, rather than EU-level decision-making procedures. </w:t>
            </w:r>
            <w:r>
              <w:rPr>
                <w:noProof/>
              </w:rPr>
              <w:t>A</w:t>
            </w:r>
            <w:r w:rsidRPr="00EA1F82">
              <w:rPr>
                <w:noProof/>
              </w:rPr>
              <w:t xml:space="preserve"> centrally defined data structure has been considered and discarded, since due to the mostly national character of the biggest percentage of the permitting </w:t>
            </w:r>
            <w:r w:rsidRPr="00665D36">
              <w:rPr>
                <w:noProof/>
              </w:rPr>
              <w:t xml:space="preserve">procedures in each MS and the different permitting systems, it is logical that the actual decision on format for the implementation is left to MS, which can decide what fits best to their system and the new digital platform they will set up. </w:t>
            </w:r>
            <w:r w:rsidRPr="0095738B">
              <w:rPr>
                <w:noProof/>
              </w:rPr>
              <w:t>While TEN-E Regulation requires national competent authorities in charge of permitting to cooperate in cross border projects to the extent possible, it gives Member States the freedom to decide on the most appropriate way to do so. Since part of the data in question may also be required and assessed for procedures related with projects not covered unde TEN-E regulation, it will also be proposed that these platforms are set up as multi-purpose platform that covers the permitting of a wide range of energy asets (grids,pipelines, renewables, storage, etc).</w:t>
            </w:r>
          </w:p>
          <w:p w14:paraId="2D03001C" w14:textId="77777777" w:rsidR="00AF7A86" w:rsidRPr="007D4BC5" w:rsidRDefault="00AF7A86">
            <w:pPr>
              <w:rPr>
                <w:noProof/>
                <w:color w:val="000000" w:themeColor="text1"/>
                <w:szCs w:val="24"/>
              </w:rPr>
            </w:pPr>
            <w:r w:rsidRPr="0095738B">
              <w:rPr>
                <w:noProof/>
              </w:rPr>
              <w:t>The public services affected by these suggestions would be all national authorities involved in the permitting of energy assets, e.g. energy ministry and/or agencies, municipal/local administration and environmental authorities. Administrative bodies or entities responsible for opinion or approval on projects afecting spatiall planning and cultural heritage sites would also be affected.</w:t>
            </w:r>
          </w:p>
        </w:tc>
      </w:tr>
    </w:tbl>
    <w:p w14:paraId="0184F8C4" w14:textId="77777777" w:rsidR="00AF7A86" w:rsidRPr="00343F43" w:rsidRDefault="00AF7A86" w:rsidP="00AF7A86">
      <w:pPr>
        <w:pStyle w:val="ManualHeading2"/>
        <w:rPr>
          <w:noProof/>
          <w:color w:val="000000" w:themeColor="text1"/>
        </w:rPr>
      </w:pPr>
      <w:bookmarkStart w:id="198" w:name="_Toc167220306"/>
      <w:bookmarkStart w:id="199" w:name="_Toc167265076"/>
      <w:bookmarkStart w:id="200" w:name="_Toc172893726"/>
      <w:r w:rsidRPr="00343F43">
        <w:rPr>
          <w:noProof/>
          <w:color w:val="000000" w:themeColor="text1"/>
        </w:rPr>
        <w:t>4.5.</w:t>
      </w:r>
      <w:r w:rsidRPr="00343F43">
        <w:rPr>
          <w:noProof/>
          <w:color w:val="000000" w:themeColor="text1"/>
        </w:rPr>
        <w:tab/>
        <w:t>Measures to support digital implementation</w:t>
      </w:r>
      <w:bookmarkEnd w:id="198"/>
      <w:bookmarkEnd w:id="199"/>
      <w:bookmarkEnd w:id="200"/>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F7A86" w:rsidRPr="00343F43" w14:paraId="19BD27DD" w14:textId="77777777">
        <w:tc>
          <w:tcPr>
            <w:tcW w:w="9067" w:type="dxa"/>
          </w:tcPr>
          <w:p w14:paraId="65481792" w14:textId="77777777" w:rsidR="00AF7A86" w:rsidRPr="00343F43" w:rsidRDefault="00AF7A86">
            <w:pPr>
              <w:rPr>
                <w:noProof/>
                <w:color w:val="000000" w:themeColor="text1"/>
              </w:rPr>
            </w:pPr>
            <w:r w:rsidRPr="00343F43">
              <w:rPr>
                <w:noProof/>
                <w:color w:val="000000" w:themeColor="text1"/>
              </w:rPr>
              <w:t xml:space="preserve">Measures relate to Requirement </w:t>
            </w:r>
            <w:r>
              <w:rPr>
                <w:noProof/>
                <w:color w:val="000000" w:themeColor="text1"/>
              </w:rPr>
              <w:t>2,</w:t>
            </w:r>
            <w:r w:rsidRPr="00343F43">
              <w:rPr>
                <w:noProof/>
                <w:color w:val="000000" w:themeColor="text1"/>
              </w:rPr>
              <w:t xml:space="preserve"> i.e. introduction of a new non-wire and digital transmission category for Projects of Common Interest. Such category aims to provide better incentives for use of grid enhancing and digital technologies by transmission system operators, to increase efficiency of grid utilisation and increase cross-border transmission capacity. Such investment, if granted a status of a Project of Common Interest, would benefit from accelerated permitting and if fulfilling all necessary conditions, may apply for a funding from Connecting Europe Facility. These measures should support implementation of digital platforms within EU transmission and distribution grids.</w:t>
            </w:r>
          </w:p>
        </w:tc>
      </w:tr>
    </w:tbl>
    <w:p w14:paraId="08AF16D7" w14:textId="77777777" w:rsidR="00AF7A86" w:rsidRPr="00605EF1" w:rsidRDefault="00AF7A86" w:rsidP="00AF7A86">
      <w:pPr>
        <w:rPr>
          <w:noProof/>
          <w:lang w:val="en-IE"/>
        </w:rPr>
      </w:pPr>
    </w:p>
    <w:p w14:paraId="400BE982" w14:textId="77777777" w:rsidR="00C761A9" w:rsidRPr="00C761A9" w:rsidRDefault="00C761A9" w:rsidP="00C761A9">
      <w:pPr>
        <w:rPr>
          <w:noProof/>
        </w:rPr>
      </w:pPr>
    </w:p>
    <w:sectPr w:rsidR="00C761A9" w:rsidRPr="00C761A9" w:rsidSect="005C1364">
      <w:headerReference w:type="default" r:id="rId18"/>
      <w:footerReference w:type="default" r:id="rId19"/>
      <w:footnotePr>
        <w:numRestart w:val="eachSect"/>
      </w:footnotePr>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80EF3" w14:textId="77777777" w:rsidR="00DA2994" w:rsidRDefault="00DA2994" w:rsidP="003E7EA6">
      <w:pPr>
        <w:spacing w:before="0" w:after="0"/>
      </w:pPr>
      <w:r>
        <w:separator/>
      </w:r>
    </w:p>
  </w:endnote>
  <w:endnote w:type="continuationSeparator" w:id="0">
    <w:p w14:paraId="2B645574" w14:textId="77777777" w:rsidR="00DA2994" w:rsidRDefault="00DA2994" w:rsidP="003E7EA6">
      <w:pPr>
        <w:spacing w:before="0" w:after="0"/>
      </w:pPr>
      <w:r>
        <w:continuationSeparator/>
      </w:r>
    </w:p>
  </w:endnote>
  <w:endnote w:type="continuationNotice" w:id="1">
    <w:p w14:paraId="7F94B094" w14:textId="77777777" w:rsidR="00DA2994" w:rsidRDefault="00DA29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EUAlbertina">
    <w:altName w:val="Cambria"/>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BA20E" w14:textId="33523AB9" w:rsidR="005C1364" w:rsidRPr="005C1364" w:rsidRDefault="005C1364" w:rsidP="005C1364">
    <w:pPr>
      <w:pStyle w:val="Footer"/>
      <w:rPr>
        <w:rFonts w:ascii="Arial" w:hAnsi="Arial" w:cs="Arial"/>
        <w:b/>
        <w:sz w:val="48"/>
      </w:rPr>
    </w:pPr>
    <w:r w:rsidRPr="005C1364">
      <w:rPr>
        <w:rFonts w:ascii="Arial" w:hAnsi="Arial" w:cs="Arial"/>
        <w:b/>
        <w:sz w:val="48"/>
      </w:rPr>
      <w:t>EN</w:t>
    </w:r>
    <w:r w:rsidRPr="005C1364">
      <w:rPr>
        <w:rFonts w:ascii="Arial" w:hAnsi="Arial" w:cs="Arial"/>
        <w:b/>
        <w:sz w:val="48"/>
      </w:rPr>
      <w:tab/>
    </w:r>
    <w:r w:rsidRPr="005C1364">
      <w:rPr>
        <w:rFonts w:ascii="Arial" w:hAnsi="Arial" w:cs="Arial"/>
        <w:b/>
        <w:sz w:val="48"/>
      </w:rPr>
      <w:tab/>
    </w:r>
    <w:r w:rsidRPr="005C1364">
      <w:tab/>
    </w:r>
    <w:r w:rsidRPr="005C136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D009" w14:textId="6D9C68CB" w:rsidR="005C1364" w:rsidRPr="005C1364" w:rsidRDefault="005C1364" w:rsidP="005C1364">
    <w:pPr>
      <w:pStyle w:val="Footer"/>
      <w:rPr>
        <w:rFonts w:ascii="Arial" w:hAnsi="Arial" w:cs="Arial"/>
        <w:b/>
        <w:sz w:val="48"/>
      </w:rPr>
    </w:pPr>
    <w:r w:rsidRPr="005C1364">
      <w:rPr>
        <w:rFonts w:ascii="Arial" w:hAnsi="Arial" w:cs="Arial"/>
        <w:b/>
        <w:sz w:val="48"/>
      </w:rPr>
      <w:t>EN</w:t>
    </w:r>
    <w:r w:rsidRPr="005C1364">
      <w:rPr>
        <w:rFonts w:ascii="Arial" w:hAnsi="Arial" w:cs="Arial"/>
        <w:b/>
        <w:sz w:val="48"/>
      </w:rPr>
      <w:tab/>
    </w:r>
    <w:r w:rsidRPr="005C1364">
      <w:rPr>
        <w:rFonts w:ascii="Arial" w:hAnsi="Arial" w:cs="Arial"/>
        <w:b/>
        <w:sz w:val="48"/>
      </w:rPr>
      <w:tab/>
    </w:r>
    <w:r w:rsidRPr="005C1364">
      <w:tab/>
    </w:r>
    <w:r w:rsidRPr="005C136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86C6" w14:textId="77777777" w:rsidR="005C1364" w:rsidRDefault="005C13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8B2E" w14:textId="6A9E8922" w:rsidR="005C1364" w:rsidRPr="005C1364" w:rsidRDefault="005C1364" w:rsidP="005C1364">
    <w:pPr>
      <w:pStyle w:val="Footer"/>
      <w:rPr>
        <w:rFonts w:ascii="Arial" w:hAnsi="Arial" w:cs="Arial"/>
        <w:b/>
        <w:sz w:val="48"/>
      </w:rPr>
    </w:pPr>
    <w:r w:rsidRPr="005C1364">
      <w:rPr>
        <w:rFonts w:ascii="Arial" w:hAnsi="Arial" w:cs="Arial"/>
        <w:b/>
        <w:sz w:val="48"/>
      </w:rPr>
      <w:t>EN</w:t>
    </w:r>
    <w:r w:rsidRPr="005C1364">
      <w:rPr>
        <w:rFonts w:ascii="Arial" w:hAnsi="Arial" w:cs="Arial"/>
        <w:b/>
        <w:sz w:val="48"/>
      </w:rPr>
      <w:tab/>
    </w:r>
    <w:r>
      <w:fldChar w:fldCharType="begin"/>
    </w:r>
    <w:r>
      <w:instrText xml:space="preserve"> PAGE  \* MERGEFORMAT </w:instrText>
    </w:r>
    <w:r>
      <w:fldChar w:fldCharType="separate"/>
    </w:r>
    <w:r w:rsidR="00166F4F">
      <w:rPr>
        <w:noProof/>
      </w:rPr>
      <w:t>68</w:t>
    </w:r>
    <w:r>
      <w:fldChar w:fldCharType="end"/>
    </w:r>
    <w:r>
      <w:tab/>
    </w:r>
    <w:r w:rsidRPr="005C1364">
      <w:tab/>
    </w:r>
    <w:r w:rsidRPr="005C136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7054C" w14:textId="77777777" w:rsidR="005C1364" w:rsidRDefault="005C1364" w:rsidP="005C13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14D16" w14:textId="7FFDDB36" w:rsidR="005C1364" w:rsidRPr="005C1364" w:rsidRDefault="005C1364" w:rsidP="005C1364">
    <w:pPr>
      <w:pStyle w:val="FooterLandscape"/>
      <w:rPr>
        <w:rFonts w:ascii="Arial" w:hAnsi="Arial" w:cs="Arial"/>
        <w:b/>
        <w:sz w:val="48"/>
      </w:rPr>
    </w:pPr>
    <w:r w:rsidRPr="005C1364">
      <w:rPr>
        <w:rFonts w:ascii="Arial" w:hAnsi="Arial" w:cs="Arial"/>
        <w:b/>
        <w:sz w:val="48"/>
      </w:rPr>
      <w:t>EN</w:t>
    </w:r>
    <w:r w:rsidRPr="005C136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5C1364">
      <w:tab/>
    </w:r>
    <w:r w:rsidRPr="005C1364">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19733" w14:textId="774ED4A0" w:rsidR="005C1364" w:rsidRPr="005C1364" w:rsidRDefault="005C1364" w:rsidP="005C1364">
    <w:pPr>
      <w:pStyle w:val="Footer"/>
      <w:rPr>
        <w:rFonts w:ascii="Arial" w:hAnsi="Arial" w:cs="Arial"/>
        <w:b/>
        <w:sz w:val="48"/>
      </w:rPr>
    </w:pPr>
    <w:r w:rsidRPr="005C1364">
      <w:rPr>
        <w:rFonts w:ascii="Arial" w:hAnsi="Arial" w:cs="Arial"/>
        <w:b/>
        <w:sz w:val="48"/>
      </w:rPr>
      <w:t>EN</w:t>
    </w:r>
    <w:r w:rsidRPr="005C136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C1364">
      <w:tab/>
    </w:r>
    <w:r w:rsidRPr="005C1364">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72A0E" w14:textId="77777777" w:rsidR="00DA2994" w:rsidRDefault="00DA2994" w:rsidP="003E7EA6">
      <w:pPr>
        <w:spacing w:before="0" w:after="0"/>
      </w:pPr>
      <w:r>
        <w:separator/>
      </w:r>
    </w:p>
  </w:footnote>
  <w:footnote w:type="continuationSeparator" w:id="0">
    <w:p w14:paraId="3B98B203" w14:textId="77777777" w:rsidR="00DA2994" w:rsidRDefault="00DA2994" w:rsidP="003E7EA6">
      <w:pPr>
        <w:spacing w:before="0" w:after="0"/>
      </w:pPr>
      <w:r>
        <w:continuationSeparator/>
      </w:r>
    </w:p>
  </w:footnote>
  <w:footnote w:type="continuationNotice" w:id="1">
    <w:p w14:paraId="39FFF823" w14:textId="77777777" w:rsidR="00DA2994" w:rsidRDefault="00DA2994">
      <w:pPr>
        <w:spacing w:before="0" w:after="0"/>
      </w:pPr>
    </w:p>
  </w:footnote>
  <w:footnote w:id="2">
    <w:p w14:paraId="0865F992" w14:textId="77777777" w:rsidR="00FA610F" w:rsidRPr="001D4BB3" w:rsidRDefault="00FA610F" w:rsidP="00FA610F">
      <w:pPr>
        <w:pStyle w:val="FootnoteText"/>
      </w:pPr>
      <w:r w:rsidRPr="005A3B7D">
        <w:rPr>
          <w:rStyle w:val="FootnoteReference"/>
        </w:rPr>
        <w:footnoteRef/>
      </w:r>
      <w:r w:rsidR="005A3B7D">
        <w:tab/>
      </w:r>
      <w:r w:rsidR="00656AFB">
        <w:t xml:space="preserve">Communication from the Commission to the European Parliament, the Council, the </w:t>
      </w:r>
      <w:r w:rsidR="002541E7">
        <w:t>E</w:t>
      </w:r>
      <w:r w:rsidR="00656AFB">
        <w:t xml:space="preserve">uropean </w:t>
      </w:r>
      <w:r w:rsidR="002541E7">
        <w:t>E</w:t>
      </w:r>
      <w:r w:rsidR="00656AFB">
        <w:t xml:space="preserve">conomic and </w:t>
      </w:r>
      <w:r w:rsidR="002541E7">
        <w:t>S</w:t>
      </w:r>
      <w:r w:rsidR="00656AFB">
        <w:t xml:space="preserve">ocial </w:t>
      </w:r>
      <w:r w:rsidR="002541E7">
        <w:t>C</w:t>
      </w:r>
      <w:r w:rsidR="00656AFB">
        <w:t xml:space="preserve">ommittee and the </w:t>
      </w:r>
      <w:r w:rsidR="002541E7">
        <w:t>C</w:t>
      </w:r>
      <w:r w:rsidR="00656AFB">
        <w:t xml:space="preserve">ommittee of the </w:t>
      </w:r>
      <w:r w:rsidR="002541E7">
        <w:t>R</w:t>
      </w:r>
      <w:r w:rsidR="00656AFB">
        <w:t>egions</w:t>
      </w:r>
      <w:r w:rsidR="002541E7">
        <w:t xml:space="preserve">: </w:t>
      </w:r>
      <w:r w:rsidR="00656AFB">
        <w:t>The Clean Industrial Deal: A joint roadmap for competitiveness and decarbonisation</w:t>
      </w:r>
      <w:r w:rsidR="002541E7">
        <w:t>,</w:t>
      </w:r>
      <w:r w:rsidR="00656AFB" w:rsidRPr="001D4BB3">
        <w:t xml:space="preserve"> </w:t>
      </w:r>
      <w:r w:rsidRPr="001D4BB3">
        <w:t xml:space="preserve"> COM(2025) 85 final</w:t>
      </w:r>
    </w:p>
  </w:footnote>
  <w:footnote w:id="3">
    <w:p w14:paraId="4B241C65" w14:textId="77777777" w:rsidR="00FA610F" w:rsidRPr="001D4BB3" w:rsidRDefault="00FA610F" w:rsidP="00FA610F">
      <w:pPr>
        <w:pStyle w:val="FootnoteText"/>
      </w:pPr>
      <w:r w:rsidRPr="005A3B7D">
        <w:rPr>
          <w:rStyle w:val="FootnoteReference"/>
        </w:rPr>
        <w:footnoteRef/>
      </w:r>
      <w:r w:rsidR="005A3B7D">
        <w:tab/>
      </w:r>
      <w:r w:rsidRPr="001D4BB3">
        <w:t>Regulation (EU) 2018/1999 on the Governance of the Energy Union and Climate Action</w:t>
      </w:r>
    </w:p>
  </w:footnote>
  <w:footnote w:id="4">
    <w:p w14:paraId="43623E09" w14:textId="77777777" w:rsidR="00FA610F" w:rsidRPr="001D4BB3" w:rsidRDefault="00FA610F" w:rsidP="00FA610F">
      <w:pPr>
        <w:pStyle w:val="FootnoteText"/>
      </w:pPr>
      <w:r w:rsidRPr="005A3B7D">
        <w:rPr>
          <w:rStyle w:val="FootnoteReference"/>
        </w:rPr>
        <w:footnoteRef/>
      </w:r>
      <w:r w:rsidR="005A3B7D">
        <w:tab/>
      </w:r>
      <w:r w:rsidRPr="001D4BB3">
        <w:t>COM(2025) 524 final: Proposal for a Regulation establishing the framework for achieving climate neutrality</w:t>
      </w:r>
    </w:p>
  </w:footnote>
  <w:footnote w:id="5">
    <w:p w14:paraId="2AF2B5F7" w14:textId="77777777" w:rsidR="00FA610F" w:rsidRPr="001D4BB3" w:rsidRDefault="00FA610F" w:rsidP="00FA610F">
      <w:pPr>
        <w:pStyle w:val="FootnoteText"/>
      </w:pPr>
      <w:r w:rsidRPr="005A3B7D">
        <w:rPr>
          <w:rStyle w:val="FootnoteReference"/>
        </w:rPr>
        <w:footnoteRef/>
      </w:r>
      <w:r w:rsidR="005A3B7D">
        <w:tab/>
      </w:r>
      <w:r w:rsidRPr="001D4BB3">
        <w:t xml:space="preserve">Artelys, LBST, Trinomics, Finesso, A. et al., </w:t>
      </w:r>
      <w:hyperlink r:id="rId1" w:history="1">
        <w:r w:rsidRPr="001D4BB3">
          <w:rPr>
            <w:rStyle w:val="Hyperlink"/>
          </w:rPr>
          <w:t>Investment needs of European energy infrastructure to enable a decarbonised economy</w:t>
        </w:r>
      </w:hyperlink>
      <w:r w:rsidRPr="001D4BB3">
        <w:t>, 2025; investment needs for distribution grids alone amount to EUR 730 billion.</w:t>
      </w:r>
    </w:p>
  </w:footnote>
  <w:footnote w:id="6">
    <w:p w14:paraId="3C3B7E47" w14:textId="77777777" w:rsidR="00FA610F" w:rsidRPr="001D4BB3" w:rsidDel="00792111" w:rsidRDefault="00FA610F" w:rsidP="00FA610F">
      <w:pPr>
        <w:pStyle w:val="FootnoteText"/>
      </w:pPr>
      <w:r w:rsidRPr="005A3B7D">
        <w:rPr>
          <w:rStyle w:val="FootnoteReference"/>
        </w:rPr>
        <w:footnoteRef/>
      </w:r>
      <w:r w:rsidR="005A3B7D">
        <w:tab/>
      </w:r>
      <w:hyperlink r:id="rId2" w:history="1">
        <w:r w:rsidRPr="001D4BB3">
          <w:rPr>
            <w:rStyle w:val="Hyperlink"/>
          </w:rPr>
          <w:t>https://energy.ec.europa.eu/news/member-states-agree-new-ambition-expanding-offshore-renewable-energy-2024-12-18_en</w:t>
        </w:r>
      </w:hyperlink>
    </w:p>
  </w:footnote>
  <w:footnote w:id="7">
    <w:p w14:paraId="51683073" w14:textId="77777777" w:rsidR="00FA610F" w:rsidRPr="001D4BB3" w:rsidRDefault="00FA610F">
      <w:pPr>
        <w:pStyle w:val="FootnoteText"/>
        <w:ind w:left="709" w:hanging="709"/>
      </w:pPr>
      <w:r w:rsidRPr="005A3B7D">
        <w:rPr>
          <w:rStyle w:val="FootnoteReference"/>
        </w:rPr>
        <w:footnoteRef/>
      </w:r>
      <w:r w:rsidR="005A3B7D">
        <w:tab/>
      </w:r>
      <w:r w:rsidRPr="001D4BB3">
        <w:rPr>
          <w:rStyle w:val="Hyperlink"/>
        </w:rPr>
        <w:t>https://commission.europa.eu/topics/eu-competitiveness/draghi-report_en#paragraph_47059</w:t>
      </w:r>
    </w:p>
  </w:footnote>
  <w:footnote w:id="8">
    <w:p w14:paraId="251790A2" w14:textId="45000F5D" w:rsidR="00FA610F" w:rsidRPr="001D4BB3" w:rsidRDefault="00FA610F">
      <w:pPr>
        <w:pStyle w:val="FootnoteText"/>
        <w:tabs>
          <w:tab w:val="left" w:pos="426"/>
        </w:tabs>
        <w:ind w:left="709" w:hanging="709"/>
      </w:pPr>
      <w:r w:rsidRPr="005A3B7D">
        <w:rPr>
          <w:rStyle w:val="FootnoteReference"/>
        </w:rPr>
        <w:footnoteRef/>
      </w:r>
      <w:r>
        <w:tab/>
      </w:r>
      <w:r w:rsidR="00830FD6">
        <w:tab/>
      </w:r>
      <w:r w:rsidRPr="001D4BB3">
        <w:t>Energy Council Conclusions of 30 May 2024 on Advancing Sustainable Electricity Grid Infrastructure, 10459/24</w:t>
      </w:r>
    </w:p>
  </w:footnote>
  <w:footnote w:id="9">
    <w:p w14:paraId="14145D10" w14:textId="77777777" w:rsidR="00FA610F" w:rsidRPr="001D4BB3" w:rsidRDefault="00FA610F" w:rsidP="00FA610F">
      <w:pPr>
        <w:pStyle w:val="FootnoteText"/>
      </w:pPr>
      <w:r w:rsidRPr="005A3B7D">
        <w:rPr>
          <w:rStyle w:val="FootnoteReference"/>
        </w:rPr>
        <w:footnoteRef/>
      </w:r>
      <w:r w:rsidR="005A3B7D">
        <w:tab/>
      </w:r>
      <w:r w:rsidRPr="001D4BB3">
        <w:t>Council of the European Union, 10279/25</w:t>
      </w:r>
    </w:p>
  </w:footnote>
  <w:footnote w:id="10">
    <w:p w14:paraId="6C42E9DB" w14:textId="77777777" w:rsidR="00FA610F" w:rsidRPr="001D4BB3" w:rsidRDefault="00FA610F" w:rsidP="00FA610F">
      <w:pPr>
        <w:pStyle w:val="FootnoteText"/>
      </w:pPr>
      <w:r w:rsidRPr="005A3B7D">
        <w:rPr>
          <w:rStyle w:val="FootnoteReference"/>
        </w:rPr>
        <w:footnoteRef/>
      </w:r>
      <w:r w:rsidR="005A3B7D">
        <w:tab/>
      </w:r>
      <w:r w:rsidRPr="001D4BB3">
        <w:t xml:space="preserve">Conclusions of the </w:t>
      </w:r>
      <w:r w:rsidRPr="001D4BB3">
        <w:rPr>
          <w:spacing w:val="-3"/>
        </w:rPr>
        <w:t>European Council</w:t>
      </w:r>
      <w:r w:rsidRPr="001D4BB3">
        <w:rPr>
          <w:iCs/>
          <w:spacing w:val="-3"/>
        </w:rPr>
        <w:t xml:space="preserve"> of March</w:t>
      </w:r>
      <w:r w:rsidRPr="001D4BB3">
        <w:rPr>
          <w:bCs/>
          <w:iCs/>
          <w:spacing w:val="-3"/>
        </w:rPr>
        <w:t xml:space="preserve"> 2025 </w:t>
      </w:r>
      <w:r w:rsidRPr="001D4BB3">
        <w:t>EUCO 1/25</w:t>
      </w:r>
    </w:p>
  </w:footnote>
  <w:footnote w:id="11">
    <w:p w14:paraId="5E12557E" w14:textId="77777777" w:rsidR="00FA610F" w:rsidRPr="001D4BB3" w:rsidRDefault="00FA610F" w:rsidP="00FA610F">
      <w:pPr>
        <w:pStyle w:val="FootnoteText"/>
      </w:pPr>
      <w:r w:rsidRPr="005A3B7D">
        <w:rPr>
          <w:rStyle w:val="FootnoteReference"/>
        </w:rPr>
        <w:footnoteRef/>
      </w:r>
      <w:r w:rsidR="005A3B7D">
        <w:tab/>
      </w:r>
      <w:r w:rsidRPr="001D4BB3">
        <w:t>European Parliament resolution of 19 June 2025 on electricity grids (2025/2006(INI))</w:t>
      </w:r>
    </w:p>
  </w:footnote>
  <w:footnote w:id="12">
    <w:p w14:paraId="0066A203" w14:textId="77777777" w:rsidR="00FA610F" w:rsidRPr="001D4BB3" w:rsidRDefault="00FA610F" w:rsidP="00FA610F">
      <w:pPr>
        <w:pStyle w:val="FootnoteText"/>
      </w:pPr>
      <w:r w:rsidRPr="005A3B7D">
        <w:rPr>
          <w:rStyle w:val="FootnoteReference"/>
        </w:rPr>
        <w:footnoteRef/>
      </w:r>
      <w:r w:rsidR="005A3B7D">
        <w:tab/>
      </w:r>
      <w:r w:rsidRPr="001D4BB3">
        <w:t xml:space="preserve">EP resolution of 7 May 2025 on a </w:t>
      </w:r>
      <w:hyperlink r:id="rId3" w:history="1">
        <w:r w:rsidRPr="001D4BB3">
          <w:rPr>
            <w:rStyle w:val="Hyperlink"/>
          </w:rPr>
          <w:t>revamped long-term budget for the Union in a changing world</w:t>
        </w:r>
      </w:hyperlink>
      <w:r w:rsidRPr="001D4BB3">
        <w:t xml:space="preserve"> (2024/2051(INI)), </w:t>
      </w:r>
    </w:p>
  </w:footnote>
  <w:footnote w:id="13">
    <w:p w14:paraId="7C61FB64" w14:textId="0EB2EA1D" w:rsidR="008A3237" w:rsidRPr="001D4BB3" w:rsidRDefault="008A3237" w:rsidP="008A3237">
      <w:pPr>
        <w:pStyle w:val="FootnoteText"/>
        <w:rPr>
          <w:rFonts w:eastAsia="Times New Roman"/>
        </w:rPr>
      </w:pPr>
      <w:r w:rsidRPr="00C574B5">
        <w:rPr>
          <w:rStyle w:val="FootnoteReference"/>
        </w:rPr>
        <w:footnoteRef/>
      </w:r>
      <w:r w:rsidR="00C574B5">
        <w:tab/>
      </w:r>
      <w:r w:rsidRPr="001D4BB3">
        <w:t>ACER (2024): Electricity infrastructure development to support a competitive and sustainable energy</w:t>
      </w:r>
    </w:p>
    <w:p w14:paraId="55F63546" w14:textId="77777777" w:rsidR="008A3237" w:rsidRPr="008D2D9F" w:rsidRDefault="008A3237" w:rsidP="008D2D9F">
      <w:pPr>
        <w:pStyle w:val="FootnoteText"/>
        <w:ind w:firstLine="0"/>
        <w:rPr>
          <w:lang w:val="sv-SE"/>
        </w:rPr>
      </w:pPr>
      <w:r w:rsidRPr="00411470">
        <w:rPr>
          <w:lang w:val="sv-SE"/>
        </w:rPr>
        <w:t>System (2024 Monitoring Report</w:t>
      </w:r>
      <w:r w:rsidRPr="00F45BED">
        <w:rPr>
          <w:lang w:val="sv-SE"/>
        </w:rPr>
        <w:t>)</w:t>
      </w:r>
    </w:p>
  </w:footnote>
  <w:footnote w:id="14">
    <w:p w14:paraId="61668FBA" w14:textId="2BAC5E85" w:rsidR="008A3237" w:rsidRPr="008D2D9F" w:rsidRDefault="008A3237" w:rsidP="008A3237">
      <w:pPr>
        <w:pStyle w:val="FootnoteText"/>
        <w:rPr>
          <w:lang w:val="en-IE"/>
        </w:rPr>
      </w:pPr>
      <w:r w:rsidRPr="00C574B5">
        <w:rPr>
          <w:rStyle w:val="FootnoteReference"/>
        </w:rPr>
        <w:footnoteRef/>
      </w:r>
      <w:r w:rsidR="00C574B5">
        <w:tab/>
      </w:r>
      <w:r w:rsidRPr="008D2D9F">
        <w:rPr>
          <w:lang w:val="en-IE"/>
        </w:rPr>
        <w:t xml:space="preserve">ENTSO-E (2025), TYNDP 2024. </w:t>
      </w:r>
      <w:r w:rsidRPr="001D4BB3">
        <w:t>Opportunities for a more efficient European power system by 2050. Infrastructure Gaps Report.</w:t>
      </w:r>
    </w:p>
  </w:footnote>
  <w:footnote w:id="15">
    <w:p w14:paraId="290765D6" w14:textId="77777777" w:rsidR="00166EEA" w:rsidRPr="005E5DF0" w:rsidRDefault="00166EEA" w:rsidP="00166EEA">
      <w:pPr>
        <w:pStyle w:val="FootnoteText"/>
        <w:rPr>
          <w:lang w:val="en-IE"/>
        </w:rPr>
      </w:pPr>
      <w:r w:rsidRPr="005A3B7D">
        <w:rPr>
          <w:rStyle w:val="FootnoteReference"/>
        </w:rPr>
        <w:footnoteRef/>
      </w:r>
      <w:r w:rsidR="005A3B7D" w:rsidRPr="005E5DF0">
        <w:rPr>
          <w:lang w:val="en-IE"/>
        </w:rPr>
        <w:tab/>
      </w:r>
      <w:r w:rsidRPr="005E5DF0">
        <w:rPr>
          <w:lang w:val="en-IE"/>
        </w:rPr>
        <w:t>COM(2025) 79 final</w:t>
      </w:r>
    </w:p>
  </w:footnote>
  <w:footnote w:id="16">
    <w:p w14:paraId="1BDA79F8" w14:textId="77777777" w:rsidR="00166EEA" w:rsidRPr="005E5DF0" w:rsidRDefault="00166EEA" w:rsidP="00166EEA">
      <w:pPr>
        <w:pStyle w:val="FootnoteText"/>
        <w:tabs>
          <w:tab w:val="left" w:pos="426"/>
        </w:tabs>
        <w:ind w:left="426" w:hanging="426"/>
        <w:rPr>
          <w:lang w:val="en-IE"/>
        </w:rPr>
      </w:pPr>
      <w:r w:rsidRPr="005A3B7D">
        <w:rPr>
          <w:rStyle w:val="FootnoteReference"/>
        </w:rPr>
        <w:footnoteRef/>
      </w:r>
      <w:r w:rsidR="005A3B7D" w:rsidRPr="005E5DF0">
        <w:rPr>
          <w:lang w:val="en-IE"/>
        </w:rPr>
        <w:tab/>
      </w:r>
      <w:r w:rsidRPr="005E5DF0">
        <w:rPr>
          <w:lang w:val="en-IE"/>
        </w:rPr>
        <w:t xml:space="preserve">COM(2023) 757 final </w:t>
      </w:r>
    </w:p>
  </w:footnote>
  <w:footnote w:id="17">
    <w:p w14:paraId="2785CD8D" w14:textId="77777777" w:rsidR="00673666" w:rsidRPr="001D4BB3" w:rsidRDefault="00673666" w:rsidP="00673666">
      <w:pPr>
        <w:pStyle w:val="FootnoteText"/>
      </w:pPr>
      <w:r w:rsidRPr="005A3B7D">
        <w:rPr>
          <w:rStyle w:val="FootnoteReference"/>
        </w:rPr>
        <w:footnoteRef/>
      </w:r>
      <w:r w:rsidR="005A3B7D">
        <w:tab/>
      </w:r>
      <w:r w:rsidRPr="001D4BB3">
        <w:t xml:space="preserve">COM(2025) 547 final: Proposal for a Regulation establishing the Connecting Europe Facility for 2028-2034 </w:t>
      </w:r>
    </w:p>
  </w:footnote>
  <w:footnote w:id="18">
    <w:p w14:paraId="532B6560" w14:textId="77777777" w:rsidR="005924EF" w:rsidRPr="00AE58B8" w:rsidRDefault="005924EF">
      <w:pPr>
        <w:pStyle w:val="FootnoteText"/>
        <w:rPr>
          <w:lang w:val="en-IE"/>
        </w:rPr>
      </w:pPr>
      <w:r w:rsidRPr="0095738B">
        <w:rPr>
          <w:rStyle w:val="FootnoteReference"/>
        </w:rPr>
        <w:footnoteRef/>
      </w:r>
      <w:r w:rsidR="0095738B">
        <w:tab/>
      </w:r>
      <w:r w:rsidR="00F21B8C" w:rsidRPr="00F21B8C">
        <w:rPr>
          <w:lang w:val="en-IE"/>
        </w:rPr>
        <w:t>Directive (EU) 2022/2557 of the European Parliament and of the Council of 14 December 2022 on the resilience of critical entities and repealing Council Directive 2008/114/EC</w:t>
      </w:r>
    </w:p>
  </w:footnote>
  <w:footnote w:id="19">
    <w:p w14:paraId="42DCF4D5" w14:textId="77777777" w:rsidR="00B52EAA" w:rsidRPr="00AE58B8" w:rsidRDefault="00B52EAA">
      <w:pPr>
        <w:pStyle w:val="FootnoteText"/>
        <w:rPr>
          <w:lang w:val="en-IE"/>
        </w:rPr>
      </w:pPr>
      <w:r w:rsidRPr="0095738B">
        <w:rPr>
          <w:rStyle w:val="FootnoteReference"/>
        </w:rPr>
        <w:footnoteRef/>
      </w:r>
      <w:r w:rsidR="0095738B">
        <w:tab/>
      </w:r>
      <w:r w:rsidRPr="00B52EAA">
        <w:t>Directive (EU) 2022/2555 of the European Parliament and of the Council of 14 December 2022 on measures for a high common level of cybersecurity across the Union, amending Regulation (EU) No 910/2014 and Directive (EU) 2018/1972, and repealing Directive (EU) 2016/1148 (NIS 2 Directive)</w:t>
      </w:r>
    </w:p>
  </w:footnote>
  <w:footnote w:id="20">
    <w:p w14:paraId="31A96ADE" w14:textId="77777777" w:rsidR="00D40FFE" w:rsidRPr="00AE58B8" w:rsidRDefault="00D40FFE">
      <w:pPr>
        <w:pStyle w:val="FootnoteText"/>
        <w:rPr>
          <w:lang w:val="en-IE"/>
        </w:rPr>
      </w:pPr>
      <w:r w:rsidRPr="0095738B">
        <w:rPr>
          <w:rStyle w:val="FootnoteReference"/>
        </w:rPr>
        <w:footnoteRef/>
      </w:r>
      <w:r w:rsidR="0095738B">
        <w:tab/>
      </w:r>
      <w:r w:rsidRPr="00D40FFE">
        <w:rPr>
          <w:lang w:val="en-IE"/>
        </w:rPr>
        <w:t>Commission Delegated Regulation (EU) 2024/1366 of 11 March 2024 supplementing Regulation (EU) 2019/943 of the European Parliament and of the Council by establishing a network code on sector-specific rules for cybersecurity aspects of cross-border electricity flows</w:t>
      </w:r>
    </w:p>
  </w:footnote>
  <w:footnote w:id="21">
    <w:p w14:paraId="4B75982C" w14:textId="77777777" w:rsidR="00597DB3" w:rsidRPr="001D4BB3" w:rsidRDefault="00597DB3" w:rsidP="00597DB3">
      <w:pPr>
        <w:pStyle w:val="FootnoteText"/>
      </w:pPr>
      <w:r w:rsidRPr="005A3B7D">
        <w:rPr>
          <w:rStyle w:val="FootnoteReference"/>
        </w:rPr>
        <w:footnoteRef/>
      </w:r>
      <w:r w:rsidR="005A3B7D">
        <w:tab/>
      </w:r>
      <w:r w:rsidRPr="001D4BB3">
        <w:t>For instance, the needs of industry in terms of energy consumption should be well reflected in national network development plans and, vice-versa, there is a need for recognition of infrastructure planning in industrial policy considering the need for grid and pipeline infrastructure for H</w:t>
      </w:r>
      <w:r w:rsidRPr="001D4BB3">
        <w:rPr>
          <w:vertAlign w:val="subscript"/>
        </w:rPr>
        <w:t>2</w:t>
      </w:r>
      <w:r w:rsidRPr="001D4BB3">
        <w:t xml:space="preserve"> and CO</w:t>
      </w:r>
      <w:r w:rsidRPr="001D4BB3">
        <w:rPr>
          <w:vertAlign w:val="subscript"/>
        </w:rPr>
        <w:t>2</w:t>
      </w:r>
      <w:r w:rsidRPr="001D4BB3">
        <w:t>.</w:t>
      </w:r>
    </w:p>
  </w:footnote>
  <w:footnote w:id="22">
    <w:p w14:paraId="795B9B6F" w14:textId="77777777" w:rsidR="00E13DA7" w:rsidRPr="00AE58B8" w:rsidRDefault="00E13DA7">
      <w:pPr>
        <w:pStyle w:val="FootnoteText"/>
        <w:rPr>
          <w:lang w:val="en-IE"/>
        </w:rPr>
      </w:pPr>
      <w:r w:rsidRPr="0095738B">
        <w:rPr>
          <w:rStyle w:val="FootnoteReference"/>
        </w:rPr>
        <w:footnoteRef/>
      </w:r>
      <w:r w:rsidR="0095738B">
        <w:tab/>
      </w:r>
      <w:r w:rsidRPr="00E13DA7">
        <w:t>Directive (EU) 2024/1788 of the European Parliament and of the Council of 13 June 2024 on common rules for the internal markets for renewable gas, natural gas and hydrogen, amending Directive (EU) 2023/1791 and repealing Directive 2009/73/EC (recast)</w:t>
      </w:r>
    </w:p>
  </w:footnote>
  <w:footnote w:id="23">
    <w:p w14:paraId="4A66EE28" w14:textId="77777777" w:rsidR="00443895" w:rsidRPr="001D4BB3" w:rsidRDefault="00443895" w:rsidP="00443895">
      <w:pPr>
        <w:pStyle w:val="FootnoteText"/>
      </w:pPr>
      <w:r w:rsidRPr="005A3B7D">
        <w:rPr>
          <w:rStyle w:val="FootnoteReference"/>
        </w:rPr>
        <w:footnoteRef/>
      </w:r>
      <w:r w:rsidR="005A3B7D">
        <w:tab/>
      </w:r>
      <w:r w:rsidRPr="001D4BB3">
        <w:t>See Article 22 of the TEN-E Regulation.</w:t>
      </w:r>
    </w:p>
  </w:footnote>
  <w:footnote w:id="24">
    <w:p w14:paraId="69CB3FAF" w14:textId="77777777" w:rsidR="00443895" w:rsidRPr="001D4BB3" w:rsidRDefault="00443895" w:rsidP="00443895">
      <w:pPr>
        <w:pStyle w:val="FootnoteText"/>
      </w:pPr>
      <w:r w:rsidRPr="005A3B7D">
        <w:rPr>
          <w:rStyle w:val="FootnoteReference"/>
        </w:rPr>
        <w:footnoteRef/>
      </w:r>
      <w:r w:rsidR="005A3B7D">
        <w:tab/>
      </w:r>
      <w:r w:rsidRPr="001D4BB3">
        <w:t>European Commission: Directorate-General for Energy, ECORYS, Ramboll, REKK, Shepherd and Wedderburn, Akkermans, F., Le Den, X., Heidecke, L., Jansen, L., Juárez, V., Kácsor, E., Mezősi, A., Nigohosyan, D., Nguyen, N., Rodger, S., Selei, A., Takácsné Tóth, B., Møller Thomsen, S., Til, H. v.Yagafarova, A., </w:t>
      </w:r>
      <w:r w:rsidRPr="001D4BB3">
        <w:rPr>
          <w:i/>
          <w:iCs/>
        </w:rPr>
        <w:t>Support to the evaluation of Regulation (EU) No 347/2013 on guidelines for trans-European energy infrastructure – Final report</w:t>
      </w:r>
      <w:r w:rsidRPr="001D4BB3">
        <w:t>, Publications Office, 2021, </w:t>
      </w:r>
      <w:hyperlink r:id="rId4" w:tgtFrame="_blank" w:history="1">
        <w:r w:rsidRPr="001D4BB3">
          <w:rPr>
            <w:rStyle w:val="Hyperlink"/>
          </w:rPr>
          <w:t>https://data.europa.eu/doi/10.2833/154438</w:t>
        </w:r>
      </w:hyperlink>
    </w:p>
  </w:footnote>
  <w:footnote w:id="25">
    <w:p w14:paraId="3556FD88" w14:textId="77777777" w:rsidR="00E01E23" w:rsidRPr="001D4BB3" w:rsidRDefault="00E01E23" w:rsidP="00E01E23">
      <w:pPr>
        <w:pStyle w:val="FootnoteText"/>
      </w:pPr>
      <w:r w:rsidRPr="005A3B7D">
        <w:rPr>
          <w:rStyle w:val="FootnoteReference"/>
        </w:rPr>
        <w:footnoteRef/>
      </w:r>
      <w:r w:rsidR="005A3B7D">
        <w:tab/>
      </w:r>
      <w:r w:rsidRPr="002C6D34">
        <w:t xml:space="preserve">20% of respondents were neutral and 35% </w:t>
      </w:r>
      <w:r>
        <w:t>expressed no opinion</w:t>
      </w:r>
      <w:r w:rsidRPr="002C6D34">
        <w:t xml:space="preserve"> (see Annex 2</w:t>
      </w:r>
      <w:r w:rsidR="00A750C1">
        <w:t xml:space="preserve"> of Impact Assessment</w:t>
      </w:r>
      <w:r w:rsidRPr="002C6D34">
        <w:t>).</w:t>
      </w:r>
    </w:p>
  </w:footnote>
  <w:footnote w:id="26">
    <w:p w14:paraId="654925E4" w14:textId="77777777" w:rsidR="003311FA" w:rsidRPr="00A750C1" w:rsidRDefault="003311FA" w:rsidP="003311FA">
      <w:pPr>
        <w:pStyle w:val="FootnoteText"/>
        <w:rPr>
          <w:lang w:val="en-IE"/>
        </w:rPr>
      </w:pPr>
      <w:r w:rsidRPr="005A3B7D">
        <w:rPr>
          <w:rStyle w:val="FootnoteReference"/>
        </w:rPr>
        <w:footnoteRef/>
      </w:r>
      <w:r w:rsidR="005A3B7D">
        <w:tab/>
      </w:r>
      <w:r>
        <w:t>1</w:t>
      </w:r>
      <w:r w:rsidRPr="001210DD">
        <w:t xml:space="preserve">8% </w:t>
      </w:r>
      <w:r>
        <w:t xml:space="preserve">of respondents </w:t>
      </w:r>
      <w:r w:rsidRPr="001210DD">
        <w:t>were neutral and 31% uncertain</w:t>
      </w:r>
      <w:r>
        <w:t xml:space="preserve"> (see Annex 2 of Impact Assessment)</w:t>
      </w:r>
    </w:p>
  </w:footnote>
  <w:footnote w:id="27">
    <w:p w14:paraId="423F93B7" w14:textId="77777777" w:rsidR="00E01E23" w:rsidRPr="001D4BB3" w:rsidRDefault="00E01E23" w:rsidP="00E01E23">
      <w:pPr>
        <w:pStyle w:val="FootnoteText"/>
      </w:pPr>
      <w:r w:rsidRPr="005A3B7D">
        <w:rPr>
          <w:rStyle w:val="FootnoteReference"/>
        </w:rPr>
        <w:footnoteRef/>
      </w:r>
      <w:r w:rsidR="005A3B7D">
        <w:tab/>
      </w:r>
      <w:r w:rsidRPr="001D4BB3">
        <w:t>25% of respondents were neutral and 32% uncertain (see Annex 2</w:t>
      </w:r>
      <w:r w:rsidR="00A750C1">
        <w:t xml:space="preserve"> of Impact Assessment</w:t>
      </w:r>
      <w:r w:rsidRPr="001D4BB3">
        <w:t>).</w:t>
      </w:r>
    </w:p>
  </w:footnote>
  <w:footnote w:id="28">
    <w:p w14:paraId="1C129EF0" w14:textId="77777777" w:rsidR="00E01E23" w:rsidRPr="001D4BB3" w:rsidRDefault="00E01E23" w:rsidP="00E01E23">
      <w:pPr>
        <w:pStyle w:val="FootnoteText"/>
      </w:pPr>
      <w:r w:rsidRPr="005A3B7D">
        <w:rPr>
          <w:rStyle w:val="FootnoteReference"/>
        </w:rPr>
        <w:footnoteRef/>
      </w:r>
      <w:r w:rsidR="005A3B7D">
        <w:tab/>
      </w:r>
      <w:r w:rsidRPr="00692629">
        <w:t>18% of respondents were neutral and 32% uncertain (see Annex 2</w:t>
      </w:r>
      <w:r w:rsidR="00A750C1">
        <w:t xml:space="preserve"> of Impact Assessment</w:t>
      </w:r>
      <w:r w:rsidRPr="00692629">
        <w:t>).</w:t>
      </w:r>
    </w:p>
  </w:footnote>
  <w:footnote w:id="29">
    <w:p w14:paraId="11680D4B" w14:textId="77777777" w:rsidR="00E01E23" w:rsidRPr="001D4BB3" w:rsidRDefault="00E01E23" w:rsidP="00E01E23">
      <w:pPr>
        <w:pStyle w:val="FootnoteText"/>
      </w:pPr>
      <w:r w:rsidRPr="005A3B7D">
        <w:rPr>
          <w:rStyle w:val="FootnoteReference"/>
        </w:rPr>
        <w:footnoteRef/>
      </w:r>
      <w:r w:rsidR="005A3B7D">
        <w:tab/>
      </w:r>
      <w:r w:rsidRPr="001D4BB3">
        <w:t>14% of respondents were neutral and 27% uncertain (see Annex 2</w:t>
      </w:r>
      <w:r w:rsidR="00A750C1">
        <w:t xml:space="preserve"> of Impact Assessment</w:t>
      </w:r>
      <w:r w:rsidRPr="001D4BB3">
        <w:t>).</w:t>
      </w:r>
    </w:p>
  </w:footnote>
  <w:footnote w:id="30">
    <w:p w14:paraId="5FD2C13F" w14:textId="77777777" w:rsidR="00B40014" w:rsidRPr="001D4BB3" w:rsidRDefault="00B40014" w:rsidP="00B40014">
      <w:pPr>
        <w:pStyle w:val="FootnoteText"/>
      </w:pPr>
      <w:r w:rsidRPr="005A3B7D">
        <w:rPr>
          <w:rStyle w:val="FootnoteReference"/>
        </w:rPr>
        <w:footnoteRef/>
      </w:r>
      <w:r w:rsidR="005A3B7D">
        <w:tab/>
      </w:r>
      <w:r w:rsidRPr="5B57A53C">
        <w:rPr>
          <w:rFonts w:eastAsia="Times New Roman"/>
        </w:rPr>
        <w:t>ENTSO</w:t>
      </w:r>
      <w:r w:rsidR="00F84A71" w:rsidRPr="5B57A53C">
        <w:rPr>
          <w:rFonts w:eastAsia="Times New Roman"/>
        </w:rPr>
        <w:t xml:space="preserve"> for Electricity</w:t>
      </w:r>
      <w:r w:rsidR="00F84A71" w:rsidRPr="001D4BB3" w:rsidDel="00F84A71">
        <w:t xml:space="preserve"> </w:t>
      </w:r>
      <w:r w:rsidRPr="001D4BB3">
        <w:t>TYNDP 2024 Infrastructure gaps report.</w:t>
      </w:r>
    </w:p>
  </w:footnote>
  <w:footnote w:id="31">
    <w:p w14:paraId="334C8746" w14:textId="77777777" w:rsidR="003E7EA6" w:rsidRDefault="003E7EA6">
      <w:pPr>
        <w:pStyle w:val="FootnoteText"/>
      </w:pPr>
      <w:r>
        <w:rPr>
          <w:rStyle w:val="FootnoteReference"/>
        </w:rPr>
        <w:footnoteRef/>
      </w:r>
      <w:r>
        <w:tab/>
        <w:t>OJ C , , p. .</w:t>
      </w:r>
    </w:p>
  </w:footnote>
  <w:footnote w:id="32">
    <w:p w14:paraId="19EE45CC" w14:textId="77777777" w:rsidR="003E7EA6" w:rsidRDefault="003E7EA6">
      <w:pPr>
        <w:pStyle w:val="FootnoteText"/>
      </w:pPr>
      <w:r>
        <w:rPr>
          <w:rStyle w:val="FootnoteReference"/>
        </w:rPr>
        <w:footnoteRef/>
      </w:r>
      <w:r>
        <w:tab/>
        <w:t>OJ C , , p. .</w:t>
      </w:r>
    </w:p>
  </w:footnote>
  <w:footnote w:id="33">
    <w:p w14:paraId="64F873E1" w14:textId="77777777" w:rsidR="00EF0A7C" w:rsidRPr="00D329F2" w:rsidRDefault="00EF0A7C" w:rsidP="00EF0A7C">
      <w:pPr>
        <w:pStyle w:val="FootnoteText"/>
      </w:pPr>
      <w:r w:rsidRPr="005A3B7D">
        <w:rPr>
          <w:rStyle w:val="FootnoteReference"/>
        </w:rPr>
        <w:footnoteRef/>
      </w:r>
      <w:r w:rsidR="005A3B7D">
        <w:tab/>
      </w:r>
      <w:r w:rsidRPr="00773C38">
        <w:rPr>
          <w:lang w:val="en-IE"/>
        </w:rPr>
        <w:t xml:space="preserve">Communication </w:t>
      </w:r>
      <w:r>
        <w:rPr>
          <w:lang w:val="en-IE"/>
        </w:rPr>
        <w:t>f</w:t>
      </w:r>
      <w:r w:rsidRPr="00773C38">
        <w:rPr>
          <w:lang w:val="en-IE"/>
        </w:rPr>
        <w:t xml:space="preserve">rom </w:t>
      </w:r>
      <w:r>
        <w:rPr>
          <w:lang w:val="en-IE"/>
        </w:rPr>
        <w:t>t</w:t>
      </w:r>
      <w:r w:rsidRPr="00773C38">
        <w:rPr>
          <w:lang w:val="en-IE"/>
        </w:rPr>
        <w:t xml:space="preserve">he Commission </w:t>
      </w:r>
      <w:r>
        <w:rPr>
          <w:lang w:val="en-IE"/>
        </w:rPr>
        <w:t>t</w:t>
      </w:r>
      <w:r w:rsidRPr="00773C38">
        <w:rPr>
          <w:lang w:val="en-IE"/>
        </w:rPr>
        <w:t xml:space="preserve">o </w:t>
      </w:r>
      <w:r>
        <w:rPr>
          <w:lang w:val="en-IE"/>
        </w:rPr>
        <w:t>t</w:t>
      </w:r>
      <w:r w:rsidRPr="00773C38">
        <w:rPr>
          <w:lang w:val="en-IE"/>
        </w:rPr>
        <w:t xml:space="preserve">he European Parliament, </w:t>
      </w:r>
      <w:r>
        <w:rPr>
          <w:lang w:val="en-IE"/>
        </w:rPr>
        <w:t>t</w:t>
      </w:r>
      <w:r w:rsidRPr="00773C38">
        <w:rPr>
          <w:lang w:val="en-IE"/>
        </w:rPr>
        <w:t xml:space="preserve">he Council, </w:t>
      </w:r>
      <w:r>
        <w:rPr>
          <w:lang w:val="en-IE"/>
        </w:rPr>
        <w:t>t</w:t>
      </w:r>
      <w:r w:rsidRPr="00773C38">
        <w:rPr>
          <w:lang w:val="en-IE"/>
        </w:rPr>
        <w:t xml:space="preserve">he European Economic </w:t>
      </w:r>
      <w:r>
        <w:rPr>
          <w:lang w:val="en-IE"/>
        </w:rPr>
        <w:t>a</w:t>
      </w:r>
      <w:r w:rsidRPr="00773C38">
        <w:rPr>
          <w:lang w:val="en-IE"/>
        </w:rPr>
        <w:t xml:space="preserve">nd Social Committee </w:t>
      </w:r>
      <w:r>
        <w:rPr>
          <w:lang w:val="en-IE"/>
        </w:rPr>
        <w:t>a</w:t>
      </w:r>
      <w:r w:rsidRPr="00773C38">
        <w:rPr>
          <w:lang w:val="en-IE"/>
        </w:rPr>
        <w:t xml:space="preserve">nd </w:t>
      </w:r>
      <w:r>
        <w:rPr>
          <w:lang w:val="en-IE"/>
        </w:rPr>
        <w:t>t</w:t>
      </w:r>
      <w:r w:rsidRPr="00773C38">
        <w:rPr>
          <w:lang w:val="en-IE"/>
        </w:rPr>
        <w:t xml:space="preserve">he Committee </w:t>
      </w:r>
      <w:r>
        <w:rPr>
          <w:lang w:val="en-IE"/>
        </w:rPr>
        <w:t>o</w:t>
      </w:r>
      <w:r w:rsidRPr="00773C38">
        <w:rPr>
          <w:lang w:val="en-IE"/>
        </w:rPr>
        <w:t xml:space="preserve">f </w:t>
      </w:r>
      <w:r>
        <w:rPr>
          <w:lang w:val="en-IE"/>
        </w:rPr>
        <w:t>t</w:t>
      </w:r>
      <w:r w:rsidRPr="00773C38">
        <w:rPr>
          <w:lang w:val="en-IE"/>
        </w:rPr>
        <w:t xml:space="preserve">he Regions </w:t>
      </w:r>
      <w:r w:rsidR="005A728E">
        <w:rPr>
          <w:lang w:val="en-IE"/>
        </w:rPr>
        <w:t>of 26 February</w:t>
      </w:r>
      <w:r w:rsidR="006B06D7">
        <w:rPr>
          <w:lang w:val="en-IE"/>
        </w:rPr>
        <w:t xml:space="preserve"> 2025,</w:t>
      </w:r>
      <w:r w:rsidRPr="00773C38">
        <w:rPr>
          <w:lang w:val="en-IE"/>
        </w:rPr>
        <w:t xml:space="preserve"> </w:t>
      </w:r>
      <w:r>
        <w:rPr>
          <w:lang w:val="en-IE"/>
        </w:rPr>
        <w:t>“</w:t>
      </w:r>
      <w:r w:rsidRPr="00013049">
        <w:rPr>
          <w:lang w:val="en-IE"/>
        </w:rPr>
        <w:t>The Clean Industrial Deal: A joint roadmap for competitiveness and decarbonisation</w:t>
      </w:r>
      <w:r>
        <w:rPr>
          <w:lang w:val="en-IE"/>
        </w:rPr>
        <w:t>”</w:t>
      </w:r>
      <w:r>
        <w:rPr>
          <w:b/>
          <w:bCs/>
          <w:lang w:val="en-IE"/>
        </w:rPr>
        <w:t xml:space="preserve"> (</w:t>
      </w:r>
      <w:r w:rsidRPr="00773C38">
        <w:rPr>
          <w:lang w:val="en-IE"/>
        </w:rPr>
        <w:t>COM</w:t>
      </w:r>
      <w:r>
        <w:rPr>
          <w:lang w:val="en-IE"/>
        </w:rPr>
        <w:t>(</w:t>
      </w:r>
      <w:r w:rsidRPr="00773C38">
        <w:rPr>
          <w:lang w:val="en-IE"/>
        </w:rPr>
        <w:t>2025</w:t>
      </w:r>
      <w:r>
        <w:rPr>
          <w:lang w:val="en-IE"/>
        </w:rPr>
        <w:t xml:space="preserve">) </w:t>
      </w:r>
      <w:r w:rsidRPr="00773C38">
        <w:rPr>
          <w:lang w:val="en-IE"/>
        </w:rPr>
        <w:t>85 final</w:t>
      </w:r>
      <w:r>
        <w:rPr>
          <w:lang w:val="en-IE"/>
        </w:rPr>
        <w:t>).</w:t>
      </w:r>
    </w:p>
  </w:footnote>
  <w:footnote w:id="34">
    <w:p w14:paraId="2A827799" w14:textId="77777777" w:rsidR="00CF2129" w:rsidRPr="00AE58B8" w:rsidRDefault="00CF2129">
      <w:pPr>
        <w:pStyle w:val="FootnoteText"/>
        <w:rPr>
          <w:lang w:val="en-IE"/>
        </w:rPr>
      </w:pPr>
      <w:r w:rsidRPr="0095738B">
        <w:rPr>
          <w:rStyle w:val="FootnoteReference"/>
        </w:rPr>
        <w:footnoteRef/>
      </w:r>
      <w:r w:rsidR="0095738B">
        <w:tab/>
      </w:r>
      <w:r w:rsidR="00F46E4C" w:rsidRPr="00773C38">
        <w:rPr>
          <w:lang w:val="en-IE"/>
        </w:rPr>
        <w:t xml:space="preserve">Communication </w:t>
      </w:r>
      <w:r w:rsidR="00F46E4C">
        <w:rPr>
          <w:lang w:val="en-IE"/>
        </w:rPr>
        <w:t>f</w:t>
      </w:r>
      <w:r w:rsidR="00F46E4C" w:rsidRPr="00773C38">
        <w:rPr>
          <w:lang w:val="en-IE"/>
        </w:rPr>
        <w:t xml:space="preserve">rom </w:t>
      </w:r>
      <w:r w:rsidR="00F46E4C">
        <w:rPr>
          <w:lang w:val="en-IE"/>
        </w:rPr>
        <w:t>t</w:t>
      </w:r>
      <w:r w:rsidR="00F46E4C" w:rsidRPr="00773C38">
        <w:rPr>
          <w:lang w:val="en-IE"/>
        </w:rPr>
        <w:t xml:space="preserve">he Commission </w:t>
      </w:r>
      <w:r w:rsidR="00F46E4C">
        <w:rPr>
          <w:lang w:val="en-IE"/>
        </w:rPr>
        <w:t>t</w:t>
      </w:r>
      <w:r w:rsidR="00F46E4C" w:rsidRPr="00773C38">
        <w:rPr>
          <w:lang w:val="en-IE"/>
        </w:rPr>
        <w:t xml:space="preserve">o </w:t>
      </w:r>
      <w:r w:rsidR="00F46E4C">
        <w:rPr>
          <w:lang w:val="en-IE"/>
        </w:rPr>
        <w:t>t</w:t>
      </w:r>
      <w:r w:rsidR="00F46E4C" w:rsidRPr="00773C38">
        <w:rPr>
          <w:lang w:val="en-IE"/>
        </w:rPr>
        <w:t xml:space="preserve">he European Parliament, </w:t>
      </w:r>
      <w:r w:rsidR="00F46E4C">
        <w:rPr>
          <w:lang w:val="en-IE"/>
        </w:rPr>
        <w:t>t</w:t>
      </w:r>
      <w:r w:rsidR="00F46E4C" w:rsidRPr="00773C38">
        <w:rPr>
          <w:lang w:val="en-IE"/>
        </w:rPr>
        <w:t xml:space="preserve">he Council, </w:t>
      </w:r>
      <w:r w:rsidR="00F46E4C">
        <w:rPr>
          <w:lang w:val="en-IE"/>
        </w:rPr>
        <w:t>t</w:t>
      </w:r>
      <w:r w:rsidR="00F46E4C" w:rsidRPr="00773C38">
        <w:rPr>
          <w:lang w:val="en-IE"/>
        </w:rPr>
        <w:t xml:space="preserve">he European Economic </w:t>
      </w:r>
      <w:r w:rsidR="00F46E4C">
        <w:rPr>
          <w:lang w:val="en-IE"/>
        </w:rPr>
        <w:t>a</w:t>
      </w:r>
      <w:r w:rsidR="00F46E4C" w:rsidRPr="00773C38">
        <w:rPr>
          <w:lang w:val="en-IE"/>
        </w:rPr>
        <w:t xml:space="preserve">nd Social Committee </w:t>
      </w:r>
      <w:r w:rsidR="00F46E4C">
        <w:rPr>
          <w:lang w:val="en-IE"/>
        </w:rPr>
        <w:t>a</w:t>
      </w:r>
      <w:r w:rsidR="00F46E4C" w:rsidRPr="00773C38">
        <w:rPr>
          <w:lang w:val="en-IE"/>
        </w:rPr>
        <w:t xml:space="preserve">nd </w:t>
      </w:r>
      <w:r w:rsidR="00F46E4C">
        <w:rPr>
          <w:lang w:val="en-IE"/>
        </w:rPr>
        <w:t>t</w:t>
      </w:r>
      <w:r w:rsidR="00F46E4C" w:rsidRPr="00773C38">
        <w:rPr>
          <w:lang w:val="en-IE"/>
        </w:rPr>
        <w:t xml:space="preserve">he Committee </w:t>
      </w:r>
      <w:r w:rsidR="00F46E4C">
        <w:rPr>
          <w:lang w:val="en-IE"/>
        </w:rPr>
        <w:t>o</w:t>
      </w:r>
      <w:r w:rsidR="00F46E4C" w:rsidRPr="00773C38">
        <w:rPr>
          <w:lang w:val="en-IE"/>
        </w:rPr>
        <w:t xml:space="preserve">f </w:t>
      </w:r>
      <w:r w:rsidR="00F46E4C">
        <w:rPr>
          <w:lang w:val="en-IE"/>
        </w:rPr>
        <w:t>t</w:t>
      </w:r>
      <w:r w:rsidR="00F46E4C" w:rsidRPr="00773C38">
        <w:rPr>
          <w:lang w:val="en-IE"/>
        </w:rPr>
        <w:t>he Regions</w:t>
      </w:r>
      <w:r w:rsidR="00F46E4C">
        <w:rPr>
          <w:lang w:val="en-IE"/>
        </w:rPr>
        <w:t xml:space="preserve"> of </w:t>
      </w:r>
      <w:r w:rsidR="004E12E7">
        <w:rPr>
          <w:lang w:val="en-IE"/>
        </w:rPr>
        <w:t>26 February 2025: “</w:t>
      </w:r>
      <w:r w:rsidR="00F521CA" w:rsidRPr="00F521CA">
        <w:rPr>
          <w:lang w:val="en-IE"/>
        </w:rPr>
        <w:t>Action Plan for Affordable Energy</w:t>
      </w:r>
      <w:r w:rsidR="00C43C46">
        <w:rPr>
          <w:lang w:val="en-IE"/>
        </w:rPr>
        <w:t xml:space="preserve"> </w:t>
      </w:r>
      <w:r w:rsidR="00C43C46">
        <w:rPr>
          <w:szCs w:val="18"/>
        </w:rPr>
        <w:t xml:space="preserve">- </w:t>
      </w:r>
      <w:r w:rsidR="00C43C46" w:rsidRPr="006C1F4F">
        <w:rPr>
          <w:szCs w:val="18"/>
        </w:rPr>
        <w:t>Unlocking the true value of our Energy Union to secure affordable, efficient and clean energy for all Europeans</w:t>
      </w:r>
      <w:r w:rsidR="00F521CA">
        <w:rPr>
          <w:lang w:val="en-IE"/>
        </w:rPr>
        <w:t xml:space="preserve">”, </w:t>
      </w:r>
      <w:r w:rsidR="006E3D9C" w:rsidRPr="006E3D9C">
        <w:rPr>
          <w:lang w:val="en-IE"/>
        </w:rPr>
        <w:t>COM(2025) 79 final</w:t>
      </w:r>
      <w:r w:rsidR="006E3D9C">
        <w:rPr>
          <w:lang w:val="en-IE"/>
        </w:rPr>
        <w:t>.</w:t>
      </w:r>
    </w:p>
  </w:footnote>
  <w:footnote w:id="35">
    <w:p w14:paraId="6A3301E5" w14:textId="77777777" w:rsidR="00C84F72" w:rsidRPr="00CD153D" w:rsidRDefault="00C84F72" w:rsidP="00C84F72">
      <w:pPr>
        <w:pStyle w:val="FootnoteText"/>
      </w:pPr>
      <w:r w:rsidRPr="005A3B7D">
        <w:rPr>
          <w:rStyle w:val="FootnoteReference"/>
        </w:rPr>
        <w:footnoteRef/>
      </w:r>
      <w:r w:rsidR="005A3B7D">
        <w:tab/>
      </w:r>
      <w:r>
        <w:t xml:space="preserve">Communication from the Commission to the European Parliament, the European Council, the Council, the European Economic and Social Committee and the Committee of the Regions </w:t>
      </w:r>
      <w:r w:rsidR="006B06D7">
        <w:t>of</w:t>
      </w:r>
      <w:r w:rsidR="003F2A10">
        <w:t xml:space="preserve"> 29 January</w:t>
      </w:r>
      <w:r>
        <w:t xml:space="preserve"> </w:t>
      </w:r>
      <w:r w:rsidR="00E514DD">
        <w:t>2025,</w:t>
      </w:r>
      <w:r>
        <w:t xml:space="preserve"> “A Competitiveness Compass for the EU” (COM(2025) 30 final).</w:t>
      </w:r>
    </w:p>
  </w:footnote>
  <w:footnote w:id="36">
    <w:p w14:paraId="41DC9BD0" w14:textId="77777777" w:rsidR="00962103" w:rsidRPr="00AF5ED5" w:rsidRDefault="00962103" w:rsidP="00962103">
      <w:pPr>
        <w:pStyle w:val="FootnoteText"/>
      </w:pPr>
      <w:r w:rsidRPr="005A3B7D">
        <w:rPr>
          <w:rStyle w:val="FootnoteReference"/>
        </w:rPr>
        <w:footnoteRef/>
      </w:r>
      <w:r w:rsidR="005A3B7D">
        <w:tab/>
      </w:r>
      <w:r w:rsidRPr="009F7112">
        <w:t xml:space="preserve">Regulation (EU) 2021/1119 </w:t>
      </w:r>
      <w:r w:rsidRPr="009F7112">
        <w:rPr>
          <w:shd w:val="clear" w:color="auto" w:fill="FFFFFF"/>
        </w:rPr>
        <w:t xml:space="preserve">of the European Parliament and of the Council of 30 June 2021 </w:t>
      </w:r>
      <w:r w:rsidRPr="009F7112">
        <w:t xml:space="preserve">establishing the framework for achieving climate neutrality and amending Regulations (EC) No 401/2009 and (EU) 2018/1999 </w:t>
      </w:r>
      <w:r w:rsidRPr="009F7112">
        <w:rPr>
          <w:shd w:val="clear" w:color="auto" w:fill="FFFFFF"/>
        </w:rPr>
        <w:t>(‘European Climate Law’)</w:t>
      </w:r>
      <w:r w:rsidRPr="009F7112">
        <w:t xml:space="preserve"> (OJ L 243, 9.7.2021, p. 1, </w:t>
      </w:r>
      <w:r w:rsidRPr="009F7112">
        <w:rPr>
          <w:shd w:val="clear" w:color="auto" w:fill="FFFFFF"/>
        </w:rPr>
        <w:t>ELI: </w:t>
      </w:r>
      <w:hyperlink r:id="rId5" w:tooltip="Gives access to this document through its ELI URI." w:history="1">
        <w:r w:rsidRPr="009F7112">
          <w:rPr>
            <w:u w:val="single"/>
            <w:shd w:val="clear" w:color="auto" w:fill="FFFFFF"/>
          </w:rPr>
          <w:t>http://data.europa.eu/eli/reg/2021/1119/oj</w:t>
        </w:r>
      </w:hyperlink>
      <w:r w:rsidRPr="009F7112">
        <w:t>)</w:t>
      </w:r>
      <w:r w:rsidRPr="009F7112">
        <w:rPr>
          <w:shd w:val="clear" w:color="auto" w:fill="FFFFFF"/>
        </w:rPr>
        <w:t>.</w:t>
      </w:r>
    </w:p>
  </w:footnote>
  <w:footnote w:id="37">
    <w:p w14:paraId="47524A70" w14:textId="77777777" w:rsidR="007268F6" w:rsidRPr="007268F6" w:rsidRDefault="007268F6">
      <w:pPr>
        <w:pStyle w:val="FootnoteText"/>
        <w:rPr>
          <w:lang w:val="en-IE"/>
        </w:rPr>
      </w:pPr>
      <w:r w:rsidRPr="005A3B7D">
        <w:rPr>
          <w:rStyle w:val="FootnoteReference"/>
        </w:rPr>
        <w:footnoteRef/>
      </w:r>
      <w:r w:rsidR="005A3B7D">
        <w:tab/>
      </w:r>
      <w:r w:rsidRPr="007268F6">
        <w:t>Directive (EU) 2023/2413 of 18 October 2023 amending Directive (EU) 2018/2001, Regulation (EU) 2018/1999 and Directive 98/70/EC as regards the promotion of energy from renewable sources, and repealing Council Directive (EU) 2015/652</w:t>
      </w:r>
      <w:r w:rsidR="001F33D5" w:rsidRPr="001F33D5">
        <w:t xml:space="preserve"> (</w:t>
      </w:r>
      <w:r w:rsidR="001F33D5" w:rsidRPr="001F33D5">
        <w:rPr>
          <w:iCs/>
        </w:rPr>
        <w:t>OJ L, 2023/2413, 31.10.2023</w:t>
      </w:r>
      <w:r w:rsidR="0035228A">
        <w:rPr>
          <w:iCs/>
        </w:rPr>
        <w:t>,</w:t>
      </w:r>
      <w:r w:rsidR="0035228A" w:rsidRPr="00981A11">
        <w:rPr>
          <w:shd w:val="clear" w:color="auto" w:fill="FFFFFF"/>
        </w:rPr>
        <w:t xml:space="preserve"> ELI: </w:t>
      </w:r>
      <w:hyperlink r:id="rId6" w:tooltip="Gives access to this document through its ELI URI." w:history="1">
        <w:r w:rsidR="0035228A" w:rsidRPr="00981A11">
          <w:rPr>
            <w:u w:val="single"/>
            <w:shd w:val="clear" w:color="auto" w:fill="FFFFFF"/>
          </w:rPr>
          <w:t>http://data.europa.eu/eli/dir/2023/2413/oj</w:t>
        </w:r>
      </w:hyperlink>
      <w:r w:rsidR="001F33D5" w:rsidRPr="001F33D5">
        <w:rPr>
          <w:iCs/>
        </w:rPr>
        <w:t>)</w:t>
      </w:r>
      <w:r w:rsidR="0035228A">
        <w:rPr>
          <w:iCs/>
        </w:rPr>
        <w:t>.</w:t>
      </w:r>
    </w:p>
  </w:footnote>
  <w:footnote w:id="38">
    <w:p w14:paraId="3AFE764A" w14:textId="77777777" w:rsidR="00B508E8" w:rsidRPr="00AC636F" w:rsidRDefault="00B508E8">
      <w:pPr>
        <w:pStyle w:val="FootnoteText"/>
        <w:rPr>
          <w:lang w:val="en-IE"/>
        </w:rPr>
      </w:pPr>
      <w:r w:rsidRPr="005A3B7D">
        <w:rPr>
          <w:rStyle w:val="FootnoteReference"/>
        </w:rPr>
        <w:footnoteRef/>
      </w:r>
      <w:r w:rsidR="005A3B7D">
        <w:tab/>
      </w:r>
      <w:r w:rsidRPr="00B508E8">
        <w:t xml:space="preserve">Directive (EU) 2023/1791 of the European Parliament and of the Council of 13 September 2023 on energy </w:t>
      </w:r>
      <w:r w:rsidRPr="00AC636F">
        <w:t xml:space="preserve">efficiency and amending Regulation (EU) 2023/955 </w:t>
      </w:r>
      <w:r w:rsidR="00D666D8" w:rsidRPr="00AC636F">
        <w:t>(</w:t>
      </w:r>
      <w:r w:rsidR="004D035D" w:rsidRPr="00AC636F">
        <w:rPr>
          <w:iCs/>
        </w:rPr>
        <w:t>OJ L 231, 20.9.2023, p</w:t>
      </w:r>
      <w:r w:rsidR="00D666D8" w:rsidRPr="00AC636F">
        <w:rPr>
          <w:iCs/>
        </w:rPr>
        <w:t>.1</w:t>
      </w:r>
      <w:r w:rsidR="00557AEC">
        <w:rPr>
          <w:iCs/>
        </w:rPr>
        <w:t xml:space="preserve">, </w:t>
      </w:r>
      <w:r w:rsidR="00557AEC" w:rsidRPr="00981A11">
        <w:rPr>
          <w:shd w:val="clear" w:color="auto" w:fill="FFFFFF"/>
        </w:rPr>
        <w:t>ELI: </w:t>
      </w:r>
      <w:hyperlink r:id="rId7" w:tooltip="Gives access to this document through its ELI URI." w:history="1">
        <w:r w:rsidR="00557AEC" w:rsidRPr="00981A11">
          <w:rPr>
            <w:u w:val="single"/>
            <w:shd w:val="clear" w:color="auto" w:fill="FFFFFF"/>
          </w:rPr>
          <w:t>http://data.europa.eu/eli/dir/2023/1791/oj</w:t>
        </w:r>
      </w:hyperlink>
      <w:r w:rsidR="00D666D8" w:rsidRPr="00AC636F">
        <w:t>)</w:t>
      </w:r>
      <w:r w:rsidR="00557AEC">
        <w:t>.</w:t>
      </w:r>
    </w:p>
  </w:footnote>
  <w:footnote w:id="39">
    <w:p w14:paraId="4F0CD949" w14:textId="77777777" w:rsidR="00014137" w:rsidRPr="00AE58B8" w:rsidRDefault="00014137">
      <w:pPr>
        <w:pStyle w:val="FootnoteText"/>
        <w:rPr>
          <w:lang w:val="en-IE"/>
        </w:rPr>
      </w:pPr>
      <w:r w:rsidRPr="0095738B">
        <w:rPr>
          <w:rStyle w:val="FootnoteReference"/>
        </w:rPr>
        <w:footnoteRef/>
      </w:r>
      <w:r w:rsidR="0095738B">
        <w:tab/>
      </w:r>
      <w:r w:rsidRPr="00AE58B8">
        <w:rPr>
          <w:shd w:val="clear" w:color="auto" w:fill="FFFFFF"/>
        </w:rPr>
        <w:t xml:space="preserve">COM(2025) 524 final </w:t>
      </w:r>
      <w:r w:rsidRPr="00014137">
        <w:rPr>
          <w:rFonts w:eastAsia="Times New Roman"/>
        </w:rPr>
        <w:t>of 2 July 2025.</w:t>
      </w:r>
    </w:p>
  </w:footnote>
  <w:footnote w:id="40">
    <w:p w14:paraId="3AF8AEA5" w14:textId="3324F3DE" w:rsidR="00600FE2" w:rsidRPr="00F93C2B" w:rsidRDefault="00600FE2" w:rsidP="00F93C2B">
      <w:pPr>
        <w:pStyle w:val="FootnoteText"/>
        <w:rPr>
          <w:rFonts w:eastAsia="Times New Roman"/>
        </w:rPr>
      </w:pPr>
      <w:r w:rsidRPr="00C574B5">
        <w:rPr>
          <w:rStyle w:val="FootnoteReference"/>
        </w:rPr>
        <w:footnoteRef/>
      </w:r>
      <w:r w:rsidR="00C574B5">
        <w:tab/>
      </w:r>
      <w:r w:rsidRPr="001D4BB3">
        <w:t>ACER (2024): Electricity infrastructure development to support a competitive and sustainable energy</w:t>
      </w:r>
      <w:r w:rsidR="00F93C2B">
        <w:t xml:space="preserve"> system (2024 Monitoring Report)</w:t>
      </w:r>
    </w:p>
  </w:footnote>
  <w:footnote w:id="41">
    <w:p w14:paraId="7150C3B5" w14:textId="354F02A3" w:rsidR="00600FE2" w:rsidRPr="008D2D9F" w:rsidRDefault="00600FE2">
      <w:pPr>
        <w:pStyle w:val="FootnoteText"/>
        <w:rPr>
          <w:lang w:val="en-IE"/>
        </w:rPr>
      </w:pPr>
      <w:r w:rsidRPr="00C574B5">
        <w:rPr>
          <w:rStyle w:val="FootnoteReference"/>
        </w:rPr>
        <w:footnoteRef/>
      </w:r>
      <w:r w:rsidR="00C574B5">
        <w:tab/>
      </w:r>
      <w:r w:rsidRPr="008D2D9F">
        <w:rPr>
          <w:lang w:val="en-IE"/>
        </w:rPr>
        <w:t xml:space="preserve">ENTSO-E (2025), TYNDP 2024. </w:t>
      </w:r>
      <w:r w:rsidRPr="001D4BB3">
        <w:t>Opportunities for a more efficient European power system by 2050. Infrastructure Gaps Report.</w:t>
      </w:r>
    </w:p>
  </w:footnote>
  <w:footnote w:id="42">
    <w:p w14:paraId="4270F9CE" w14:textId="77777777" w:rsidR="00265C4C" w:rsidRPr="00265C4C" w:rsidRDefault="00265C4C">
      <w:pPr>
        <w:pStyle w:val="FootnoteText"/>
      </w:pPr>
      <w:r w:rsidRPr="005A3B7D">
        <w:rPr>
          <w:rStyle w:val="FootnoteReference"/>
        </w:rPr>
        <w:footnoteRef/>
      </w:r>
      <w:r w:rsidR="005A3B7D">
        <w:tab/>
      </w:r>
      <w:r>
        <w:t>M. Draghi (2025):</w:t>
      </w:r>
      <w:r w:rsidRPr="00265C4C">
        <w:t xml:space="preserve"> “The future of European competitiveness”</w:t>
      </w:r>
      <w:r>
        <w:t>.</w:t>
      </w:r>
    </w:p>
  </w:footnote>
  <w:footnote w:id="43">
    <w:p w14:paraId="032C21D7" w14:textId="77777777" w:rsidR="00C9042C" w:rsidRPr="00AE58B8" w:rsidRDefault="00C9042C">
      <w:pPr>
        <w:pStyle w:val="FootnoteText"/>
        <w:rPr>
          <w:lang w:val="en-IE"/>
        </w:rPr>
      </w:pPr>
      <w:r w:rsidRPr="0095738B">
        <w:rPr>
          <w:rStyle w:val="FootnoteReference"/>
        </w:rPr>
        <w:footnoteRef/>
      </w:r>
      <w:r w:rsidR="0095738B">
        <w:rPr>
          <w:lang w:val="en-IE"/>
        </w:rPr>
        <w:tab/>
      </w:r>
      <w:r w:rsidR="00D21BC2" w:rsidRPr="006C1F4F">
        <w:rPr>
          <w:szCs w:val="18"/>
        </w:rPr>
        <w:t xml:space="preserve">Communication </w:t>
      </w:r>
      <w:r w:rsidR="00D21BC2">
        <w:rPr>
          <w:szCs w:val="18"/>
        </w:rPr>
        <w:t>f</w:t>
      </w:r>
      <w:r w:rsidR="00D21BC2" w:rsidRPr="006C1F4F">
        <w:rPr>
          <w:szCs w:val="18"/>
        </w:rPr>
        <w:t xml:space="preserve">rom the Commission to the European Parliament, the Council, the European Economic and Social Committee and the Committee of the Regions </w:t>
      </w:r>
      <w:r w:rsidR="00D21BC2">
        <w:rPr>
          <w:szCs w:val="18"/>
        </w:rPr>
        <w:t>of 26 February 2025</w:t>
      </w:r>
      <w:r w:rsidR="00EB746E">
        <w:rPr>
          <w:szCs w:val="18"/>
        </w:rPr>
        <w:t>, “</w:t>
      </w:r>
      <w:r w:rsidR="00EB746E" w:rsidRPr="00EB746E">
        <w:rPr>
          <w:szCs w:val="18"/>
        </w:rPr>
        <w:t>The Clean Industrial Deal: A joint roadmap for competitiveness and decarbonisation</w:t>
      </w:r>
      <w:r w:rsidR="00EB746E">
        <w:rPr>
          <w:szCs w:val="18"/>
        </w:rPr>
        <w:t xml:space="preserve">”, </w:t>
      </w:r>
      <w:r w:rsidR="005A35CC" w:rsidRPr="005A35CC">
        <w:rPr>
          <w:szCs w:val="18"/>
        </w:rPr>
        <w:t>COM(2025) 85 final</w:t>
      </w:r>
      <w:r w:rsidR="005A35CC">
        <w:rPr>
          <w:szCs w:val="18"/>
        </w:rPr>
        <w:t>.</w:t>
      </w:r>
    </w:p>
  </w:footnote>
  <w:footnote w:id="44">
    <w:p w14:paraId="4F1AEBF4" w14:textId="77777777" w:rsidR="00273863" w:rsidRPr="00AE58B8" w:rsidRDefault="00273863">
      <w:pPr>
        <w:pStyle w:val="FootnoteText"/>
        <w:rPr>
          <w:lang w:val="en-IE"/>
        </w:rPr>
      </w:pPr>
      <w:r w:rsidRPr="0095738B">
        <w:rPr>
          <w:rStyle w:val="FootnoteReference"/>
        </w:rPr>
        <w:footnoteRef/>
      </w:r>
      <w:r w:rsidR="0095738B">
        <w:tab/>
      </w:r>
      <w:r w:rsidRPr="006C1F4F">
        <w:rPr>
          <w:szCs w:val="18"/>
        </w:rPr>
        <w:t xml:space="preserve">Communication </w:t>
      </w:r>
      <w:r>
        <w:rPr>
          <w:szCs w:val="18"/>
        </w:rPr>
        <w:t>f</w:t>
      </w:r>
      <w:r w:rsidRPr="006C1F4F">
        <w:rPr>
          <w:szCs w:val="18"/>
        </w:rPr>
        <w:t xml:space="preserve">rom the Commission to the European Parliament, the Council, the European Economic and Social Committee and the Committee of the Regions </w:t>
      </w:r>
      <w:r w:rsidR="005E5567">
        <w:rPr>
          <w:szCs w:val="18"/>
        </w:rPr>
        <w:t>of</w:t>
      </w:r>
      <w:r>
        <w:rPr>
          <w:szCs w:val="18"/>
        </w:rPr>
        <w:t xml:space="preserve"> </w:t>
      </w:r>
      <w:r w:rsidR="005E5567">
        <w:t>26 February 2025,</w:t>
      </w:r>
      <w:r w:rsidR="005E5567">
        <w:rPr>
          <w:szCs w:val="18"/>
        </w:rPr>
        <w:t xml:space="preserve"> </w:t>
      </w:r>
      <w:r w:rsidR="000A73BA">
        <w:rPr>
          <w:szCs w:val="18"/>
        </w:rPr>
        <w:t>“</w:t>
      </w:r>
      <w:r w:rsidRPr="006C1F4F">
        <w:rPr>
          <w:szCs w:val="18"/>
        </w:rPr>
        <w:t xml:space="preserve">Action Plan for Affordable Energy </w:t>
      </w:r>
      <w:r>
        <w:rPr>
          <w:szCs w:val="18"/>
        </w:rPr>
        <w:t xml:space="preserve">- </w:t>
      </w:r>
      <w:r w:rsidRPr="006C1F4F">
        <w:rPr>
          <w:szCs w:val="18"/>
        </w:rPr>
        <w:t>Unlocking the true value of our Energy Union to secure affordable, efficient and clean energy for all Europeans</w:t>
      </w:r>
      <w:r w:rsidR="000A73BA">
        <w:rPr>
          <w:szCs w:val="18"/>
        </w:rPr>
        <w:t>”</w:t>
      </w:r>
      <w:r w:rsidRPr="006C1F4F">
        <w:rPr>
          <w:szCs w:val="18"/>
        </w:rPr>
        <w:t xml:space="preserve"> </w:t>
      </w:r>
      <w:r>
        <w:rPr>
          <w:szCs w:val="18"/>
        </w:rPr>
        <w:t>(</w:t>
      </w:r>
      <w:r w:rsidRPr="006C1F4F">
        <w:rPr>
          <w:szCs w:val="18"/>
        </w:rPr>
        <w:t>COM</w:t>
      </w:r>
      <w:r w:rsidR="007A4280">
        <w:rPr>
          <w:szCs w:val="18"/>
        </w:rPr>
        <w:t>(</w:t>
      </w:r>
      <w:r w:rsidRPr="006C1F4F">
        <w:rPr>
          <w:szCs w:val="18"/>
        </w:rPr>
        <w:t>2025</w:t>
      </w:r>
      <w:r w:rsidR="007A4280">
        <w:rPr>
          <w:szCs w:val="18"/>
        </w:rPr>
        <w:t xml:space="preserve">) </w:t>
      </w:r>
      <w:r w:rsidRPr="006C1F4F">
        <w:rPr>
          <w:szCs w:val="18"/>
        </w:rPr>
        <w:t>79 final</w:t>
      </w:r>
      <w:r>
        <w:rPr>
          <w:szCs w:val="18"/>
        </w:rPr>
        <w:t>).</w:t>
      </w:r>
    </w:p>
  </w:footnote>
  <w:footnote w:id="45">
    <w:p w14:paraId="56DAC7FB" w14:textId="77777777" w:rsidR="00302762" w:rsidRPr="00302762" w:rsidRDefault="00302762">
      <w:pPr>
        <w:pStyle w:val="FootnoteText"/>
      </w:pPr>
      <w:r w:rsidRPr="005A3B7D">
        <w:rPr>
          <w:rStyle w:val="FootnoteReference"/>
        </w:rPr>
        <w:footnoteRef/>
      </w:r>
      <w:r w:rsidR="005A3B7D">
        <w:tab/>
      </w:r>
      <w:r w:rsidR="00F5434C" w:rsidRPr="00AC636F">
        <w:t>Regulation (EU) 2022/869 of the European Parliament and of the Council of 30 May 2022 on guidelines for trans-European</w:t>
      </w:r>
      <w:r w:rsidR="00F5434C" w:rsidRPr="00F5434C">
        <w:t xml:space="preserve"> energy infrastructure, amending Regulations (EC) No 715/2009, (EU) 2019/942 and (EU) 2019/943 and Directives 2009/73/EC and (EU) 2019/944, and repealing Regulation (EU) No 347/2013</w:t>
      </w:r>
      <w:r w:rsidR="0013300E">
        <w:t xml:space="preserve"> (</w:t>
      </w:r>
      <w:r w:rsidR="0013300E" w:rsidRPr="001D2255">
        <w:t>OJ L 152, 3.6.2022, p. 45</w:t>
      </w:r>
      <w:r w:rsidR="00B503C5" w:rsidRPr="00120067">
        <w:t xml:space="preserve">, </w:t>
      </w:r>
      <w:r w:rsidR="00B503C5" w:rsidRPr="00981A11">
        <w:rPr>
          <w:shd w:val="clear" w:color="auto" w:fill="FFFFFF"/>
        </w:rPr>
        <w:t>ELI: </w:t>
      </w:r>
      <w:hyperlink r:id="rId8" w:tooltip="Gives access to this document through its ELI URI." w:history="1">
        <w:r w:rsidR="00B503C5" w:rsidRPr="00981A11">
          <w:rPr>
            <w:u w:val="single"/>
            <w:shd w:val="clear" w:color="auto" w:fill="FFFFFF"/>
          </w:rPr>
          <w:t>http://data.europa.eu/eli/reg/2022/869/oj</w:t>
        </w:r>
      </w:hyperlink>
      <w:r w:rsidR="0013300E" w:rsidRPr="001D2255">
        <w:t>)</w:t>
      </w:r>
      <w:r w:rsidR="00B503C5">
        <w:t>.</w:t>
      </w:r>
    </w:p>
  </w:footnote>
  <w:footnote w:id="46">
    <w:p w14:paraId="2236DEF2" w14:textId="77777777" w:rsidR="00FC736E" w:rsidRPr="00AC636F" w:rsidRDefault="00FC736E" w:rsidP="007E726A">
      <w:pPr>
        <w:pStyle w:val="FootnoteText"/>
      </w:pPr>
      <w:r w:rsidRPr="005A3B7D">
        <w:rPr>
          <w:rStyle w:val="FootnoteReference"/>
        </w:rPr>
        <w:footnoteRef/>
      </w:r>
      <w:r w:rsidR="005A3B7D">
        <w:tab/>
      </w:r>
      <w:r w:rsidRPr="00AC636F">
        <w:t>Directive EU) 2022/2557 of the European Parliament and of the Council of 14 December 2022 on the resilience of critical entities and repealing Council Directive 2008/114/EC</w:t>
      </w:r>
      <w:r w:rsidR="007A74D3" w:rsidRPr="00AC636F">
        <w:t xml:space="preserve"> </w:t>
      </w:r>
      <w:r w:rsidR="00076D62" w:rsidRPr="00AC636F">
        <w:t>(OJ L 333, 27.12.2022, p. 164</w:t>
      </w:r>
      <w:r w:rsidR="00444F75">
        <w:t xml:space="preserve">, </w:t>
      </w:r>
      <w:r w:rsidR="00444F75" w:rsidRPr="00981A11">
        <w:rPr>
          <w:rFonts w:eastAsia="Times New Roman"/>
          <w:lang w:val="en" w:eastAsia="en-IE"/>
        </w:rPr>
        <w:t>ELI: </w:t>
      </w:r>
      <w:hyperlink r:id="rId9" w:tooltip="Gives access to this document through its ELI URI." w:history="1">
        <w:r w:rsidR="00444F75" w:rsidRPr="00981A11">
          <w:rPr>
            <w:rFonts w:eastAsia="Times New Roman"/>
            <w:u w:val="single"/>
            <w:lang w:val="en" w:eastAsia="en-IE"/>
          </w:rPr>
          <w:t>http://data.europa.eu/eli/dir/2022/2557/oj</w:t>
        </w:r>
      </w:hyperlink>
      <w:r w:rsidR="00076D62" w:rsidRPr="00AC636F">
        <w:t>)</w:t>
      </w:r>
      <w:r w:rsidR="00444F75">
        <w:t>.</w:t>
      </w:r>
    </w:p>
  </w:footnote>
  <w:footnote w:id="47">
    <w:p w14:paraId="2E13BFEF" w14:textId="77777777" w:rsidR="009725D9" w:rsidRPr="00AC636F" w:rsidRDefault="009725D9">
      <w:pPr>
        <w:pStyle w:val="FootnoteText"/>
        <w:rPr>
          <w:lang w:val="en-IE"/>
        </w:rPr>
      </w:pPr>
      <w:r w:rsidRPr="005A3B7D">
        <w:rPr>
          <w:rStyle w:val="FootnoteReference"/>
        </w:rPr>
        <w:footnoteRef/>
      </w:r>
      <w:r w:rsidR="005A3B7D">
        <w:tab/>
      </w:r>
      <w:r w:rsidR="008C69C6" w:rsidRPr="00AC636F">
        <w:rPr>
          <w:lang w:val="en-IE"/>
        </w:rPr>
        <w:t xml:space="preserve">Regulation (EU) 2019/943 of the European Parliament and of the Council of 5 June 2019 on the internal market for electricity </w:t>
      </w:r>
      <w:r w:rsidR="00CB0EAE" w:rsidRPr="00AC636F">
        <w:rPr>
          <w:lang w:val="en-IE"/>
        </w:rPr>
        <w:t>(</w:t>
      </w:r>
      <w:r w:rsidR="00BC4A87" w:rsidRPr="00AC636F">
        <w:t>OJ L 158, 14.6.2019, p. 54</w:t>
      </w:r>
      <w:r w:rsidR="00384623">
        <w:t xml:space="preserve">, </w:t>
      </w:r>
      <w:r w:rsidR="00384623" w:rsidRPr="00981A11">
        <w:rPr>
          <w:shd w:val="clear" w:color="auto" w:fill="FFFFFF"/>
        </w:rPr>
        <w:t>ELI: </w:t>
      </w:r>
      <w:hyperlink r:id="rId10" w:tooltip="Gives access to this document through its ELI URI." w:history="1">
        <w:r w:rsidR="00384623" w:rsidRPr="00981A11">
          <w:rPr>
            <w:u w:val="single"/>
            <w:shd w:val="clear" w:color="auto" w:fill="FFFFFF"/>
          </w:rPr>
          <w:t>http://data.europa.eu/eli/reg/2019/943/oj</w:t>
        </w:r>
      </w:hyperlink>
      <w:r w:rsidR="00BC4A87" w:rsidRPr="00AC636F">
        <w:t>)</w:t>
      </w:r>
      <w:r w:rsidR="00384623">
        <w:t>.</w:t>
      </w:r>
    </w:p>
  </w:footnote>
  <w:footnote w:id="48">
    <w:p w14:paraId="46B6FB61" w14:textId="77777777" w:rsidR="009725D9" w:rsidRPr="009725D9" w:rsidRDefault="009725D9">
      <w:pPr>
        <w:pStyle w:val="FootnoteText"/>
        <w:rPr>
          <w:lang w:val="en-IE"/>
        </w:rPr>
      </w:pPr>
      <w:r w:rsidRPr="005A3B7D">
        <w:rPr>
          <w:rStyle w:val="FootnoteReference"/>
        </w:rPr>
        <w:footnoteRef/>
      </w:r>
      <w:r w:rsidR="005A3B7D">
        <w:tab/>
      </w:r>
      <w:r w:rsidR="001F6BF0" w:rsidRPr="00AC636F">
        <w:rPr>
          <w:lang w:val="en-IE"/>
        </w:rPr>
        <w:t>Regulation (EU) 2019/941 of the European Parliament and of the Council of 5 June 2019 on risk-preparedness in the electricity sector</w:t>
      </w:r>
      <w:r w:rsidR="001F6BF0" w:rsidRPr="001F6BF0">
        <w:rPr>
          <w:lang w:val="en-IE"/>
        </w:rPr>
        <w:t xml:space="preserve"> and repealing Directive 2005/89/EC</w:t>
      </w:r>
      <w:r w:rsidR="00944B20">
        <w:rPr>
          <w:lang w:val="en-IE"/>
        </w:rPr>
        <w:t xml:space="preserve"> (</w:t>
      </w:r>
      <w:r w:rsidR="00944B20" w:rsidRPr="00944B20">
        <w:rPr>
          <w:lang w:val="en-IE"/>
        </w:rPr>
        <w:t>OJ L 158, 14.6.2019, p. 1</w:t>
      </w:r>
      <w:r w:rsidR="00ED72D8">
        <w:rPr>
          <w:lang w:val="en-IE"/>
        </w:rPr>
        <w:t>,</w:t>
      </w:r>
      <w:r w:rsidR="00ED72D8" w:rsidRPr="004E4617">
        <w:rPr>
          <w:rFonts w:ascii="Roboto" w:hAnsi="Roboto"/>
          <w:color w:val="333333"/>
          <w:sz w:val="21"/>
          <w:szCs w:val="21"/>
          <w:shd w:val="clear" w:color="auto" w:fill="FFFFFF"/>
        </w:rPr>
        <w:t xml:space="preserve"> </w:t>
      </w:r>
      <w:r w:rsidR="00ED72D8" w:rsidRPr="00981A11">
        <w:rPr>
          <w:shd w:val="clear" w:color="auto" w:fill="FFFFFF"/>
        </w:rPr>
        <w:t>ELI: </w:t>
      </w:r>
      <w:hyperlink r:id="rId11" w:tooltip="Gives access to this document through its ELI URI." w:history="1">
        <w:r w:rsidR="00ED72D8" w:rsidRPr="00981A11">
          <w:rPr>
            <w:u w:val="single"/>
            <w:shd w:val="clear" w:color="auto" w:fill="FFFFFF"/>
          </w:rPr>
          <w:t>http://data.europa.eu/eli/reg/2019/941/oj</w:t>
        </w:r>
      </w:hyperlink>
      <w:r w:rsidR="00944B20">
        <w:rPr>
          <w:lang w:val="en-IE"/>
        </w:rPr>
        <w:t>)</w:t>
      </w:r>
      <w:r w:rsidR="00ED72D8">
        <w:rPr>
          <w:lang w:val="en-IE"/>
        </w:rPr>
        <w:t>.</w:t>
      </w:r>
    </w:p>
  </w:footnote>
  <w:footnote w:id="49">
    <w:p w14:paraId="74D6A3FB" w14:textId="77777777" w:rsidR="007E726A" w:rsidRPr="007C458B" w:rsidRDefault="007E726A">
      <w:pPr>
        <w:pStyle w:val="FootnoteText"/>
        <w:rPr>
          <w:lang w:val="en-IE"/>
        </w:rPr>
      </w:pPr>
      <w:r w:rsidRPr="005A3B7D">
        <w:rPr>
          <w:rStyle w:val="FootnoteReference"/>
        </w:rPr>
        <w:footnoteRef/>
      </w:r>
      <w:r w:rsidR="005A3B7D">
        <w:tab/>
      </w:r>
      <w:r w:rsidR="00FA00E4" w:rsidRPr="007C458B">
        <w:rPr>
          <w:lang w:val="en-IE"/>
        </w:rPr>
        <w:t>Regulation (EU) 2019/452 of the European Parliament and of the Council of 19 March 2019 establishing a framework for the screening of foreign direct investments into the Union (</w:t>
      </w:r>
      <w:r w:rsidR="00B3684C" w:rsidRPr="007C458B">
        <w:rPr>
          <w:lang w:val="en-IE"/>
        </w:rPr>
        <w:t>OJ L 79I, 21.3.2019, p. 1</w:t>
      </w:r>
      <w:r w:rsidR="0064353F">
        <w:rPr>
          <w:lang w:val="en-IE"/>
        </w:rPr>
        <w:t xml:space="preserve">, </w:t>
      </w:r>
      <w:r w:rsidR="0064353F" w:rsidRPr="00981A11">
        <w:rPr>
          <w:shd w:val="clear" w:color="auto" w:fill="FFFFFF"/>
        </w:rPr>
        <w:t>ELI: </w:t>
      </w:r>
      <w:hyperlink r:id="rId12" w:tooltip="Gives access to this document through its ELI URI." w:history="1">
        <w:r w:rsidR="0064353F" w:rsidRPr="00981A11">
          <w:rPr>
            <w:u w:val="single"/>
            <w:shd w:val="clear" w:color="auto" w:fill="FFFFFF"/>
          </w:rPr>
          <w:t>http://data.europa.eu/eli/reg/2019/452/oj</w:t>
        </w:r>
      </w:hyperlink>
      <w:r w:rsidR="00B3684C" w:rsidRPr="007C458B">
        <w:rPr>
          <w:lang w:val="en-IE"/>
        </w:rPr>
        <w:t>)</w:t>
      </w:r>
      <w:r w:rsidR="0064353F">
        <w:rPr>
          <w:lang w:val="en-IE"/>
        </w:rPr>
        <w:t>.</w:t>
      </w:r>
    </w:p>
  </w:footnote>
  <w:footnote w:id="50">
    <w:p w14:paraId="695DDC07" w14:textId="77777777" w:rsidR="00451BB0" w:rsidRPr="007C458B" w:rsidRDefault="00451BB0">
      <w:pPr>
        <w:pStyle w:val="FootnoteText"/>
        <w:rPr>
          <w:lang w:val="en-IE"/>
        </w:rPr>
      </w:pPr>
      <w:r w:rsidRPr="005A3B7D">
        <w:rPr>
          <w:rStyle w:val="FootnoteReference"/>
        </w:rPr>
        <w:footnoteRef/>
      </w:r>
      <w:r w:rsidR="005A3B7D">
        <w:tab/>
      </w:r>
      <w:r w:rsidR="004F1D04" w:rsidRPr="007C458B">
        <w:rPr>
          <w:lang w:val="en-IE"/>
        </w:rPr>
        <w:t>Regulation (EU) 2024/1789 of the European Parliament and of the Council of 13 June 2024 on the internal markets for renewable gas, natural gas and hydrogen, amending Regulations (EU) No 1227/2011, (EU) 2017/1938, (EU) 2019/942 and (EU) 2022/869 and Decision (EU) 2017/684 and repealing Regulation (EC) No 715/2009 (</w:t>
      </w:r>
      <w:r w:rsidR="004C6AB5" w:rsidRPr="007C458B">
        <w:rPr>
          <w:lang w:val="en-IE"/>
        </w:rPr>
        <w:t>OJ L, 2024/1789, 15.7.2024</w:t>
      </w:r>
      <w:r w:rsidR="007E6006">
        <w:rPr>
          <w:lang w:val="en-IE"/>
        </w:rPr>
        <w:t xml:space="preserve">, </w:t>
      </w:r>
      <w:r w:rsidR="007E6006" w:rsidRPr="00981A11">
        <w:rPr>
          <w:rFonts w:eastAsia="Times New Roman"/>
          <w:lang w:val="en-IE" w:eastAsia="en-GB"/>
        </w:rPr>
        <w:t xml:space="preserve"> </w:t>
      </w:r>
      <w:r w:rsidR="007E6006" w:rsidRPr="00981A11">
        <w:rPr>
          <w:rFonts w:eastAsia="Times New Roman"/>
          <w:lang w:val="en" w:eastAsia="en-IE"/>
        </w:rPr>
        <w:t>ELI: </w:t>
      </w:r>
      <w:hyperlink r:id="rId13" w:tooltip="Gives access to this document through its ELI URI." w:history="1">
        <w:r w:rsidR="007E6006" w:rsidRPr="00981A11">
          <w:rPr>
            <w:rFonts w:eastAsia="Times New Roman"/>
            <w:u w:val="single"/>
            <w:lang w:val="en" w:eastAsia="en-IE"/>
          </w:rPr>
          <w:t>http://data.europa.eu/eli/reg/2024/1789/oj</w:t>
        </w:r>
      </w:hyperlink>
      <w:r w:rsidR="004C6AB5" w:rsidRPr="007C458B">
        <w:rPr>
          <w:lang w:val="en-IE"/>
        </w:rPr>
        <w:t>)</w:t>
      </w:r>
      <w:r w:rsidR="007E6006">
        <w:rPr>
          <w:lang w:val="en-IE"/>
        </w:rPr>
        <w:t>.</w:t>
      </w:r>
    </w:p>
  </w:footnote>
  <w:footnote w:id="51">
    <w:p w14:paraId="50CEDE85" w14:textId="77777777" w:rsidR="00451BB0" w:rsidRPr="00451BB0" w:rsidRDefault="00451BB0">
      <w:pPr>
        <w:pStyle w:val="FootnoteText"/>
        <w:rPr>
          <w:lang w:val="en-IE"/>
        </w:rPr>
      </w:pPr>
      <w:r w:rsidRPr="005A3B7D">
        <w:rPr>
          <w:rStyle w:val="FootnoteReference"/>
        </w:rPr>
        <w:footnoteRef/>
      </w:r>
      <w:r w:rsidR="005A3B7D">
        <w:tab/>
      </w:r>
      <w:r w:rsidR="00ED7D9D" w:rsidRPr="007C458B">
        <w:rPr>
          <w:lang w:val="en-IE"/>
        </w:rPr>
        <w:t>Directive (EU) 2024/1788 of the European Parliament and of the Council of 13 June 2024 on common rules for the internal markets for renewable gas, natural gas and hydrogen, amending Directive (EU) 2023/1791 and repealing Directive 2009/73/EC</w:t>
      </w:r>
      <w:r w:rsidR="00DC6E81">
        <w:rPr>
          <w:lang w:val="en-IE"/>
        </w:rPr>
        <w:t xml:space="preserve"> </w:t>
      </w:r>
      <w:r w:rsidR="001F08CD" w:rsidRPr="007C458B">
        <w:rPr>
          <w:lang w:val="en-IE"/>
        </w:rPr>
        <w:t>(OJ L, 2024</w:t>
      </w:r>
      <w:r w:rsidR="001F08CD" w:rsidRPr="001F08CD">
        <w:rPr>
          <w:lang w:val="en-IE"/>
        </w:rPr>
        <w:t>/1788, 15.7.2024</w:t>
      </w:r>
      <w:r w:rsidR="00DC6E81">
        <w:rPr>
          <w:lang w:val="en-IE"/>
        </w:rPr>
        <w:t xml:space="preserve">, </w:t>
      </w:r>
      <w:r w:rsidR="00DC6E81" w:rsidRPr="00981A11">
        <w:rPr>
          <w:shd w:val="clear" w:color="auto" w:fill="FFFFFF"/>
        </w:rPr>
        <w:t>ELI: </w:t>
      </w:r>
      <w:hyperlink r:id="rId14" w:tooltip="Gives access to this document through its ELI URI." w:history="1">
        <w:r w:rsidR="00DC6E81" w:rsidRPr="00981A11">
          <w:rPr>
            <w:u w:val="single"/>
            <w:shd w:val="clear" w:color="auto" w:fill="FFFFFF"/>
          </w:rPr>
          <w:t>http://data.europa.eu/eli/dir/2024/1788/oj</w:t>
        </w:r>
      </w:hyperlink>
      <w:r w:rsidR="00ED7D9D" w:rsidRPr="00ED7D9D">
        <w:rPr>
          <w:lang w:val="en-IE"/>
        </w:rPr>
        <w:t>)</w:t>
      </w:r>
      <w:r w:rsidR="00DC6E81">
        <w:rPr>
          <w:lang w:val="en-IE"/>
        </w:rPr>
        <w:t>.</w:t>
      </w:r>
    </w:p>
  </w:footnote>
  <w:footnote w:id="52">
    <w:p w14:paraId="2B3B7653" w14:textId="77777777" w:rsidR="00737513" w:rsidRPr="00696D5C" w:rsidRDefault="00737513">
      <w:pPr>
        <w:pStyle w:val="FootnoteText"/>
        <w:rPr>
          <w:lang w:val="en-IE"/>
        </w:rPr>
      </w:pPr>
      <w:r w:rsidRPr="005A3B7D">
        <w:rPr>
          <w:rStyle w:val="FootnoteReference"/>
        </w:rPr>
        <w:footnoteRef/>
      </w:r>
      <w:r w:rsidR="005A3B7D">
        <w:tab/>
      </w:r>
      <w:r w:rsidR="008974AF" w:rsidRPr="008974AF">
        <w:t xml:space="preserve">Directive (EU) 2022/2555 of the European Parliament and of the Council of 14 December 2022 on measures for a high common level of cybersecurity across the Union, amending Regulation (EU) No 910/2014 and Directive (EU) 2018/1972, and repealing Directive (EU) 2016/1148 (NIS 2 Directive) (OJ L 333, 27.12.2022, p. 80, </w:t>
      </w:r>
      <w:r w:rsidR="008974AF" w:rsidRPr="00F01FDE">
        <w:t xml:space="preserve">ELI: </w:t>
      </w:r>
      <w:hyperlink r:id="rId15" w:history="1">
        <w:r w:rsidR="00F01FDE" w:rsidRPr="00F01FDE">
          <w:rPr>
            <w:rStyle w:val="Hyperlink"/>
            <w:color w:val="auto"/>
          </w:rPr>
          <w:t>http://data.europa.eu/eli/dir/2022/2555/oj</w:t>
        </w:r>
      </w:hyperlink>
      <w:r w:rsidR="008974AF" w:rsidRPr="008974AF">
        <w:t>).</w:t>
      </w:r>
    </w:p>
  </w:footnote>
  <w:footnote w:id="53">
    <w:p w14:paraId="2337181C" w14:textId="77777777" w:rsidR="00592A33" w:rsidRPr="006314F7" w:rsidRDefault="00592A33" w:rsidP="00592A33">
      <w:pPr>
        <w:pStyle w:val="FootnoteText"/>
        <w:rPr>
          <w:lang w:val="en-IE"/>
        </w:rPr>
      </w:pPr>
      <w:r w:rsidRPr="005A3B7D">
        <w:rPr>
          <w:rStyle w:val="FootnoteReference"/>
        </w:rPr>
        <w:footnoteRef/>
      </w:r>
      <w:r>
        <w:tab/>
      </w:r>
      <w:r w:rsidRPr="008558DD">
        <w:rPr>
          <w:lang w:val="en-IE"/>
        </w:rPr>
        <w:t>Regulation (EU) 2020/852 of the European Parliament and of the Council of 18 June 2020 on the establishment of a framework to facilitate sustainable investment, and amending Regulation (EU) 2019/2088 (OJ L 198, 22.6.2020, p. 13</w:t>
      </w:r>
      <w:r w:rsidR="00D558A2">
        <w:rPr>
          <w:lang w:val="en-IE"/>
        </w:rPr>
        <w:t xml:space="preserve">, </w:t>
      </w:r>
      <w:r w:rsidR="00D558A2" w:rsidRPr="00D558A2">
        <w:t>ELI: </w:t>
      </w:r>
      <w:hyperlink r:id="rId16" w:tooltip="Gives access to this document through its ELI URI." w:history="1">
        <w:r w:rsidR="00D558A2" w:rsidRPr="00D558A2">
          <w:rPr>
            <w:rStyle w:val="Hyperlink"/>
          </w:rPr>
          <w:t>http://data.europa.eu/eli/reg/2020/852/oj</w:t>
        </w:r>
      </w:hyperlink>
      <w:r w:rsidRPr="008558DD">
        <w:rPr>
          <w:lang w:val="en-IE"/>
        </w:rPr>
        <w:t>)</w:t>
      </w:r>
      <w:r w:rsidR="00D558A2">
        <w:rPr>
          <w:lang w:val="en-IE"/>
        </w:rPr>
        <w:t>.</w:t>
      </w:r>
    </w:p>
  </w:footnote>
  <w:footnote w:id="54">
    <w:p w14:paraId="13A4A85E" w14:textId="77777777" w:rsidR="00407BA5" w:rsidRPr="00696D5C" w:rsidRDefault="00407BA5">
      <w:pPr>
        <w:pStyle w:val="FootnoteText"/>
        <w:rPr>
          <w:lang w:val="en-IE"/>
        </w:rPr>
      </w:pPr>
      <w:r w:rsidRPr="005A3B7D">
        <w:rPr>
          <w:rStyle w:val="FootnoteReference"/>
        </w:rPr>
        <w:footnoteRef/>
      </w:r>
      <w:r w:rsidR="005A3B7D">
        <w:tab/>
      </w:r>
      <w:r w:rsidR="00B34B70" w:rsidRPr="00696D5C">
        <w:rPr>
          <w:lang w:val="en-IE"/>
        </w:rPr>
        <w:t>Directive (EU) 2019/944 of the European Parliament and of the Council of 5 June 2019 on common rules for the internal market for electricity and amending Directive 2012/27/EU (</w:t>
      </w:r>
      <w:r w:rsidR="00D57DD1" w:rsidRPr="00696D5C">
        <w:rPr>
          <w:lang w:val="en-IE"/>
        </w:rPr>
        <w:t>OJ L 158, 14.6.2019, p. 125</w:t>
      </w:r>
      <w:r w:rsidR="009A3104">
        <w:rPr>
          <w:lang w:val="en-IE"/>
        </w:rPr>
        <w:t xml:space="preserve">, </w:t>
      </w:r>
      <w:r w:rsidR="009A3104" w:rsidRPr="00981A11">
        <w:rPr>
          <w:shd w:val="clear" w:color="auto" w:fill="FFFFFF"/>
        </w:rPr>
        <w:t>ELI: </w:t>
      </w:r>
      <w:hyperlink r:id="rId17" w:tooltip="Gives access to this document through its ELI URI." w:history="1">
        <w:r w:rsidR="009A3104" w:rsidRPr="00981A11">
          <w:rPr>
            <w:u w:val="single"/>
            <w:shd w:val="clear" w:color="auto" w:fill="FFFFFF"/>
          </w:rPr>
          <w:t>http://data.europa.eu/eli/dir/2019/944/oj</w:t>
        </w:r>
      </w:hyperlink>
      <w:r w:rsidR="00D57DD1" w:rsidRPr="00696D5C">
        <w:rPr>
          <w:lang w:val="en-IE"/>
        </w:rPr>
        <w:t>)</w:t>
      </w:r>
      <w:r w:rsidR="009A3104">
        <w:rPr>
          <w:lang w:val="en-IE"/>
        </w:rPr>
        <w:t>.</w:t>
      </w:r>
    </w:p>
  </w:footnote>
  <w:footnote w:id="55">
    <w:p w14:paraId="2EDBC87C" w14:textId="77777777" w:rsidR="00A95970" w:rsidRPr="00FE710E" w:rsidRDefault="00A95970" w:rsidP="00A95970">
      <w:pPr>
        <w:pStyle w:val="FootnoteText"/>
        <w:rPr>
          <w:lang w:val="en-IE"/>
        </w:rPr>
      </w:pPr>
      <w:r w:rsidRPr="00FE710E">
        <w:rPr>
          <w:rStyle w:val="FootnoteReference"/>
        </w:rPr>
        <w:footnoteRef/>
      </w:r>
      <w:r w:rsidRPr="00FE710E">
        <w:tab/>
      </w:r>
      <w:r w:rsidRPr="005C6655">
        <w:rPr>
          <w:shd w:val="clear" w:color="auto" w:fill="FFFFFF"/>
        </w:rPr>
        <w:t>Directive 2011/92/EU of the European Parliament and of the Council of 13 December 2011 on the assessment of the effects of certain public and private projects on the environment </w:t>
      </w:r>
      <w:r w:rsidRPr="00FE710E" w:rsidDel="00864F6E">
        <w:rPr>
          <w:lang w:val="en-IE"/>
        </w:rPr>
        <w:t xml:space="preserve"> </w:t>
      </w:r>
      <w:r w:rsidRPr="00FE710E">
        <w:rPr>
          <w:lang w:val="en-IE"/>
        </w:rPr>
        <w:t>(</w:t>
      </w:r>
      <w:r w:rsidRPr="005C6655">
        <w:rPr>
          <w:rStyle w:val="Emphasis"/>
          <w:i w:val="0"/>
          <w:iCs w:val="0"/>
          <w:shd w:val="clear" w:color="auto" w:fill="FFFFFF"/>
        </w:rPr>
        <w:t>OJ L 26, 28.1.2012, p. 1,</w:t>
      </w:r>
      <w:r w:rsidRPr="00906EF3" w:rsidDel="000B781D">
        <w:rPr>
          <w:lang w:val="en-IE"/>
        </w:rPr>
        <w:t xml:space="preserve"> </w:t>
      </w:r>
      <w:r w:rsidRPr="005C6655">
        <w:rPr>
          <w:shd w:val="clear" w:color="auto" w:fill="FFFFFF"/>
        </w:rPr>
        <w:t>ELI: </w:t>
      </w:r>
      <w:hyperlink r:id="rId18" w:tooltip="Gives access to this document through its ELI URI." w:history="1">
        <w:r w:rsidRPr="005C6655">
          <w:rPr>
            <w:u w:val="single"/>
            <w:shd w:val="clear" w:color="auto" w:fill="FFFFFF"/>
          </w:rPr>
          <w:t>http://data.europa.eu/eli/dir/2011/92/oj</w:t>
        </w:r>
      </w:hyperlink>
      <w:r w:rsidRPr="00906EF3" w:rsidDel="000B781D">
        <w:rPr>
          <w:lang w:val="en-IE"/>
        </w:rPr>
        <w:t xml:space="preserve"> </w:t>
      </w:r>
      <w:hyperlink r:id="rId19" w:tooltip="Gives access to this document through its ELI URI." w:history="1">
        <w:r w:rsidRPr="00FE710E">
          <w:rPr>
            <w:rStyle w:val="Hyperlink"/>
            <w:color w:val="auto"/>
          </w:rPr>
          <w:t>http://data.europa.eu/eli/dir/2011/93/oj</w:t>
        </w:r>
      </w:hyperlink>
      <w:r w:rsidRPr="00FE710E">
        <w:rPr>
          <w:lang w:val="en-IE"/>
        </w:rPr>
        <w:t>).</w:t>
      </w:r>
    </w:p>
  </w:footnote>
  <w:footnote w:id="56">
    <w:p w14:paraId="40A70893" w14:textId="77777777" w:rsidR="00142B31" w:rsidRPr="00FE710E" w:rsidRDefault="00142B31">
      <w:pPr>
        <w:pStyle w:val="FootnoteText"/>
        <w:rPr>
          <w:lang w:val="en-IE"/>
        </w:rPr>
      </w:pPr>
      <w:r w:rsidRPr="005A3B7D">
        <w:rPr>
          <w:rStyle w:val="FootnoteReference"/>
        </w:rPr>
        <w:footnoteRef/>
      </w:r>
      <w:r w:rsidR="005A3B7D">
        <w:tab/>
      </w:r>
      <w:r w:rsidR="002E7B33" w:rsidRPr="00696D5C">
        <w:rPr>
          <w:lang w:val="en-IE"/>
        </w:rPr>
        <w:t>Directive 2001/</w:t>
      </w:r>
      <w:r w:rsidR="002E7B33" w:rsidRPr="00FE710E">
        <w:rPr>
          <w:lang w:val="en-IE"/>
        </w:rPr>
        <w:t>42/EC of the European Parliament and of the Council of 27 June 2001 on the assessment of the effects of certain plans and programmes on the environment</w:t>
      </w:r>
      <w:r w:rsidR="00491E66" w:rsidRPr="00FE710E">
        <w:rPr>
          <w:lang w:val="en-IE"/>
        </w:rPr>
        <w:t xml:space="preserve"> (OJ L 197, 21.7.2001, p. 30</w:t>
      </w:r>
      <w:r w:rsidR="001E56BE" w:rsidRPr="00FE710E">
        <w:rPr>
          <w:lang w:val="en-IE"/>
        </w:rPr>
        <w:t xml:space="preserve">, </w:t>
      </w:r>
      <w:hyperlink r:id="rId20" w:tooltip="Gives access to this document through its ELI URI." w:history="1">
        <w:r w:rsidR="001E56BE" w:rsidRPr="00FE710E">
          <w:rPr>
            <w:rStyle w:val="Hyperlink"/>
            <w:color w:val="auto"/>
          </w:rPr>
          <w:t>http://data.europa.eu/eli/dir/2001/42/oj</w:t>
        </w:r>
      </w:hyperlink>
      <w:r w:rsidR="00491E66" w:rsidRPr="00FE710E">
        <w:rPr>
          <w:lang w:val="en-IE"/>
        </w:rPr>
        <w:t>)</w:t>
      </w:r>
      <w:r w:rsidR="00FE710E" w:rsidRPr="00FE710E">
        <w:rPr>
          <w:lang w:val="en-IE"/>
        </w:rPr>
        <w:t>.</w:t>
      </w:r>
    </w:p>
  </w:footnote>
  <w:footnote w:id="57">
    <w:p w14:paraId="6300CCD6" w14:textId="77777777" w:rsidR="0044444C" w:rsidRPr="009D7C93" w:rsidRDefault="0044444C" w:rsidP="0044444C">
      <w:pPr>
        <w:pStyle w:val="FootnoteText"/>
        <w:rPr>
          <w:lang w:val="en-IE"/>
        </w:rPr>
      </w:pPr>
      <w:r w:rsidRPr="005A3B7D">
        <w:rPr>
          <w:rStyle w:val="FootnoteReference"/>
        </w:rPr>
        <w:footnoteRef/>
      </w:r>
      <w:r>
        <w:tab/>
      </w:r>
      <w:r w:rsidRPr="008558DD">
        <w:rPr>
          <w:lang w:val="en-IE"/>
        </w:rPr>
        <w:t>Directive 2014/89/EU of the European Parliament and of the Council of 23 July 2014 establishing a framework for maritime spatial planning (OJ L 257, 28.8.2014, p. 135</w:t>
      </w:r>
      <w:r>
        <w:rPr>
          <w:lang w:val="en-IE"/>
        </w:rPr>
        <w:t xml:space="preserve">, </w:t>
      </w:r>
      <w:hyperlink r:id="rId21" w:tooltip="Gives access to this document through its ELI URI." w:history="1">
        <w:r w:rsidRPr="00F2747B">
          <w:rPr>
            <w:rStyle w:val="Hyperlink"/>
            <w:color w:val="auto"/>
          </w:rPr>
          <w:t>http://data.europa.eu/eli/dir/2014/89/oj</w:t>
        </w:r>
      </w:hyperlink>
      <w:r w:rsidRPr="00F2747B">
        <w:rPr>
          <w:lang w:val="en-IE"/>
        </w:rPr>
        <w:t>)</w:t>
      </w:r>
    </w:p>
  </w:footnote>
  <w:footnote w:id="58">
    <w:p w14:paraId="30BF1AFD" w14:textId="77777777" w:rsidR="008C1133" w:rsidRPr="008C1133" w:rsidRDefault="008C1133">
      <w:pPr>
        <w:pStyle w:val="FootnoteText"/>
        <w:rPr>
          <w:lang w:val="en-IE"/>
        </w:rPr>
      </w:pPr>
      <w:r w:rsidRPr="00182C2C">
        <w:rPr>
          <w:rStyle w:val="FootnoteReference"/>
        </w:rPr>
        <w:footnoteRef/>
      </w:r>
      <w:r w:rsidR="005A3B7D" w:rsidRPr="00182C2C">
        <w:tab/>
      </w:r>
      <w:r w:rsidRPr="00182C2C">
        <w:t>OJ L 124, 17.5.2005, p. 4</w:t>
      </w:r>
    </w:p>
  </w:footnote>
  <w:footnote w:id="59">
    <w:p w14:paraId="2E7B2F4F" w14:textId="77777777" w:rsidR="000F1652" w:rsidRPr="000F1652" w:rsidRDefault="000F1652">
      <w:pPr>
        <w:pStyle w:val="FootnoteText"/>
        <w:rPr>
          <w:lang w:val="en-IE"/>
        </w:rPr>
      </w:pPr>
      <w:r w:rsidRPr="005A3B7D">
        <w:rPr>
          <w:rStyle w:val="FootnoteReference"/>
        </w:rPr>
        <w:footnoteRef/>
      </w:r>
      <w:r w:rsidR="005A3B7D">
        <w:tab/>
      </w:r>
      <w:r w:rsidRPr="000F1652">
        <w:t>OJ C 104, 24.4.1992, p. 7</w:t>
      </w:r>
    </w:p>
  </w:footnote>
  <w:footnote w:id="60">
    <w:p w14:paraId="46D2A38B" w14:textId="77777777" w:rsidR="00B4140B" w:rsidRPr="00531F92" w:rsidRDefault="00B4140B">
      <w:pPr>
        <w:pStyle w:val="FootnoteText"/>
        <w:rPr>
          <w:szCs w:val="18"/>
        </w:rPr>
      </w:pPr>
      <w:r w:rsidRPr="0095738B">
        <w:rPr>
          <w:rStyle w:val="FootnoteReference"/>
        </w:rPr>
        <w:footnoteRef/>
      </w:r>
      <w:r w:rsidR="0095738B">
        <w:tab/>
      </w:r>
      <w:r w:rsidR="009205A0" w:rsidRPr="006C1F4F">
        <w:rPr>
          <w:szCs w:val="18"/>
        </w:rPr>
        <w:t xml:space="preserve">Communication </w:t>
      </w:r>
      <w:r w:rsidR="009205A0">
        <w:rPr>
          <w:szCs w:val="18"/>
        </w:rPr>
        <w:t>f</w:t>
      </w:r>
      <w:r w:rsidR="009205A0" w:rsidRPr="006C1F4F">
        <w:rPr>
          <w:szCs w:val="18"/>
        </w:rPr>
        <w:t>rom the Commission to the European Parliament, the Council, the European Economic and Social Committee and the Committee of the Regions</w:t>
      </w:r>
      <w:r w:rsidR="009205A0">
        <w:rPr>
          <w:szCs w:val="18"/>
        </w:rPr>
        <w:t xml:space="preserve"> of 24 October 2023</w:t>
      </w:r>
      <w:r w:rsidR="00531F92">
        <w:rPr>
          <w:szCs w:val="18"/>
        </w:rPr>
        <w:t xml:space="preserve">, </w:t>
      </w:r>
      <w:r w:rsidR="00531F92" w:rsidRPr="00AE58B8">
        <w:rPr>
          <w:szCs w:val="18"/>
        </w:rPr>
        <w:t>Delivering on the EU offshore renewable energy ambitions</w:t>
      </w:r>
      <w:r w:rsidR="00531F92">
        <w:rPr>
          <w:szCs w:val="18"/>
        </w:rPr>
        <w:t xml:space="preserve"> (</w:t>
      </w:r>
      <w:r w:rsidR="00BE36FD">
        <w:rPr>
          <w:szCs w:val="18"/>
        </w:rPr>
        <w:t>COM(2023) 668 final.</w:t>
      </w:r>
    </w:p>
  </w:footnote>
  <w:footnote w:id="61">
    <w:p w14:paraId="19D8EE08" w14:textId="77777777" w:rsidR="006402A7" w:rsidRPr="00494C5C" w:rsidRDefault="006402A7">
      <w:pPr>
        <w:pStyle w:val="FootnoteText"/>
        <w:rPr>
          <w:lang w:val="en-IE"/>
        </w:rPr>
      </w:pPr>
      <w:r w:rsidRPr="005A3B7D">
        <w:rPr>
          <w:rStyle w:val="FootnoteReference"/>
        </w:rPr>
        <w:footnoteRef/>
      </w:r>
      <w:r w:rsidR="005A3B7D">
        <w:tab/>
      </w:r>
      <w:r w:rsidR="007C2F29" w:rsidRPr="00776ABF">
        <w:rPr>
          <w:lang w:val="en-IE"/>
        </w:rPr>
        <w:t>Regulation (EU) 2021/1153 of the European Parliament and of the Council of 7 July 2021 establishing the Connecting Europe Facility and repealing Regulations (EU) No 1316/2013 and (EU) No 283/2014 (</w:t>
      </w:r>
      <w:r w:rsidR="004A4B3A" w:rsidRPr="00776ABF">
        <w:rPr>
          <w:lang w:val="en-IE"/>
        </w:rPr>
        <w:t>OJ L 249, 14.7.2021, p</w:t>
      </w:r>
      <w:r w:rsidR="004A4B3A" w:rsidRPr="00494C5C">
        <w:rPr>
          <w:lang w:val="en-IE"/>
        </w:rPr>
        <w:t>. 38</w:t>
      </w:r>
      <w:r w:rsidR="00D11397" w:rsidRPr="00494C5C">
        <w:rPr>
          <w:lang w:val="en-IE"/>
        </w:rPr>
        <w:t xml:space="preserve">, </w:t>
      </w:r>
      <w:hyperlink r:id="rId22" w:tooltip="Gives access to this document through its ELI URI." w:history="1">
        <w:r w:rsidR="00D11397" w:rsidRPr="00494C5C">
          <w:rPr>
            <w:rStyle w:val="Hyperlink"/>
            <w:color w:val="auto"/>
          </w:rPr>
          <w:t>http://data.europa.eu/eli/reg/2021/1153/oj</w:t>
        </w:r>
      </w:hyperlink>
      <w:r w:rsidR="004A4B3A" w:rsidRPr="00494C5C">
        <w:rPr>
          <w:lang w:val="en-IE"/>
        </w:rPr>
        <w:t>)</w:t>
      </w:r>
      <w:r w:rsidR="00D11397" w:rsidRPr="00494C5C">
        <w:rPr>
          <w:lang w:val="en-IE"/>
        </w:rPr>
        <w:t>.</w:t>
      </w:r>
    </w:p>
  </w:footnote>
  <w:footnote w:id="62">
    <w:p w14:paraId="323056EA" w14:textId="77777777" w:rsidR="00740661" w:rsidRPr="00494C5C" w:rsidRDefault="00740661">
      <w:pPr>
        <w:pStyle w:val="FootnoteText"/>
        <w:rPr>
          <w:lang w:val="en-IE"/>
        </w:rPr>
      </w:pPr>
      <w:r w:rsidRPr="00494C5C">
        <w:rPr>
          <w:rStyle w:val="FootnoteReference"/>
        </w:rPr>
        <w:footnoteRef/>
      </w:r>
      <w:r w:rsidR="005A3B7D" w:rsidRPr="00494C5C">
        <w:tab/>
      </w:r>
      <w:r w:rsidR="0041789A" w:rsidRPr="00494C5C">
        <w:rPr>
          <w:lang w:val="en-IE"/>
        </w:rPr>
        <w:t>Commission Implementing Regulation (EU) 2020/1294 of 15 September 2020 on the Union renewable energy financing mechanism</w:t>
      </w:r>
      <w:r w:rsidR="00932B51" w:rsidRPr="00494C5C">
        <w:rPr>
          <w:lang w:val="en-IE"/>
        </w:rPr>
        <w:t xml:space="preserve"> (OJ L 303, 17.9.2020, p. 1</w:t>
      </w:r>
      <w:r w:rsidR="0019315E" w:rsidRPr="00494C5C">
        <w:rPr>
          <w:lang w:val="en-IE"/>
        </w:rPr>
        <w:t xml:space="preserve">, </w:t>
      </w:r>
      <w:hyperlink r:id="rId23" w:tooltip="Gives access to this document through its ELI URI." w:history="1">
        <w:r w:rsidR="0019315E" w:rsidRPr="00494C5C">
          <w:rPr>
            <w:rStyle w:val="Hyperlink"/>
            <w:color w:val="auto"/>
          </w:rPr>
          <w:t>http://data.europa.eu/eli/reg_impl/2020/1294/oj</w:t>
        </w:r>
      </w:hyperlink>
      <w:r w:rsidR="00932B51" w:rsidRPr="00494C5C">
        <w:rPr>
          <w:lang w:val="en-IE"/>
        </w:rPr>
        <w:t>)</w:t>
      </w:r>
      <w:r w:rsidR="0019315E" w:rsidRPr="00494C5C">
        <w:rPr>
          <w:lang w:val="en-IE"/>
        </w:rPr>
        <w:t>.</w:t>
      </w:r>
    </w:p>
  </w:footnote>
  <w:footnote w:id="63">
    <w:p w14:paraId="038316B8" w14:textId="77777777" w:rsidR="00987AC9" w:rsidRPr="00517A9A" w:rsidRDefault="00987AC9" w:rsidP="00987AC9">
      <w:pPr>
        <w:pStyle w:val="FootnoteText"/>
        <w:rPr>
          <w:lang w:val="en-IE"/>
        </w:rPr>
      </w:pPr>
      <w:r w:rsidRPr="005A3B7D">
        <w:rPr>
          <w:rStyle w:val="FootnoteReference"/>
        </w:rPr>
        <w:footnoteRef/>
      </w:r>
      <w:r>
        <w:tab/>
      </w:r>
      <w:r w:rsidRPr="002F1AC1">
        <w:rPr>
          <w:lang w:val="en-IE"/>
        </w:rPr>
        <w:t xml:space="preserve">Regulation (EU, Euratom) 2024/2509 of the European Parliament and of the Council of 23 September 2024 on the financial rules </w:t>
      </w:r>
      <w:r w:rsidRPr="009433D8">
        <w:rPr>
          <w:lang w:val="en-IE"/>
        </w:rPr>
        <w:t xml:space="preserve">applicable to the general budget of the Union (OJ L, 2024/2509, 26.9.2024, </w:t>
      </w:r>
      <w:hyperlink r:id="rId24" w:tooltip="Gives access to this document through its ELI URI." w:history="1">
        <w:r w:rsidRPr="009433D8">
          <w:rPr>
            <w:rStyle w:val="Hyperlink"/>
            <w:color w:val="auto"/>
          </w:rPr>
          <w:t>http://data.europa.eu/eli/reg/2024/2509/oj</w:t>
        </w:r>
      </w:hyperlink>
      <w:r w:rsidRPr="009433D8">
        <w:rPr>
          <w:lang w:val="en-IE"/>
        </w:rPr>
        <w:t>).</w:t>
      </w:r>
    </w:p>
  </w:footnote>
  <w:footnote w:id="64">
    <w:p w14:paraId="570B3DCD" w14:textId="77777777" w:rsidR="00AA1759" w:rsidRDefault="00AA1759" w:rsidP="00C4526F">
      <w:pPr>
        <w:pStyle w:val="FootnoteText"/>
      </w:pPr>
      <w:r w:rsidRPr="0095738B">
        <w:rPr>
          <w:rStyle w:val="FootnoteReference"/>
        </w:rPr>
        <w:footnoteRef/>
      </w:r>
      <w:r w:rsidR="0095738B">
        <w:tab/>
      </w:r>
      <w:r>
        <w:t>Regulation (EU) 2019/942 of the European Parliament and of the Council of 5 June 2019 establishing a European Union Agency for the Cooperation of Energy Regulators (</w:t>
      </w:r>
      <w:r w:rsidRPr="00AE58B8">
        <w:rPr>
          <w:lang w:val="en-IE"/>
        </w:rPr>
        <w:t>OJ L 158, 14.6.2019, p. 22</w:t>
      </w:r>
      <w:r w:rsidR="00C4526F">
        <w:rPr>
          <w:lang w:val="en-IE"/>
        </w:rPr>
        <w:t xml:space="preserve">, </w:t>
      </w:r>
      <w:r>
        <w:t>ELI: http://data.europa.eu/eli/reg/2019/942/oj</w:t>
      </w:r>
      <w:r w:rsidR="00C4526F">
        <w:t>.)</w:t>
      </w:r>
    </w:p>
    <w:p w14:paraId="654EBAB6" w14:textId="77777777" w:rsidR="00AA1759" w:rsidRPr="00AE58B8" w:rsidRDefault="00AA1759">
      <w:pPr>
        <w:pStyle w:val="FootnoteText"/>
        <w:rPr>
          <w:lang w:val="en-IE"/>
        </w:rPr>
      </w:pPr>
    </w:p>
  </w:footnote>
  <w:footnote w:id="65">
    <w:p w14:paraId="185DBEC6" w14:textId="77777777" w:rsidR="00B053D0" w:rsidRPr="00981A11" w:rsidRDefault="00B053D0" w:rsidP="00B053D0">
      <w:pPr>
        <w:pStyle w:val="FootnoteText"/>
        <w:rPr>
          <w:lang w:val="da-DK"/>
        </w:rPr>
      </w:pPr>
      <w:r w:rsidRPr="009272B5">
        <w:rPr>
          <w:rStyle w:val="FootnoteReference"/>
        </w:rPr>
        <w:footnoteRef/>
      </w:r>
      <w:r w:rsidR="009272B5">
        <w:rPr>
          <w:lang w:val="da-DK"/>
        </w:rPr>
        <w:tab/>
      </w:r>
      <w:r w:rsidR="000034E2" w:rsidRPr="000034E2">
        <w:rPr>
          <w:lang w:val="da-DK"/>
        </w:rPr>
        <w:t xml:space="preserve">Interinstitutional Agreement between the European Parliament, the Council of the European Union and the European Commission on Better Law-Making </w:t>
      </w:r>
      <w:r w:rsidR="00AE6298">
        <w:rPr>
          <w:lang w:val="da-DK"/>
        </w:rPr>
        <w:t>(</w:t>
      </w:r>
      <w:r w:rsidRPr="00AE58B8">
        <w:rPr>
          <w:lang w:val="en-IE"/>
        </w:rPr>
        <w:t>OJ L 123, 12.5.2016, p. 1,</w:t>
      </w:r>
      <w:r w:rsidRPr="00AE58B8">
        <w:rPr>
          <w:rFonts w:ascii="Segoe UI" w:hAnsi="Segoe UI" w:cs="Segoe UI"/>
          <w:sz w:val="21"/>
          <w:szCs w:val="21"/>
          <w:shd w:val="clear" w:color="auto" w:fill="FFFFFF"/>
          <w:lang w:val="en-IE"/>
        </w:rPr>
        <w:t xml:space="preserve"> </w:t>
      </w:r>
      <w:r w:rsidRPr="00AE58B8">
        <w:rPr>
          <w:lang w:val="en-IE"/>
        </w:rPr>
        <w:t>ELI: </w:t>
      </w:r>
      <w:hyperlink r:id="rId25" w:history="1">
        <w:r w:rsidR="00AE6298" w:rsidRPr="00AE58B8">
          <w:rPr>
            <w:rStyle w:val="Hyperlink"/>
            <w:lang w:val="en-IE"/>
          </w:rPr>
          <w:t>http://data.europa.eu/eli/agree_interinstit/2016/512/oj</w:t>
        </w:r>
      </w:hyperlink>
      <w:r w:rsidR="00AE6298" w:rsidRPr="00AE58B8">
        <w:rPr>
          <w:lang w:val="en-IE"/>
        </w:rPr>
        <w:t>)</w:t>
      </w:r>
      <w:r w:rsidRPr="00AE58B8">
        <w:rPr>
          <w:lang w:val="en-IE"/>
        </w:rPr>
        <w:t>.</w:t>
      </w:r>
    </w:p>
  </w:footnote>
  <w:footnote w:id="66">
    <w:p w14:paraId="5F6C5F8F" w14:textId="77777777" w:rsidR="00DD49F1" w:rsidRPr="00AE58B8" w:rsidRDefault="00DD49F1">
      <w:pPr>
        <w:pStyle w:val="FootnoteText"/>
        <w:rPr>
          <w:lang w:val="en-IE"/>
        </w:rPr>
      </w:pPr>
      <w:r w:rsidRPr="0095738B">
        <w:rPr>
          <w:rStyle w:val="FootnoteReference"/>
        </w:rPr>
        <w:footnoteRef/>
      </w:r>
      <w:r w:rsidR="0095738B">
        <w:tab/>
      </w:r>
      <w:r w:rsidR="000616D4" w:rsidRPr="000616D4">
        <w:t>Directive (EU) 2018/2001 of the European Parliament and of the Council of 11 December 2018 on the promotion of the use of energy from renewable sources (OJ L 328, 21.12.2018, p. 82, ELI: http://data.europa.eu/eli/dir/2018/2001/oj).</w:t>
      </w:r>
    </w:p>
  </w:footnote>
  <w:footnote w:id="67">
    <w:p w14:paraId="46727727" w14:textId="39F8D1AC" w:rsidR="00E04D66" w:rsidRPr="00830FD6" w:rsidRDefault="00E04D66" w:rsidP="00E04D66">
      <w:pPr>
        <w:pStyle w:val="FootnoteText"/>
      </w:pPr>
      <w:r>
        <w:rPr>
          <w:rStyle w:val="FootnoteReference"/>
        </w:rPr>
        <w:footnoteRef/>
      </w:r>
      <w:r>
        <w:tab/>
        <w:t>[reference to the Regulation on speeding-up environmental assessments]</w:t>
      </w:r>
    </w:p>
  </w:footnote>
  <w:footnote w:id="68">
    <w:p w14:paraId="5B9AE28A" w14:textId="77777777" w:rsidR="00880043" w:rsidRPr="009B035D" w:rsidRDefault="00880043">
      <w:pPr>
        <w:pStyle w:val="FootnoteText"/>
        <w:rPr>
          <w:lang w:val="en-IE"/>
        </w:rPr>
      </w:pPr>
      <w:r w:rsidRPr="005A3B7D">
        <w:rPr>
          <w:rStyle w:val="FootnoteReference"/>
        </w:rPr>
        <w:footnoteRef/>
      </w:r>
      <w:r w:rsidR="005A3B7D">
        <w:tab/>
      </w:r>
      <w:r w:rsidR="00E70D3C" w:rsidRPr="0080284D">
        <w:t>Regulation (EC) No 714/2009 of the European Parliament and of the Council</w:t>
      </w:r>
      <w:r w:rsidR="00D73D3C">
        <w:t xml:space="preserve"> o</w:t>
      </w:r>
      <w:r w:rsidR="00D73D3C" w:rsidRPr="00D73D3C">
        <w:t>n conditions for access to the network for cross-border exchanges in electricity</w:t>
      </w:r>
      <w:r w:rsidR="006D008E">
        <w:t xml:space="preserve"> </w:t>
      </w:r>
      <w:r w:rsidR="003E2A7D" w:rsidRPr="00AE58B8">
        <w:rPr>
          <w:shd w:val="clear" w:color="auto" w:fill="FFFFFF"/>
        </w:rPr>
        <w:t>and repealing Regulation (EC) No 1228/2003</w:t>
      </w:r>
      <w:r w:rsidR="007E5095" w:rsidRPr="00AE58B8">
        <w:rPr>
          <w:shd w:val="clear" w:color="auto" w:fill="FFFFFF"/>
        </w:rPr>
        <w:t xml:space="preserve"> (</w:t>
      </w:r>
      <w:r w:rsidR="005906CD" w:rsidRPr="00AE58B8">
        <w:rPr>
          <w:rStyle w:val="Emphasis"/>
          <w:i w:val="0"/>
          <w:iCs w:val="0"/>
          <w:shd w:val="clear" w:color="auto" w:fill="FFFFFF"/>
        </w:rPr>
        <w:t>OJ L 211, 14.8.2009, p. 15</w:t>
      </w:r>
      <w:r w:rsidR="00F66D31" w:rsidRPr="00AE58B8">
        <w:rPr>
          <w:rStyle w:val="Emphasis"/>
          <w:i w:val="0"/>
          <w:iCs w:val="0"/>
          <w:shd w:val="clear" w:color="auto" w:fill="FFFFFF"/>
        </w:rPr>
        <w:t xml:space="preserve">, </w:t>
      </w:r>
      <w:r w:rsidR="00B95494" w:rsidRPr="00AE58B8">
        <w:rPr>
          <w:shd w:val="clear" w:color="auto" w:fill="FFFFFF"/>
        </w:rPr>
        <w:t>ELI: </w:t>
      </w:r>
      <w:hyperlink r:id="rId26" w:tooltip="Gives access to this document through its ELI URI." w:history="1">
        <w:r w:rsidR="00B95494" w:rsidRPr="00AE58B8">
          <w:rPr>
            <w:u w:val="single"/>
            <w:shd w:val="clear" w:color="auto" w:fill="FFFFFF"/>
          </w:rPr>
          <w:t>http://data.europa.eu/eli/reg/2009/714/oj</w:t>
        </w:r>
      </w:hyperlink>
      <w:r w:rsidR="00B95494" w:rsidRPr="00AE58B8">
        <w:t>).</w:t>
      </w:r>
    </w:p>
  </w:footnote>
  <w:footnote w:id="69">
    <w:p w14:paraId="5FF1B00F" w14:textId="77777777" w:rsidR="00FA1988" w:rsidRDefault="00C62666" w:rsidP="00FA1988">
      <w:pPr>
        <w:pStyle w:val="FootnoteText"/>
      </w:pPr>
      <w:r w:rsidRPr="0095738B">
        <w:rPr>
          <w:rStyle w:val="FootnoteReference"/>
        </w:rPr>
        <w:footnoteRef/>
      </w:r>
      <w:r w:rsidR="0095738B">
        <w:tab/>
      </w:r>
      <w:r w:rsidR="00FA1988">
        <w:t>Regulation (EU) No 347/2013 of the European Parliament and of the Council of 17 April 2013 on guidelines for trans-European energy infrastructure and repealing Decision No 1364/2006/EC and amending Regulations (EC) No 713/2009, (EC) No 714/2009 and (EC) No 715/2009 (</w:t>
      </w:r>
      <w:r w:rsidR="00FA1988" w:rsidRPr="00AE58B8">
        <w:rPr>
          <w:lang w:val="en-IE"/>
        </w:rPr>
        <w:t>OJ L 115, 25.4.2013, p. 39</w:t>
      </w:r>
      <w:r w:rsidR="004D2649">
        <w:rPr>
          <w:lang w:val="en-IE"/>
        </w:rPr>
        <w:t xml:space="preserve">, </w:t>
      </w:r>
      <w:r w:rsidR="00FA1988">
        <w:t>ELI: http://data.europa.eu/eli/reg/2013/347/oj</w:t>
      </w:r>
      <w:r w:rsidR="004D2649">
        <w:t>).</w:t>
      </w:r>
    </w:p>
    <w:p w14:paraId="55FC06D1" w14:textId="77777777" w:rsidR="00C62666" w:rsidRPr="00AE58B8" w:rsidRDefault="00C62666">
      <w:pPr>
        <w:pStyle w:val="FootnoteText"/>
        <w:rPr>
          <w:lang w:val="en-IE"/>
        </w:rPr>
      </w:pPr>
    </w:p>
  </w:footnote>
  <w:footnote w:id="70">
    <w:p w14:paraId="409E51D3" w14:textId="77777777" w:rsidR="003F48D1" w:rsidRPr="00A82EE5" w:rsidRDefault="003F48D1" w:rsidP="003F48D1">
      <w:pPr>
        <w:pStyle w:val="FootnoteText"/>
        <w:rPr>
          <w:lang w:val="en-IE"/>
        </w:rPr>
      </w:pPr>
      <w:r w:rsidRPr="009272B5">
        <w:rPr>
          <w:rStyle w:val="FootnoteReference"/>
        </w:rPr>
        <w:footnoteRef/>
      </w:r>
      <w:r>
        <w:tab/>
        <w:t xml:space="preserve">Regulation (EU) No 1316/2013 of the European Parliament and of the Council of 11 December 2013 establishing the Connecting Europe Facility, amending Regulation (EU) No 913/2010 and repealing Regulations (EC) No 680/2007 and (EC) No 67/2010 (OJ L 348, 20.12.2013) p. 129, </w:t>
      </w:r>
      <w:hyperlink r:id="rId27" w:tooltip="Gives access to this document through its ELI URI." w:history="1">
        <w:r w:rsidRPr="005D57C5">
          <w:rPr>
            <w:rStyle w:val="Hyperlink"/>
            <w:color w:val="auto"/>
          </w:rPr>
          <w:t>http://data.europa.eu/eli/reg/2013/1316/oj</w:t>
        </w:r>
      </w:hyperlink>
      <w:r w:rsidRPr="005D57C5">
        <w:t>.</w:t>
      </w:r>
    </w:p>
  </w:footnote>
  <w:footnote w:id="71">
    <w:p w14:paraId="14B5D396" w14:textId="77777777" w:rsidR="00AF7A86" w:rsidRDefault="00AF7A86" w:rsidP="00AF7A86">
      <w:pPr>
        <w:pStyle w:val="FootnoteText"/>
      </w:pPr>
      <w:r w:rsidRPr="008D45ED">
        <w:rPr>
          <w:rStyle w:val="FootnoteReference"/>
        </w:rPr>
        <w:footnoteRef/>
      </w:r>
      <w:r>
        <w:tab/>
        <w:t>As referred to in Article 58(2), point (a) or (b) of the Financial Regulation.</w:t>
      </w:r>
    </w:p>
  </w:footnote>
  <w:footnote w:id="72">
    <w:p w14:paraId="1E82E35B" w14:textId="77777777" w:rsidR="00AF7A86" w:rsidRPr="00093B1F" w:rsidRDefault="00AF7A86" w:rsidP="00AF7A86">
      <w:pPr>
        <w:pStyle w:val="FootnoteText"/>
        <w:rPr>
          <w:lang w:val="en-IE"/>
        </w:rPr>
      </w:pPr>
      <w:r w:rsidRPr="0095738B">
        <w:rPr>
          <w:rStyle w:val="FootnoteReference"/>
        </w:rPr>
        <w:footnoteRef/>
      </w:r>
      <w:r w:rsidR="0095738B">
        <w:tab/>
      </w:r>
      <w:r>
        <w:t xml:space="preserve">Though this LFDS covers only the 2021-2027 MFF, the proposal is expected to have financial impact beyond 2027, </w:t>
      </w:r>
    </w:p>
  </w:footnote>
  <w:footnote w:id="73">
    <w:p w14:paraId="1E58E6F0" w14:textId="77777777" w:rsidR="00AF7A86" w:rsidRDefault="00AF7A86" w:rsidP="00AF7A86">
      <w:pPr>
        <w:pStyle w:val="FootnoteText"/>
        <w:rPr>
          <w:szCs w:val="24"/>
        </w:rPr>
      </w:pPr>
      <w:r>
        <w:rPr>
          <w:rStyle w:val="FootnoteReference"/>
        </w:rPr>
        <w:footnoteRef/>
      </w:r>
      <w:r>
        <w:tab/>
        <w:t>Diff. = Differentiated appropriations / Non-diff. = Non-differentiated appropriations.</w:t>
      </w:r>
    </w:p>
  </w:footnote>
  <w:footnote w:id="74">
    <w:p w14:paraId="53A04699" w14:textId="77777777" w:rsidR="00AF7A86" w:rsidRDefault="00AF7A86" w:rsidP="00AF7A86">
      <w:pPr>
        <w:pStyle w:val="FootnoteText"/>
        <w:rPr>
          <w:szCs w:val="24"/>
        </w:rPr>
      </w:pPr>
      <w:r>
        <w:rPr>
          <w:rStyle w:val="FootnoteReference"/>
        </w:rPr>
        <w:footnoteRef/>
      </w:r>
      <w:r>
        <w:tab/>
        <w:t xml:space="preserve">EFTA: European Free Trade Association. </w:t>
      </w:r>
    </w:p>
  </w:footnote>
  <w:footnote w:id="75">
    <w:p w14:paraId="46C14B60" w14:textId="77777777" w:rsidR="00AF7A86" w:rsidRDefault="00AF7A86" w:rsidP="00AF7A86">
      <w:pPr>
        <w:pStyle w:val="FootnoteText"/>
        <w:rPr>
          <w:szCs w:val="24"/>
        </w:rPr>
      </w:pPr>
      <w:r>
        <w:rPr>
          <w:rStyle w:val="FootnoteReference"/>
        </w:rPr>
        <w:footnoteRef/>
      </w:r>
      <w:r>
        <w:tab/>
        <w:t>Candidate countries and, where applicable, potential candidates from the Western Balkans.</w:t>
      </w:r>
    </w:p>
  </w:footnote>
  <w:footnote w:id="76">
    <w:p w14:paraId="00757C05" w14:textId="09DB18B1" w:rsidR="00DC691D" w:rsidRPr="00DC691D" w:rsidRDefault="00DC691D">
      <w:pPr>
        <w:pStyle w:val="FootnoteText"/>
        <w:rPr>
          <w:lang w:val="en-IE"/>
        </w:rPr>
      </w:pPr>
      <w:r w:rsidRPr="00C574B5">
        <w:rPr>
          <w:rStyle w:val="FootnoteReference"/>
        </w:rPr>
        <w:footnoteRef/>
      </w:r>
      <w:r w:rsidR="00C574B5">
        <w:tab/>
      </w:r>
      <w:r w:rsidRPr="00DC691D">
        <w:t>T</w:t>
      </w:r>
      <w:r w:rsidRPr="008D2D9F">
        <w:t>he post-2027 amounts are indicative and do not prejudge the outcome of the ongoing negotiations on the next MFF</w:t>
      </w:r>
      <w:r w:rsidRPr="00DC691D">
        <w:t>.</w:t>
      </w:r>
    </w:p>
  </w:footnote>
  <w:footnote w:id="77">
    <w:p w14:paraId="36236CA3" w14:textId="77777777" w:rsidR="00AF7A86" w:rsidRPr="001C2D5A" w:rsidRDefault="00AF7A86" w:rsidP="00AF7A86">
      <w:pPr>
        <w:pStyle w:val="FootnoteText"/>
        <w:rPr>
          <w:lang w:val="en-IE"/>
        </w:rPr>
      </w:pPr>
      <w:r w:rsidRPr="0095738B">
        <w:rPr>
          <w:rStyle w:val="FootnoteReference"/>
        </w:rPr>
        <w:footnoteRef/>
      </w:r>
      <w:r w:rsidR="0095738B">
        <w:tab/>
      </w:r>
      <w:r>
        <w:t xml:space="preserve">A part of the operational appropriations under the Connecting Europe Facility will be dedicated to an Administrative Agreement with the JRC for the </w:t>
      </w:r>
      <w:r w:rsidR="00024701">
        <w:t>9</w:t>
      </w:r>
      <w:r>
        <w:t xml:space="preserve"> FTEs (CA) as indicated in Section 1.5.1</w:t>
      </w:r>
    </w:p>
  </w:footnote>
  <w:footnote w:id="78">
    <w:p w14:paraId="080B7220" w14:textId="377BADF3" w:rsidR="00AF7A86" w:rsidRPr="00C61379" w:rsidRDefault="00C574B5" w:rsidP="004828ED">
      <w:pPr>
        <w:pStyle w:val="FootnoteText"/>
        <w:ind w:left="0" w:firstLine="0"/>
        <w:rPr>
          <w:lang w:val="en-IE"/>
        </w:rPr>
      </w:pPr>
      <w:r>
        <w:rPr>
          <w:rStyle w:val="FootnoteReference"/>
        </w:rPr>
        <w:footnoteRef/>
      </w:r>
      <w:r>
        <w:rPr>
          <w:lang w:val="en-IE"/>
        </w:rPr>
        <w:tab/>
      </w:r>
    </w:p>
  </w:footnote>
  <w:footnote w:id="79">
    <w:p w14:paraId="3A25EA73" w14:textId="77777777" w:rsidR="00312641" w:rsidRPr="00C61379" w:rsidRDefault="00312641" w:rsidP="00312641">
      <w:pPr>
        <w:pStyle w:val="FootnoteText"/>
        <w:rPr>
          <w:lang w:val="en-IE"/>
        </w:rPr>
      </w:pPr>
      <w:r w:rsidRPr="0095738B">
        <w:rPr>
          <w:rStyle w:val="FootnoteReference"/>
        </w:rPr>
        <w:footnoteRef/>
      </w:r>
      <w:r>
        <w:rPr>
          <w:lang w:val="en-IE"/>
        </w:rPr>
        <w:tab/>
        <w:t>Estimates based on average staff costs applicable as from 2026 and corresponding to four officials in the relevant category to be redeployed within JRC.</w:t>
      </w:r>
    </w:p>
  </w:footnote>
  <w:footnote w:id="80">
    <w:p w14:paraId="5BA019CA" w14:textId="77777777" w:rsidR="00AF7A86" w:rsidRPr="001F5854" w:rsidRDefault="00AF7A86" w:rsidP="00AF7A86">
      <w:pPr>
        <w:pStyle w:val="FootnoteText"/>
        <w:rPr>
          <w:lang w:val="en-IE"/>
        </w:rPr>
      </w:pPr>
      <w:r w:rsidRPr="0095738B">
        <w:rPr>
          <w:rStyle w:val="FootnoteReference"/>
        </w:rPr>
        <w:footnoteRef/>
      </w:r>
      <w:r w:rsidR="0095738B">
        <w:tab/>
      </w:r>
      <w:r>
        <w:rPr>
          <w:lang w:val="en-IE"/>
        </w:rPr>
        <w:t>This administrative expenditure is to be continued in the next MFF.</w:t>
      </w:r>
    </w:p>
  </w:footnote>
  <w:footnote w:id="81">
    <w:p w14:paraId="280A3652" w14:textId="77777777" w:rsidR="00AF7A86" w:rsidRDefault="00AF7A86" w:rsidP="00AF7A86">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82">
    <w:p w14:paraId="2AD2BCC2" w14:textId="77777777" w:rsidR="00AF7A86" w:rsidRDefault="00AF7A86" w:rsidP="00AF7A86">
      <w:pPr>
        <w:pStyle w:val="FootnoteText"/>
        <w:rPr>
          <w:szCs w:val="24"/>
        </w:rPr>
      </w:pPr>
      <w:r>
        <w:rPr>
          <w:rStyle w:val="FootnoteReference"/>
        </w:rPr>
        <w:footnoteRef/>
      </w:r>
      <w:r>
        <w:tab/>
        <w:t xml:space="preserve">As described in Section 1.3.2. ‘Specific objective(s)’ </w:t>
      </w:r>
    </w:p>
  </w:footnote>
  <w:footnote w:id="83">
    <w:p w14:paraId="71A03790" w14:textId="77777777" w:rsidR="00AF7A86" w:rsidRPr="00150047" w:rsidRDefault="00AF7A86" w:rsidP="00AF7A86">
      <w:pPr>
        <w:pStyle w:val="FootnoteText"/>
        <w:rPr>
          <w:lang w:val="en-IE"/>
        </w:rPr>
      </w:pPr>
      <w:r w:rsidRPr="0095738B">
        <w:rPr>
          <w:rStyle w:val="FootnoteReference"/>
        </w:rPr>
        <w:footnoteRef/>
      </w:r>
      <w:r w:rsidR="0095738B">
        <w:tab/>
      </w:r>
      <w:r>
        <w:rPr>
          <w:lang w:val="en-IE"/>
        </w:rPr>
        <w:t>Because the additional FTEs will cover new tasks assigned to the Commission, there are currently not FTEs that are already assigned to the management of the action or that can be redeployed within the DG</w:t>
      </w:r>
      <w:r w:rsidR="004B7745">
        <w:rPr>
          <w:lang w:val="en-IE"/>
        </w:rPr>
        <w:t xml:space="preserve"> as far as DG E</w:t>
      </w:r>
      <w:r w:rsidR="00BB4F30">
        <w:rPr>
          <w:lang w:val="en-IE"/>
        </w:rPr>
        <w:t>nergy</w:t>
      </w:r>
      <w:r w:rsidR="004B7745">
        <w:rPr>
          <w:lang w:val="en-IE"/>
        </w:rPr>
        <w:t xml:space="preserve"> is co</w:t>
      </w:r>
      <w:r w:rsidR="00BB4F30">
        <w:rPr>
          <w:lang w:val="en-IE"/>
        </w:rPr>
        <w:t>n</w:t>
      </w:r>
      <w:r w:rsidR="004B7745">
        <w:rPr>
          <w:lang w:val="en-IE"/>
        </w:rPr>
        <w:t>cerned</w:t>
      </w:r>
      <w:r>
        <w:rPr>
          <w:lang w:val="en-IE"/>
        </w:rPr>
        <w:t>.</w:t>
      </w:r>
    </w:p>
  </w:footnote>
  <w:footnote w:id="84">
    <w:p w14:paraId="2A808E64" w14:textId="77777777" w:rsidR="00AF7A86" w:rsidRPr="00537275" w:rsidRDefault="00AF7A86" w:rsidP="00AF7A86">
      <w:pPr>
        <w:pStyle w:val="FootnoteText"/>
        <w:rPr>
          <w:lang w:val="en-IE"/>
        </w:rPr>
      </w:pPr>
      <w:r w:rsidRPr="0095738B">
        <w:rPr>
          <w:rStyle w:val="FootnoteReference"/>
        </w:rPr>
        <w:footnoteRef/>
      </w:r>
      <w:r w:rsidR="0095738B">
        <w:tab/>
      </w:r>
      <w:r>
        <w:rPr>
          <w:lang w:val="en-IE"/>
        </w:rPr>
        <w:t>As indicated earlier, the proposal has an unlimited duration and the resource needs will extend beyond 2027 also under the 2028-2034 MFF.</w:t>
      </w:r>
    </w:p>
  </w:footnote>
  <w:footnote w:id="85">
    <w:p w14:paraId="20E36E91" w14:textId="77777777" w:rsidR="00AF7A86" w:rsidRPr="00AC2D98" w:rsidRDefault="00AF7A86" w:rsidP="00AF7A86">
      <w:pPr>
        <w:pStyle w:val="FootnoteText"/>
        <w:rPr>
          <w:lang w:val="en-IE"/>
        </w:rPr>
      </w:pPr>
      <w:r w:rsidRPr="0095738B">
        <w:rPr>
          <w:rStyle w:val="FootnoteReference"/>
        </w:rPr>
        <w:footnoteRef/>
      </w:r>
      <w:r w:rsidR="0095738B">
        <w:tab/>
      </w:r>
      <w:r>
        <w:rPr>
          <w:lang w:val="en-IE"/>
        </w:rPr>
        <w:t>Figure for the entire MFF 2028-2034</w:t>
      </w:r>
    </w:p>
  </w:footnote>
  <w:footnote w:id="86">
    <w:p w14:paraId="50157B27" w14:textId="77777777" w:rsidR="00AF7A86" w:rsidRDefault="00AF7A86" w:rsidP="00AF7A86">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C0C42" w14:textId="77777777" w:rsidR="005C1364" w:rsidRDefault="005C1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64AE" w14:textId="77777777" w:rsidR="005C1364" w:rsidRDefault="005C1364" w:rsidP="005C1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7721" w14:textId="77777777" w:rsidR="005C1364" w:rsidRPr="005C1364" w:rsidRDefault="005C1364" w:rsidP="005C1364">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3512" w14:textId="77777777" w:rsidR="005C1364" w:rsidRPr="005C1364" w:rsidRDefault="005C1364" w:rsidP="005C1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F816A7A"/>
    <w:multiLevelType w:val="hybridMultilevel"/>
    <w:tmpl w:val="364081C8"/>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hint="default"/>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hint="default"/>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C4F215"/>
    <w:multiLevelType w:val="hybridMultilevel"/>
    <w:tmpl w:val="5720BF8E"/>
    <w:lvl w:ilvl="0" w:tplc="1C5C4ADA">
      <w:start w:val="1"/>
      <w:numFmt w:val="decimal"/>
      <w:lvlText w:val="(%1)"/>
      <w:lvlJc w:val="left"/>
      <w:pPr>
        <w:ind w:left="720" w:hanging="360"/>
      </w:pPr>
    </w:lvl>
    <w:lvl w:ilvl="1" w:tplc="EA186092">
      <w:start w:val="1"/>
      <w:numFmt w:val="lowerLetter"/>
      <w:lvlText w:val="%2."/>
      <w:lvlJc w:val="left"/>
      <w:pPr>
        <w:ind w:left="1440" w:hanging="360"/>
      </w:pPr>
    </w:lvl>
    <w:lvl w:ilvl="2" w:tplc="24203562">
      <w:start w:val="1"/>
      <w:numFmt w:val="lowerRoman"/>
      <w:lvlText w:val="%3."/>
      <w:lvlJc w:val="right"/>
      <w:pPr>
        <w:ind w:left="2160" w:hanging="180"/>
      </w:pPr>
    </w:lvl>
    <w:lvl w:ilvl="3" w:tplc="563EE006">
      <w:start w:val="1"/>
      <w:numFmt w:val="decimal"/>
      <w:lvlText w:val="%4."/>
      <w:lvlJc w:val="left"/>
      <w:pPr>
        <w:ind w:left="2880" w:hanging="360"/>
      </w:pPr>
    </w:lvl>
    <w:lvl w:ilvl="4" w:tplc="C39E40FC">
      <w:start w:val="1"/>
      <w:numFmt w:val="lowerLetter"/>
      <w:lvlText w:val="%5."/>
      <w:lvlJc w:val="left"/>
      <w:pPr>
        <w:ind w:left="3600" w:hanging="360"/>
      </w:pPr>
    </w:lvl>
    <w:lvl w:ilvl="5" w:tplc="88406068">
      <w:start w:val="1"/>
      <w:numFmt w:val="lowerRoman"/>
      <w:lvlText w:val="%6."/>
      <w:lvlJc w:val="right"/>
      <w:pPr>
        <w:ind w:left="4320" w:hanging="180"/>
      </w:pPr>
    </w:lvl>
    <w:lvl w:ilvl="6" w:tplc="FAECE276">
      <w:start w:val="1"/>
      <w:numFmt w:val="decimal"/>
      <w:lvlText w:val="%7."/>
      <w:lvlJc w:val="left"/>
      <w:pPr>
        <w:ind w:left="5040" w:hanging="360"/>
      </w:pPr>
    </w:lvl>
    <w:lvl w:ilvl="7" w:tplc="61E87588">
      <w:start w:val="1"/>
      <w:numFmt w:val="lowerLetter"/>
      <w:lvlText w:val="%8."/>
      <w:lvlJc w:val="left"/>
      <w:pPr>
        <w:ind w:left="5760" w:hanging="360"/>
      </w:pPr>
    </w:lvl>
    <w:lvl w:ilvl="8" w:tplc="755CB8A0">
      <w:start w:val="1"/>
      <w:numFmt w:val="lowerRoman"/>
      <w:lvlText w:val="%9."/>
      <w:lvlJc w:val="right"/>
      <w:pPr>
        <w:ind w:left="6480" w:hanging="180"/>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CE2E2B"/>
    <w:multiLevelType w:val="hybridMultilevel"/>
    <w:tmpl w:val="9E8ABB40"/>
    <w:lvl w:ilvl="0" w:tplc="85C6646A">
      <w:numFmt w:val="bullet"/>
      <w:lvlText w:val="-"/>
      <w:lvlJc w:val="left"/>
      <w:pPr>
        <w:ind w:left="1210" w:hanging="360"/>
      </w:pPr>
      <w:rPr>
        <w:rFonts w:ascii="Times New Roman" w:eastAsiaTheme="minorHAnsi" w:hAnsi="Times New Roman" w:cs="Times New Roman" w:hint="default"/>
      </w:rPr>
    </w:lvl>
    <w:lvl w:ilvl="1" w:tplc="18090003" w:tentative="1">
      <w:start w:val="1"/>
      <w:numFmt w:val="bullet"/>
      <w:lvlText w:val="o"/>
      <w:lvlJc w:val="left"/>
      <w:pPr>
        <w:ind w:left="1930" w:hanging="360"/>
      </w:pPr>
      <w:rPr>
        <w:rFonts w:ascii="Courier New" w:hAnsi="Courier New" w:cs="Courier New" w:hint="default"/>
      </w:rPr>
    </w:lvl>
    <w:lvl w:ilvl="2" w:tplc="18090005" w:tentative="1">
      <w:start w:val="1"/>
      <w:numFmt w:val="bullet"/>
      <w:lvlText w:val=""/>
      <w:lvlJc w:val="left"/>
      <w:pPr>
        <w:ind w:left="2650" w:hanging="360"/>
      </w:pPr>
      <w:rPr>
        <w:rFonts w:ascii="Wingdings" w:hAnsi="Wingdings" w:hint="default"/>
      </w:rPr>
    </w:lvl>
    <w:lvl w:ilvl="3" w:tplc="18090001" w:tentative="1">
      <w:start w:val="1"/>
      <w:numFmt w:val="bullet"/>
      <w:lvlText w:val=""/>
      <w:lvlJc w:val="left"/>
      <w:pPr>
        <w:ind w:left="3370" w:hanging="360"/>
      </w:pPr>
      <w:rPr>
        <w:rFonts w:ascii="Symbol" w:hAnsi="Symbol" w:hint="default"/>
      </w:rPr>
    </w:lvl>
    <w:lvl w:ilvl="4" w:tplc="18090003" w:tentative="1">
      <w:start w:val="1"/>
      <w:numFmt w:val="bullet"/>
      <w:lvlText w:val="o"/>
      <w:lvlJc w:val="left"/>
      <w:pPr>
        <w:ind w:left="4090" w:hanging="360"/>
      </w:pPr>
      <w:rPr>
        <w:rFonts w:ascii="Courier New" w:hAnsi="Courier New" w:cs="Courier New" w:hint="default"/>
      </w:rPr>
    </w:lvl>
    <w:lvl w:ilvl="5" w:tplc="18090005" w:tentative="1">
      <w:start w:val="1"/>
      <w:numFmt w:val="bullet"/>
      <w:lvlText w:val=""/>
      <w:lvlJc w:val="left"/>
      <w:pPr>
        <w:ind w:left="4810" w:hanging="360"/>
      </w:pPr>
      <w:rPr>
        <w:rFonts w:ascii="Wingdings" w:hAnsi="Wingdings" w:hint="default"/>
      </w:rPr>
    </w:lvl>
    <w:lvl w:ilvl="6" w:tplc="18090001" w:tentative="1">
      <w:start w:val="1"/>
      <w:numFmt w:val="bullet"/>
      <w:lvlText w:val=""/>
      <w:lvlJc w:val="left"/>
      <w:pPr>
        <w:ind w:left="5530" w:hanging="360"/>
      </w:pPr>
      <w:rPr>
        <w:rFonts w:ascii="Symbol" w:hAnsi="Symbol" w:hint="default"/>
      </w:rPr>
    </w:lvl>
    <w:lvl w:ilvl="7" w:tplc="18090003" w:tentative="1">
      <w:start w:val="1"/>
      <w:numFmt w:val="bullet"/>
      <w:lvlText w:val="o"/>
      <w:lvlJc w:val="left"/>
      <w:pPr>
        <w:ind w:left="6250" w:hanging="360"/>
      </w:pPr>
      <w:rPr>
        <w:rFonts w:ascii="Courier New" w:hAnsi="Courier New" w:cs="Courier New" w:hint="default"/>
      </w:rPr>
    </w:lvl>
    <w:lvl w:ilvl="8" w:tplc="18090005" w:tentative="1">
      <w:start w:val="1"/>
      <w:numFmt w:val="bullet"/>
      <w:lvlText w:val=""/>
      <w:lvlJc w:val="left"/>
      <w:pPr>
        <w:ind w:left="6970" w:hanging="360"/>
      </w:pPr>
      <w:rPr>
        <w:rFonts w:ascii="Wingdings" w:hAnsi="Wingdings" w:hint="default"/>
      </w:r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lvl>
    <w:lvl w:ilvl="1">
      <w:start w:val="1"/>
      <w:numFmt w:val="lowerLetter"/>
      <w:pStyle w:val="LegalNumPar2"/>
      <w:lvlText w:val="%2."/>
      <w:lvlJc w:val="left"/>
      <w:pPr>
        <w:ind w:left="953" w:hanging="477"/>
      </w:pPr>
    </w:lvl>
    <w:lvl w:ilvl="2">
      <w:start w:val="1"/>
      <w:numFmt w:val="lowerRoman"/>
      <w:pStyle w:val="LegalNumPar3"/>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hint="default"/>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hint="default"/>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hint="default"/>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hint="default"/>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hint="default"/>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hint="default"/>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hint="default"/>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905414C"/>
    <w:multiLevelType w:val="hybridMultilevel"/>
    <w:tmpl w:val="599C2854"/>
    <w:lvl w:ilvl="0" w:tplc="65D881D6">
      <w:start w:val="1"/>
      <w:numFmt w:val="decimal"/>
      <w:lvlText w:val="(%1)"/>
      <w:lvlJc w:val="left"/>
      <w:pPr>
        <w:ind w:left="720" w:hanging="360"/>
      </w:pPr>
    </w:lvl>
    <w:lvl w:ilvl="1" w:tplc="632AE274">
      <w:start w:val="1"/>
      <w:numFmt w:val="lowerLetter"/>
      <w:lvlText w:val="%2."/>
      <w:lvlJc w:val="left"/>
      <w:pPr>
        <w:ind w:left="1440" w:hanging="360"/>
      </w:pPr>
    </w:lvl>
    <w:lvl w:ilvl="2" w:tplc="059818D8">
      <w:start w:val="1"/>
      <w:numFmt w:val="lowerRoman"/>
      <w:lvlText w:val="%3."/>
      <w:lvlJc w:val="right"/>
      <w:pPr>
        <w:ind w:left="2160" w:hanging="180"/>
      </w:pPr>
    </w:lvl>
    <w:lvl w:ilvl="3" w:tplc="596871CC">
      <w:start w:val="1"/>
      <w:numFmt w:val="decimal"/>
      <w:lvlText w:val="%4."/>
      <w:lvlJc w:val="left"/>
      <w:pPr>
        <w:ind w:left="2880" w:hanging="360"/>
      </w:pPr>
    </w:lvl>
    <w:lvl w:ilvl="4" w:tplc="0AB29B26">
      <w:start w:val="1"/>
      <w:numFmt w:val="lowerLetter"/>
      <w:lvlText w:val="%5."/>
      <w:lvlJc w:val="left"/>
      <w:pPr>
        <w:ind w:left="3600" w:hanging="360"/>
      </w:pPr>
    </w:lvl>
    <w:lvl w:ilvl="5" w:tplc="A0FA233C">
      <w:start w:val="1"/>
      <w:numFmt w:val="lowerRoman"/>
      <w:lvlText w:val="%6."/>
      <w:lvlJc w:val="right"/>
      <w:pPr>
        <w:ind w:left="4320" w:hanging="180"/>
      </w:pPr>
    </w:lvl>
    <w:lvl w:ilvl="6" w:tplc="2AC8BDD0">
      <w:start w:val="1"/>
      <w:numFmt w:val="decimal"/>
      <w:lvlText w:val="%7."/>
      <w:lvlJc w:val="left"/>
      <w:pPr>
        <w:ind w:left="5040" w:hanging="360"/>
      </w:pPr>
    </w:lvl>
    <w:lvl w:ilvl="7" w:tplc="641847F8">
      <w:start w:val="1"/>
      <w:numFmt w:val="lowerLetter"/>
      <w:lvlText w:val="%8."/>
      <w:lvlJc w:val="left"/>
      <w:pPr>
        <w:ind w:left="5760" w:hanging="360"/>
      </w:pPr>
    </w:lvl>
    <w:lvl w:ilvl="8" w:tplc="693CB798">
      <w:start w:val="1"/>
      <w:numFmt w:val="lowerRoman"/>
      <w:lvlText w:val="%9."/>
      <w:lvlJc w:val="right"/>
      <w:pPr>
        <w:ind w:left="6480" w:hanging="180"/>
      </w:pPr>
    </w:lvl>
  </w:abstractNum>
  <w:abstractNum w:abstractNumId="24"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3"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4"/>
  </w:num>
  <w:num w:numId="3">
    <w:abstractNumId w:val="11"/>
  </w:num>
  <w:num w:numId="4">
    <w:abstractNumId w:val="20"/>
  </w:num>
  <w:num w:numId="5">
    <w:abstractNumId w:val="19"/>
  </w:num>
  <w:num w:numId="6">
    <w:abstractNumId w:val="31"/>
  </w:num>
  <w:num w:numId="7">
    <w:abstractNumId w:val="28"/>
  </w:num>
  <w:num w:numId="8">
    <w:abstractNumId w:val="32"/>
  </w:num>
  <w:num w:numId="9">
    <w:abstractNumId w:val="33"/>
  </w:num>
  <w:num w:numId="10">
    <w:abstractNumId w:val="2"/>
  </w:num>
  <w:num w:numId="11">
    <w:abstractNumId w:val="13"/>
  </w:num>
  <w:num w:numId="12">
    <w:abstractNumId w:val="3"/>
  </w:num>
  <w:num w:numId="13">
    <w:abstractNumId w:val="14"/>
  </w:num>
  <w:num w:numId="14">
    <w:abstractNumId w:val="12"/>
  </w:num>
  <w:num w:numId="15">
    <w:abstractNumId w:val="21"/>
  </w:num>
  <w:num w:numId="16">
    <w:abstractNumId w:val="10"/>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6"/>
  </w:num>
  <w:num w:numId="25">
    <w:abstractNumId w:val="4"/>
  </w:num>
  <w:num w:numId="26">
    <w:abstractNumId w:val="6"/>
  </w:num>
  <w:num w:numId="27">
    <w:abstractNumId w:val="4"/>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4"/>
    <w:lvlOverride w:ilvl="0">
      <w:startOverride w:val="1"/>
    </w:lvlOverride>
  </w:num>
  <w:num w:numId="93">
    <w:abstractNumId w:val="15"/>
    <w:lvlOverride w:ilvl="0">
      <w:startOverride w:val="1"/>
    </w:lvlOverride>
  </w:num>
  <w:num w:numId="94">
    <w:abstractNumId w:val="27"/>
  </w:num>
  <w:num w:numId="95">
    <w:abstractNumId w:val="15"/>
  </w:num>
  <w:num w:numId="96">
    <w:abstractNumId w:val="30"/>
  </w:num>
  <w:num w:numId="97">
    <w:abstractNumId w:val="9"/>
  </w:num>
  <w:num w:numId="98">
    <w:abstractNumId w:val="16"/>
  </w:num>
  <w:num w:numId="99">
    <w:abstractNumId w:val="17"/>
  </w:num>
  <w:num w:numId="100">
    <w:abstractNumId w:val="6"/>
  </w:num>
  <w:num w:numId="101">
    <w:abstractNumId w:val="29"/>
  </w:num>
  <w:num w:numId="102">
    <w:abstractNumId w:val="4"/>
  </w:num>
  <w:num w:numId="103">
    <w:abstractNumId w:val="18"/>
  </w:num>
  <w:num w:numId="104">
    <w:abstractNumId w:val="25"/>
  </w:num>
  <w:num w:numId="105">
    <w:abstractNumId w:val="26"/>
  </w:num>
  <w:num w:numId="106">
    <w:abstractNumId w:val="8"/>
  </w:num>
  <w:num w:numId="107">
    <w:abstractNumId w:val="22"/>
  </w:num>
  <w:num w:numId="108">
    <w:abstractNumId w:val="34"/>
  </w:num>
  <w:num w:numId="109">
    <w:abstractNumId w:val="5"/>
  </w:num>
  <w:num w:numId="110">
    <w:abstractNumId w:val="23"/>
  </w:num>
  <w:num w:numId="111">
    <w:abstractNumId w:val="25"/>
    <w:lvlOverride w:ilvl="0">
      <w:startOverride w:val="1"/>
    </w:lvlOverride>
  </w:num>
  <w:num w:numId="112">
    <w:abstractNumId w:val="1"/>
  </w:num>
  <w:num w:numId="113">
    <w:abstractNumId w:val="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12-09 16:25: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EPKit_DocumentHasBeenSaved" w:val="true"/>
    <w:docVar w:name="LW_CORRIGENDUM" w:val="&lt;UNUSED&gt;"/>
    <w:docVar w:name="LW_COVERPAGE_EXISTS" w:val="True"/>
    <w:docVar w:name="LW_COVERPAGE_GUID" w:val="1F3DF7EF-CCD4-4A46-A2BB-215BA217576A"/>
    <w:docVar w:name="LW_COVERPAGE_TYPE" w:val="1"/>
    <w:docVar w:name="LW_CreatedUtc" w:val="2025-10-03T15:37:53.5450650Z"/>
    <w:docVar w:name="LW_CROSSREFERENCE" w:val="{SEC(2025) 2000 final} - {SWD(2025) 2000 final} - {SWD(2025) 2001 final}"/>
    <w:docVar w:name="LW_DocType" w:val="COM"/>
    <w:docVar w:name="LW_EMISSION" w:val="10.12.2025"/>
    <w:docVar w:name="LW_EMISSION_ISODATE" w:val="2025-12-1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99"/>
    <w:docVar w:name="LW_REF.II.NEW.CP_YEAR" w:val="2025"/>
    <w:docVar w:name="LW_REF.INST.NEW" w:val="COM"/>
    <w:docVar w:name="LW_REF.INST.NEW_ADOPTED" w:val="final"/>
    <w:docVar w:name="LW_REF.INST.NEW_TEXT" w:val="(2025) 10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guidelines for trans-European energy infrastructure, amending Regulations (EU) 2019/942, (EU) 2019/943 and (EU) 2024/1789 and repealing Regulation (EU) 2022/869"/>
    <w:docVar w:name="LW_TYPE.DOC.CP" w:val="REGULATION OF THE EUROPEAN PARLIAMENT AND OF THE COUNCIL"/>
    <w:docVar w:name="LwApiVersions" w:val="LW4CoDe 1.24.5.0; LW 9.2, Build 20251112"/>
  </w:docVars>
  <w:rsids>
    <w:rsidRoot w:val="003E7EA6"/>
    <w:rsid w:val="000002F6"/>
    <w:rsid w:val="0000037B"/>
    <w:rsid w:val="0000043B"/>
    <w:rsid w:val="00000497"/>
    <w:rsid w:val="00000700"/>
    <w:rsid w:val="0000075C"/>
    <w:rsid w:val="0000079C"/>
    <w:rsid w:val="0000094F"/>
    <w:rsid w:val="00000979"/>
    <w:rsid w:val="00000998"/>
    <w:rsid w:val="00000A0D"/>
    <w:rsid w:val="00000A91"/>
    <w:rsid w:val="00000B6F"/>
    <w:rsid w:val="00000C43"/>
    <w:rsid w:val="00000C80"/>
    <w:rsid w:val="00000C92"/>
    <w:rsid w:val="00000DCE"/>
    <w:rsid w:val="000010BF"/>
    <w:rsid w:val="00001494"/>
    <w:rsid w:val="0000166A"/>
    <w:rsid w:val="0000195A"/>
    <w:rsid w:val="000019B0"/>
    <w:rsid w:val="00001BE8"/>
    <w:rsid w:val="00001BF8"/>
    <w:rsid w:val="00001C53"/>
    <w:rsid w:val="00001C9A"/>
    <w:rsid w:val="00001CE7"/>
    <w:rsid w:val="00001E1F"/>
    <w:rsid w:val="00001E4B"/>
    <w:rsid w:val="00001EA7"/>
    <w:rsid w:val="00001EC5"/>
    <w:rsid w:val="00001F6A"/>
    <w:rsid w:val="00001F79"/>
    <w:rsid w:val="000020D4"/>
    <w:rsid w:val="00002118"/>
    <w:rsid w:val="0000216C"/>
    <w:rsid w:val="0000220E"/>
    <w:rsid w:val="000022F7"/>
    <w:rsid w:val="000023B4"/>
    <w:rsid w:val="00002410"/>
    <w:rsid w:val="00002467"/>
    <w:rsid w:val="000024B0"/>
    <w:rsid w:val="000025B4"/>
    <w:rsid w:val="000026A4"/>
    <w:rsid w:val="000029CB"/>
    <w:rsid w:val="00002A80"/>
    <w:rsid w:val="00002C7A"/>
    <w:rsid w:val="00002CB1"/>
    <w:rsid w:val="00002DF7"/>
    <w:rsid w:val="0000302C"/>
    <w:rsid w:val="00003260"/>
    <w:rsid w:val="000034E2"/>
    <w:rsid w:val="00003522"/>
    <w:rsid w:val="00003627"/>
    <w:rsid w:val="00003695"/>
    <w:rsid w:val="000037B2"/>
    <w:rsid w:val="00003837"/>
    <w:rsid w:val="000038FF"/>
    <w:rsid w:val="00003943"/>
    <w:rsid w:val="00003A24"/>
    <w:rsid w:val="00003A9F"/>
    <w:rsid w:val="00003B53"/>
    <w:rsid w:val="00003B98"/>
    <w:rsid w:val="00003C79"/>
    <w:rsid w:val="00003DD7"/>
    <w:rsid w:val="0000415B"/>
    <w:rsid w:val="00004316"/>
    <w:rsid w:val="00004350"/>
    <w:rsid w:val="00004456"/>
    <w:rsid w:val="00004467"/>
    <w:rsid w:val="00004678"/>
    <w:rsid w:val="00004781"/>
    <w:rsid w:val="000047F5"/>
    <w:rsid w:val="00004837"/>
    <w:rsid w:val="00004A5C"/>
    <w:rsid w:val="00004AAD"/>
    <w:rsid w:val="00004B19"/>
    <w:rsid w:val="00004B2F"/>
    <w:rsid w:val="00004C07"/>
    <w:rsid w:val="00004C1D"/>
    <w:rsid w:val="00004CFF"/>
    <w:rsid w:val="00004ECB"/>
    <w:rsid w:val="00004F43"/>
    <w:rsid w:val="00005029"/>
    <w:rsid w:val="0000504F"/>
    <w:rsid w:val="0000506B"/>
    <w:rsid w:val="00005119"/>
    <w:rsid w:val="0000524C"/>
    <w:rsid w:val="000052D4"/>
    <w:rsid w:val="0000533A"/>
    <w:rsid w:val="0000538B"/>
    <w:rsid w:val="000053E7"/>
    <w:rsid w:val="00005413"/>
    <w:rsid w:val="000056D1"/>
    <w:rsid w:val="00005B23"/>
    <w:rsid w:val="00005C9C"/>
    <w:rsid w:val="00005D67"/>
    <w:rsid w:val="00005EE9"/>
    <w:rsid w:val="000060D6"/>
    <w:rsid w:val="00006154"/>
    <w:rsid w:val="000061EA"/>
    <w:rsid w:val="00006794"/>
    <w:rsid w:val="000067CB"/>
    <w:rsid w:val="00006AFD"/>
    <w:rsid w:val="00006DB8"/>
    <w:rsid w:val="00006E7B"/>
    <w:rsid w:val="00006FAA"/>
    <w:rsid w:val="00007408"/>
    <w:rsid w:val="00007487"/>
    <w:rsid w:val="000074BF"/>
    <w:rsid w:val="000074F2"/>
    <w:rsid w:val="00007652"/>
    <w:rsid w:val="000076B2"/>
    <w:rsid w:val="000077C7"/>
    <w:rsid w:val="0000794D"/>
    <w:rsid w:val="00007BA1"/>
    <w:rsid w:val="00007C84"/>
    <w:rsid w:val="00007CE2"/>
    <w:rsid w:val="00007D5D"/>
    <w:rsid w:val="00007DAB"/>
    <w:rsid w:val="00007E19"/>
    <w:rsid w:val="00007E55"/>
    <w:rsid w:val="00007FAC"/>
    <w:rsid w:val="00010017"/>
    <w:rsid w:val="000100F0"/>
    <w:rsid w:val="000102BD"/>
    <w:rsid w:val="00010306"/>
    <w:rsid w:val="0001031D"/>
    <w:rsid w:val="000103CF"/>
    <w:rsid w:val="00010628"/>
    <w:rsid w:val="000106C5"/>
    <w:rsid w:val="00010749"/>
    <w:rsid w:val="0001077D"/>
    <w:rsid w:val="000107F2"/>
    <w:rsid w:val="000107FD"/>
    <w:rsid w:val="00010869"/>
    <w:rsid w:val="000108C4"/>
    <w:rsid w:val="0001093B"/>
    <w:rsid w:val="00010F1A"/>
    <w:rsid w:val="0001111F"/>
    <w:rsid w:val="000111DB"/>
    <w:rsid w:val="00011402"/>
    <w:rsid w:val="00011450"/>
    <w:rsid w:val="00011465"/>
    <w:rsid w:val="0001164D"/>
    <w:rsid w:val="00011AF0"/>
    <w:rsid w:val="00011EB1"/>
    <w:rsid w:val="000120EE"/>
    <w:rsid w:val="00012295"/>
    <w:rsid w:val="000122B5"/>
    <w:rsid w:val="00012312"/>
    <w:rsid w:val="000124B6"/>
    <w:rsid w:val="000124BA"/>
    <w:rsid w:val="00012554"/>
    <w:rsid w:val="00012567"/>
    <w:rsid w:val="000125E2"/>
    <w:rsid w:val="000126C5"/>
    <w:rsid w:val="0001278E"/>
    <w:rsid w:val="000127BC"/>
    <w:rsid w:val="000129EF"/>
    <w:rsid w:val="00012A3D"/>
    <w:rsid w:val="00012BEB"/>
    <w:rsid w:val="00012BED"/>
    <w:rsid w:val="00012C38"/>
    <w:rsid w:val="00012C44"/>
    <w:rsid w:val="00012DB5"/>
    <w:rsid w:val="00012E93"/>
    <w:rsid w:val="00012E95"/>
    <w:rsid w:val="00012F87"/>
    <w:rsid w:val="00012FC0"/>
    <w:rsid w:val="0001301B"/>
    <w:rsid w:val="0001302C"/>
    <w:rsid w:val="000130AC"/>
    <w:rsid w:val="000130B6"/>
    <w:rsid w:val="000130BE"/>
    <w:rsid w:val="0001314F"/>
    <w:rsid w:val="000131D1"/>
    <w:rsid w:val="00013309"/>
    <w:rsid w:val="0001345D"/>
    <w:rsid w:val="000134B0"/>
    <w:rsid w:val="000134E9"/>
    <w:rsid w:val="00013784"/>
    <w:rsid w:val="000138EF"/>
    <w:rsid w:val="00013F02"/>
    <w:rsid w:val="00014015"/>
    <w:rsid w:val="00014137"/>
    <w:rsid w:val="00014157"/>
    <w:rsid w:val="00014173"/>
    <w:rsid w:val="000141D9"/>
    <w:rsid w:val="00014249"/>
    <w:rsid w:val="000143AE"/>
    <w:rsid w:val="000143ED"/>
    <w:rsid w:val="00014526"/>
    <w:rsid w:val="00014833"/>
    <w:rsid w:val="00014939"/>
    <w:rsid w:val="00014A64"/>
    <w:rsid w:val="00014B1A"/>
    <w:rsid w:val="00014EA7"/>
    <w:rsid w:val="00014F79"/>
    <w:rsid w:val="0001507E"/>
    <w:rsid w:val="000150F5"/>
    <w:rsid w:val="000152B6"/>
    <w:rsid w:val="000153BC"/>
    <w:rsid w:val="000154B6"/>
    <w:rsid w:val="000154F3"/>
    <w:rsid w:val="00015582"/>
    <w:rsid w:val="00015717"/>
    <w:rsid w:val="00015978"/>
    <w:rsid w:val="00015C82"/>
    <w:rsid w:val="00015DCD"/>
    <w:rsid w:val="000162F9"/>
    <w:rsid w:val="000165BB"/>
    <w:rsid w:val="0001669C"/>
    <w:rsid w:val="000166D3"/>
    <w:rsid w:val="00016B5A"/>
    <w:rsid w:val="00016B9D"/>
    <w:rsid w:val="00016BFC"/>
    <w:rsid w:val="00016C4B"/>
    <w:rsid w:val="00016F40"/>
    <w:rsid w:val="00016F53"/>
    <w:rsid w:val="00016F5E"/>
    <w:rsid w:val="00016FA0"/>
    <w:rsid w:val="0001703C"/>
    <w:rsid w:val="00017257"/>
    <w:rsid w:val="0001755C"/>
    <w:rsid w:val="000179C3"/>
    <w:rsid w:val="00017ABC"/>
    <w:rsid w:val="00017BBB"/>
    <w:rsid w:val="00017C57"/>
    <w:rsid w:val="00017D39"/>
    <w:rsid w:val="00017E10"/>
    <w:rsid w:val="00017E4C"/>
    <w:rsid w:val="00017F1A"/>
    <w:rsid w:val="00020025"/>
    <w:rsid w:val="000200E2"/>
    <w:rsid w:val="00020130"/>
    <w:rsid w:val="0002013E"/>
    <w:rsid w:val="000201CB"/>
    <w:rsid w:val="0002029F"/>
    <w:rsid w:val="00020469"/>
    <w:rsid w:val="00020474"/>
    <w:rsid w:val="00020512"/>
    <w:rsid w:val="000205C5"/>
    <w:rsid w:val="000206BC"/>
    <w:rsid w:val="000206EB"/>
    <w:rsid w:val="00020878"/>
    <w:rsid w:val="00020885"/>
    <w:rsid w:val="000209CD"/>
    <w:rsid w:val="00020B3E"/>
    <w:rsid w:val="00020BC6"/>
    <w:rsid w:val="00020BE2"/>
    <w:rsid w:val="00020D03"/>
    <w:rsid w:val="00020DE7"/>
    <w:rsid w:val="000212B3"/>
    <w:rsid w:val="0002152E"/>
    <w:rsid w:val="00021605"/>
    <w:rsid w:val="0002160C"/>
    <w:rsid w:val="000216CE"/>
    <w:rsid w:val="00021730"/>
    <w:rsid w:val="000217C7"/>
    <w:rsid w:val="0002190E"/>
    <w:rsid w:val="00021BA5"/>
    <w:rsid w:val="00021C90"/>
    <w:rsid w:val="00021F6D"/>
    <w:rsid w:val="0002206B"/>
    <w:rsid w:val="000220E0"/>
    <w:rsid w:val="0002217D"/>
    <w:rsid w:val="0002220A"/>
    <w:rsid w:val="00022306"/>
    <w:rsid w:val="00022311"/>
    <w:rsid w:val="00022318"/>
    <w:rsid w:val="00022411"/>
    <w:rsid w:val="000224A3"/>
    <w:rsid w:val="00022730"/>
    <w:rsid w:val="00022814"/>
    <w:rsid w:val="00022838"/>
    <w:rsid w:val="000229CB"/>
    <w:rsid w:val="00022A3B"/>
    <w:rsid w:val="00022AA3"/>
    <w:rsid w:val="00022AD6"/>
    <w:rsid w:val="00022D3B"/>
    <w:rsid w:val="00022E7C"/>
    <w:rsid w:val="00022ECC"/>
    <w:rsid w:val="00022FCE"/>
    <w:rsid w:val="000231C3"/>
    <w:rsid w:val="00023261"/>
    <w:rsid w:val="00023509"/>
    <w:rsid w:val="00023553"/>
    <w:rsid w:val="00023611"/>
    <w:rsid w:val="000238C3"/>
    <w:rsid w:val="000239CF"/>
    <w:rsid w:val="00023A44"/>
    <w:rsid w:val="00023A5C"/>
    <w:rsid w:val="00023C96"/>
    <w:rsid w:val="00023D30"/>
    <w:rsid w:val="00023E47"/>
    <w:rsid w:val="00023E7F"/>
    <w:rsid w:val="0002406E"/>
    <w:rsid w:val="0002412D"/>
    <w:rsid w:val="00024290"/>
    <w:rsid w:val="000242FA"/>
    <w:rsid w:val="0002448F"/>
    <w:rsid w:val="0002453A"/>
    <w:rsid w:val="0002469E"/>
    <w:rsid w:val="00024701"/>
    <w:rsid w:val="000248D0"/>
    <w:rsid w:val="00024B8D"/>
    <w:rsid w:val="00024B93"/>
    <w:rsid w:val="00024E09"/>
    <w:rsid w:val="00024EB3"/>
    <w:rsid w:val="00024FFE"/>
    <w:rsid w:val="000250B6"/>
    <w:rsid w:val="000250E0"/>
    <w:rsid w:val="0002513F"/>
    <w:rsid w:val="000251BD"/>
    <w:rsid w:val="00025348"/>
    <w:rsid w:val="00025481"/>
    <w:rsid w:val="00025523"/>
    <w:rsid w:val="0002563A"/>
    <w:rsid w:val="000256A6"/>
    <w:rsid w:val="0002585A"/>
    <w:rsid w:val="000259E1"/>
    <w:rsid w:val="00025DAB"/>
    <w:rsid w:val="00025F67"/>
    <w:rsid w:val="00025FE5"/>
    <w:rsid w:val="00025FED"/>
    <w:rsid w:val="00026089"/>
    <w:rsid w:val="0002621C"/>
    <w:rsid w:val="000269CF"/>
    <w:rsid w:val="00026A21"/>
    <w:rsid w:val="00026BE5"/>
    <w:rsid w:val="00026C22"/>
    <w:rsid w:val="00026D6A"/>
    <w:rsid w:val="00026FF8"/>
    <w:rsid w:val="00027061"/>
    <w:rsid w:val="000270EA"/>
    <w:rsid w:val="00027123"/>
    <w:rsid w:val="0002728B"/>
    <w:rsid w:val="00027312"/>
    <w:rsid w:val="000273C4"/>
    <w:rsid w:val="000274BE"/>
    <w:rsid w:val="0002754F"/>
    <w:rsid w:val="00027691"/>
    <w:rsid w:val="000278A5"/>
    <w:rsid w:val="00027A3D"/>
    <w:rsid w:val="00027BD4"/>
    <w:rsid w:val="00027C37"/>
    <w:rsid w:val="00027CF5"/>
    <w:rsid w:val="00027E00"/>
    <w:rsid w:val="0002BFDD"/>
    <w:rsid w:val="0003036E"/>
    <w:rsid w:val="00030638"/>
    <w:rsid w:val="00030685"/>
    <w:rsid w:val="00030A7F"/>
    <w:rsid w:val="00030BF8"/>
    <w:rsid w:val="00030C10"/>
    <w:rsid w:val="00030C7D"/>
    <w:rsid w:val="00030E27"/>
    <w:rsid w:val="00030ED7"/>
    <w:rsid w:val="00030FDD"/>
    <w:rsid w:val="00031098"/>
    <w:rsid w:val="000310A7"/>
    <w:rsid w:val="00031238"/>
    <w:rsid w:val="00031329"/>
    <w:rsid w:val="0003134B"/>
    <w:rsid w:val="000314C7"/>
    <w:rsid w:val="00031796"/>
    <w:rsid w:val="00031858"/>
    <w:rsid w:val="00031A39"/>
    <w:rsid w:val="00031A42"/>
    <w:rsid w:val="00031BE5"/>
    <w:rsid w:val="00031CF0"/>
    <w:rsid w:val="00031DF8"/>
    <w:rsid w:val="00032018"/>
    <w:rsid w:val="0003213D"/>
    <w:rsid w:val="00032164"/>
    <w:rsid w:val="0003237F"/>
    <w:rsid w:val="00032386"/>
    <w:rsid w:val="0003254E"/>
    <w:rsid w:val="00032701"/>
    <w:rsid w:val="000327E4"/>
    <w:rsid w:val="00032835"/>
    <w:rsid w:val="0003290E"/>
    <w:rsid w:val="00032E1D"/>
    <w:rsid w:val="00032F25"/>
    <w:rsid w:val="0003312C"/>
    <w:rsid w:val="00033289"/>
    <w:rsid w:val="000336C4"/>
    <w:rsid w:val="00033776"/>
    <w:rsid w:val="00033A3F"/>
    <w:rsid w:val="00033CF2"/>
    <w:rsid w:val="00033FC3"/>
    <w:rsid w:val="00033FF7"/>
    <w:rsid w:val="000340C1"/>
    <w:rsid w:val="000341A8"/>
    <w:rsid w:val="00034315"/>
    <w:rsid w:val="00034388"/>
    <w:rsid w:val="000347C4"/>
    <w:rsid w:val="00034841"/>
    <w:rsid w:val="00034B75"/>
    <w:rsid w:val="00034BC7"/>
    <w:rsid w:val="00034C5E"/>
    <w:rsid w:val="00034CBD"/>
    <w:rsid w:val="00034D3D"/>
    <w:rsid w:val="00034D73"/>
    <w:rsid w:val="00034DAB"/>
    <w:rsid w:val="00035049"/>
    <w:rsid w:val="00035228"/>
    <w:rsid w:val="000352E6"/>
    <w:rsid w:val="00035330"/>
    <w:rsid w:val="0003543B"/>
    <w:rsid w:val="000355F9"/>
    <w:rsid w:val="00035711"/>
    <w:rsid w:val="0003590D"/>
    <w:rsid w:val="000359F1"/>
    <w:rsid w:val="00035A55"/>
    <w:rsid w:val="00035AC7"/>
    <w:rsid w:val="00035B88"/>
    <w:rsid w:val="00035C0B"/>
    <w:rsid w:val="00035D3D"/>
    <w:rsid w:val="00035DBE"/>
    <w:rsid w:val="00035E81"/>
    <w:rsid w:val="0003601B"/>
    <w:rsid w:val="00036284"/>
    <w:rsid w:val="000363C1"/>
    <w:rsid w:val="00036500"/>
    <w:rsid w:val="0003652A"/>
    <w:rsid w:val="00036606"/>
    <w:rsid w:val="000368DB"/>
    <w:rsid w:val="00036974"/>
    <w:rsid w:val="00036B67"/>
    <w:rsid w:val="00036B9E"/>
    <w:rsid w:val="00036CAC"/>
    <w:rsid w:val="00036D04"/>
    <w:rsid w:val="00036F9C"/>
    <w:rsid w:val="00037014"/>
    <w:rsid w:val="000370F7"/>
    <w:rsid w:val="0003717F"/>
    <w:rsid w:val="000371CC"/>
    <w:rsid w:val="00037235"/>
    <w:rsid w:val="00037746"/>
    <w:rsid w:val="000377B7"/>
    <w:rsid w:val="00037801"/>
    <w:rsid w:val="00037B21"/>
    <w:rsid w:val="00037BC6"/>
    <w:rsid w:val="00037C6F"/>
    <w:rsid w:val="00037C89"/>
    <w:rsid w:val="00037EBB"/>
    <w:rsid w:val="00037F39"/>
    <w:rsid w:val="00037F6E"/>
    <w:rsid w:val="0004016E"/>
    <w:rsid w:val="000406E1"/>
    <w:rsid w:val="00040741"/>
    <w:rsid w:val="00040801"/>
    <w:rsid w:val="0004098C"/>
    <w:rsid w:val="000409D2"/>
    <w:rsid w:val="00040A55"/>
    <w:rsid w:val="00040A64"/>
    <w:rsid w:val="00040AB1"/>
    <w:rsid w:val="00040B6F"/>
    <w:rsid w:val="00040BB6"/>
    <w:rsid w:val="00040D67"/>
    <w:rsid w:val="00040EEF"/>
    <w:rsid w:val="00040F09"/>
    <w:rsid w:val="000411A4"/>
    <w:rsid w:val="0004127C"/>
    <w:rsid w:val="000412A8"/>
    <w:rsid w:val="000416BA"/>
    <w:rsid w:val="0004172B"/>
    <w:rsid w:val="0004179C"/>
    <w:rsid w:val="000417A6"/>
    <w:rsid w:val="00041947"/>
    <w:rsid w:val="00041A13"/>
    <w:rsid w:val="00041B2E"/>
    <w:rsid w:val="00041CEC"/>
    <w:rsid w:val="00041D6C"/>
    <w:rsid w:val="00041F39"/>
    <w:rsid w:val="00042097"/>
    <w:rsid w:val="0004218F"/>
    <w:rsid w:val="00042214"/>
    <w:rsid w:val="0004233E"/>
    <w:rsid w:val="000424A4"/>
    <w:rsid w:val="0004262C"/>
    <w:rsid w:val="000428BB"/>
    <w:rsid w:val="000429A1"/>
    <w:rsid w:val="00042A43"/>
    <w:rsid w:val="00042D74"/>
    <w:rsid w:val="00042D97"/>
    <w:rsid w:val="00042E31"/>
    <w:rsid w:val="00043040"/>
    <w:rsid w:val="0004308B"/>
    <w:rsid w:val="000430CF"/>
    <w:rsid w:val="000431B1"/>
    <w:rsid w:val="000431C9"/>
    <w:rsid w:val="00043216"/>
    <w:rsid w:val="0004327C"/>
    <w:rsid w:val="00043447"/>
    <w:rsid w:val="00043481"/>
    <w:rsid w:val="000434D7"/>
    <w:rsid w:val="0004376A"/>
    <w:rsid w:val="000437D5"/>
    <w:rsid w:val="0004382B"/>
    <w:rsid w:val="0004395A"/>
    <w:rsid w:val="00043AA8"/>
    <w:rsid w:val="00043B6B"/>
    <w:rsid w:val="00043C2A"/>
    <w:rsid w:val="00043C39"/>
    <w:rsid w:val="00043EBB"/>
    <w:rsid w:val="00044266"/>
    <w:rsid w:val="0004458C"/>
    <w:rsid w:val="000445BF"/>
    <w:rsid w:val="000446BC"/>
    <w:rsid w:val="000447C2"/>
    <w:rsid w:val="0004483E"/>
    <w:rsid w:val="000448BF"/>
    <w:rsid w:val="00044986"/>
    <w:rsid w:val="000449D8"/>
    <w:rsid w:val="00044BB2"/>
    <w:rsid w:val="00044CC5"/>
    <w:rsid w:val="00044D66"/>
    <w:rsid w:val="00044D92"/>
    <w:rsid w:val="00044FBC"/>
    <w:rsid w:val="0004509A"/>
    <w:rsid w:val="000451ED"/>
    <w:rsid w:val="00045593"/>
    <w:rsid w:val="000457A8"/>
    <w:rsid w:val="000458B1"/>
    <w:rsid w:val="000458D4"/>
    <w:rsid w:val="00045922"/>
    <w:rsid w:val="00045ADA"/>
    <w:rsid w:val="00045BD0"/>
    <w:rsid w:val="00045CB5"/>
    <w:rsid w:val="00045E08"/>
    <w:rsid w:val="00045EA8"/>
    <w:rsid w:val="00046045"/>
    <w:rsid w:val="00046085"/>
    <w:rsid w:val="000460CB"/>
    <w:rsid w:val="0004619A"/>
    <w:rsid w:val="00046220"/>
    <w:rsid w:val="00046288"/>
    <w:rsid w:val="00046327"/>
    <w:rsid w:val="0004663E"/>
    <w:rsid w:val="00046794"/>
    <w:rsid w:val="00046834"/>
    <w:rsid w:val="000468ED"/>
    <w:rsid w:val="00046943"/>
    <w:rsid w:val="000469C2"/>
    <w:rsid w:val="00046A20"/>
    <w:rsid w:val="00046B41"/>
    <w:rsid w:val="00046CDC"/>
    <w:rsid w:val="00046D6B"/>
    <w:rsid w:val="00046DAC"/>
    <w:rsid w:val="00046DC0"/>
    <w:rsid w:val="000470C6"/>
    <w:rsid w:val="00047118"/>
    <w:rsid w:val="0004716D"/>
    <w:rsid w:val="000473DE"/>
    <w:rsid w:val="00047695"/>
    <w:rsid w:val="00047715"/>
    <w:rsid w:val="0004786D"/>
    <w:rsid w:val="00047884"/>
    <w:rsid w:val="00047968"/>
    <w:rsid w:val="00047B12"/>
    <w:rsid w:val="00047C8A"/>
    <w:rsid w:val="00047CCC"/>
    <w:rsid w:val="00047D16"/>
    <w:rsid w:val="00047DCF"/>
    <w:rsid w:val="00047E6B"/>
    <w:rsid w:val="00047F71"/>
    <w:rsid w:val="00050067"/>
    <w:rsid w:val="000500AA"/>
    <w:rsid w:val="0005053A"/>
    <w:rsid w:val="00050544"/>
    <w:rsid w:val="00050578"/>
    <w:rsid w:val="000505A3"/>
    <w:rsid w:val="00050618"/>
    <w:rsid w:val="0005061F"/>
    <w:rsid w:val="0005063C"/>
    <w:rsid w:val="00050810"/>
    <w:rsid w:val="000509FB"/>
    <w:rsid w:val="00050A2C"/>
    <w:rsid w:val="00050CEE"/>
    <w:rsid w:val="00050D9C"/>
    <w:rsid w:val="00050EB1"/>
    <w:rsid w:val="00050F08"/>
    <w:rsid w:val="00051099"/>
    <w:rsid w:val="00051195"/>
    <w:rsid w:val="000512DC"/>
    <w:rsid w:val="000513AA"/>
    <w:rsid w:val="00051473"/>
    <w:rsid w:val="00051566"/>
    <w:rsid w:val="000515D0"/>
    <w:rsid w:val="000515F6"/>
    <w:rsid w:val="000518AC"/>
    <w:rsid w:val="000519F7"/>
    <w:rsid w:val="00051AC4"/>
    <w:rsid w:val="00051E89"/>
    <w:rsid w:val="00051EB4"/>
    <w:rsid w:val="00051F07"/>
    <w:rsid w:val="00051F26"/>
    <w:rsid w:val="00051F7D"/>
    <w:rsid w:val="000520D3"/>
    <w:rsid w:val="000520F8"/>
    <w:rsid w:val="0005225A"/>
    <w:rsid w:val="000522A3"/>
    <w:rsid w:val="00052326"/>
    <w:rsid w:val="000523F7"/>
    <w:rsid w:val="00052599"/>
    <w:rsid w:val="00052A05"/>
    <w:rsid w:val="00052BD4"/>
    <w:rsid w:val="00052E53"/>
    <w:rsid w:val="000534E3"/>
    <w:rsid w:val="000534E8"/>
    <w:rsid w:val="00053564"/>
    <w:rsid w:val="0005362D"/>
    <w:rsid w:val="0005372D"/>
    <w:rsid w:val="00053758"/>
    <w:rsid w:val="000538BF"/>
    <w:rsid w:val="000538E4"/>
    <w:rsid w:val="00053A32"/>
    <w:rsid w:val="00053AD7"/>
    <w:rsid w:val="00053DBE"/>
    <w:rsid w:val="00053DC8"/>
    <w:rsid w:val="00053DD3"/>
    <w:rsid w:val="00053F27"/>
    <w:rsid w:val="00054030"/>
    <w:rsid w:val="00054071"/>
    <w:rsid w:val="00054090"/>
    <w:rsid w:val="000541D1"/>
    <w:rsid w:val="00054340"/>
    <w:rsid w:val="000543DD"/>
    <w:rsid w:val="00054486"/>
    <w:rsid w:val="000544E1"/>
    <w:rsid w:val="0005491A"/>
    <w:rsid w:val="00054A4C"/>
    <w:rsid w:val="00054A9A"/>
    <w:rsid w:val="00054B21"/>
    <w:rsid w:val="00054F2B"/>
    <w:rsid w:val="00055083"/>
    <w:rsid w:val="0005509E"/>
    <w:rsid w:val="000550B8"/>
    <w:rsid w:val="000550E6"/>
    <w:rsid w:val="0005518E"/>
    <w:rsid w:val="000551AA"/>
    <w:rsid w:val="000552A9"/>
    <w:rsid w:val="000553E7"/>
    <w:rsid w:val="0005564B"/>
    <w:rsid w:val="00055A08"/>
    <w:rsid w:val="00055A89"/>
    <w:rsid w:val="00055F7A"/>
    <w:rsid w:val="00055FD7"/>
    <w:rsid w:val="000560E7"/>
    <w:rsid w:val="0005618A"/>
    <w:rsid w:val="000563F6"/>
    <w:rsid w:val="0005649D"/>
    <w:rsid w:val="000564F7"/>
    <w:rsid w:val="00056600"/>
    <w:rsid w:val="000567A8"/>
    <w:rsid w:val="00056A30"/>
    <w:rsid w:val="00056AD2"/>
    <w:rsid w:val="00056B33"/>
    <w:rsid w:val="00056B65"/>
    <w:rsid w:val="00056BF7"/>
    <w:rsid w:val="00056C0C"/>
    <w:rsid w:val="00056C7F"/>
    <w:rsid w:val="00056CA7"/>
    <w:rsid w:val="00056F87"/>
    <w:rsid w:val="00057251"/>
    <w:rsid w:val="0005731D"/>
    <w:rsid w:val="00057419"/>
    <w:rsid w:val="00057427"/>
    <w:rsid w:val="00057611"/>
    <w:rsid w:val="00057679"/>
    <w:rsid w:val="000576B3"/>
    <w:rsid w:val="00057703"/>
    <w:rsid w:val="000577F4"/>
    <w:rsid w:val="00057863"/>
    <w:rsid w:val="00057B70"/>
    <w:rsid w:val="00057CA0"/>
    <w:rsid w:val="00057D61"/>
    <w:rsid w:val="00057D6E"/>
    <w:rsid w:val="00057DAF"/>
    <w:rsid w:val="00057EED"/>
    <w:rsid w:val="0005EAB9"/>
    <w:rsid w:val="00060019"/>
    <w:rsid w:val="0006017E"/>
    <w:rsid w:val="000601B0"/>
    <w:rsid w:val="00060295"/>
    <w:rsid w:val="000603C6"/>
    <w:rsid w:val="000606CB"/>
    <w:rsid w:val="00060A57"/>
    <w:rsid w:val="00060B97"/>
    <w:rsid w:val="00060BA0"/>
    <w:rsid w:val="00060C95"/>
    <w:rsid w:val="00060D3A"/>
    <w:rsid w:val="00060EB1"/>
    <w:rsid w:val="00060F52"/>
    <w:rsid w:val="00061023"/>
    <w:rsid w:val="00061101"/>
    <w:rsid w:val="00061189"/>
    <w:rsid w:val="0006118C"/>
    <w:rsid w:val="000611E1"/>
    <w:rsid w:val="000613C0"/>
    <w:rsid w:val="00061408"/>
    <w:rsid w:val="0006151B"/>
    <w:rsid w:val="00061695"/>
    <w:rsid w:val="000616D4"/>
    <w:rsid w:val="000616E3"/>
    <w:rsid w:val="0006175E"/>
    <w:rsid w:val="00061931"/>
    <w:rsid w:val="000619FF"/>
    <w:rsid w:val="00061B18"/>
    <w:rsid w:val="00061BB9"/>
    <w:rsid w:val="00061C9E"/>
    <w:rsid w:val="00061F21"/>
    <w:rsid w:val="00061FD3"/>
    <w:rsid w:val="00062063"/>
    <w:rsid w:val="000620BE"/>
    <w:rsid w:val="000622BB"/>
    <w:rsid w:val="0006245B"/>
    <w:rsid w:val="000625EA"/>
    <w:rsid w:val="000628F5"/>
    <w:rsid w:val="00062B41"/>
    <w:rsid w:val="00062B4C"/>
    <w:rsid w:val="00062BB4"/>
    <w:rsid w:val="00062BCC"/>
    <w:rsid w:val="00062BDE"/>
    <w:rsid w:val="00062BF9"/>
    <w:rsid w:val="00062C91"/>
    <w:rsid w:val="00062CB1"/>
    <w:rsid w:val="00062E22"/>
    <w:rsid w:val="00062EC7"/>
    <w:rsid w:val="00062F93"/>
    <w:rsid w:val="000630BF"/>
    <w:rsid w:val="00063225"/>
    <w:rsid w:val="00063311"/>
    <w:rsid w:val="000634D2"/>
    <w:rsid w:val="000635E0"/>
    <w:rsid w:val="00063620"/>
    <w:rsid w:val="0006364B"/>
    <w:rsid w:val="0006367E"/>
    <w:rsid w:val="000637C8"/>
    <w:rsid w:val="00063964"/>
    <w:rsid w:val="00063A50"/>
    <w:rsid w:val="00063B77"/>
    <w:rsid w:val="00063BE2"/>
    <w:rsid w:val="00063D20"/>
    <w:rsid w:val="00063E48"/>
    <w:rsid w:val="00063EB1"/>
    <w:rsid w:val="00064179"/>
    <w:rsid w:val="0006422A"/>
    <w:rsid w:val="0006435B"/>
    <w:rsid w:val="000644EA"/>
    <w:rsid w:val="00064520"/>
    <w:rsid w:val="00064676"/>
    <w:rsid w:val="000647B0"/>
    <w:rsid w:val="00064A6E"/>
    <w:rsid w:val="00064B31"/>
    <w:rsid w:val="00064C42"/>
    <w:rsid w:val="00064F70"/>
    <w:rsid w:val="0006502E"/>
    <w:rsid w:val="00065563"/>
    <w:rsid w:val="000656C2"/>
    <w:rsid w:val="00065794"/>
    <w:rsid w:val="00065ABC"/>
    <w:rsid w:val="00065AE3"/>
    <w:rsid w:val="00065DEC"/>
    <w:rsid w:val="00065FCA"/>
    <w:rsid w:val="000660B3"/>
    <w:rsid w:val="0006620F"/>
    <w:rsid w:val="0006634D"/>
    <w:rsid w:val="000663A4"/>
    <w:rsid w:val="0006651D"/>
    <w:rsid w:val="00066521"/>
    <w:rsid w:val="000665E9"/>
    <w:rsid w:val="00066762"/>
    <w:rsid w:val="000667AA"/>
    <w:rsid w:val="000667F6"/>
    <w:rsid w:val="00066818"/>
    <w:rsid w:val="000668A2"/>
    <w:rsid w:val="00066B31"/>
    <w:rsid w:val="00066F4D"/>
    <w:rsid w:val="00067236"/>
    <w:rsid w:val="00067261"/>
    <w:rsid w:val="00067278"/>
    <w:rsid w:val="000672C8"/>
    <w:rsid w:val="00067344"/>
    <w:rsid w:val="00067496"/>
    <w:rsid w:val="00067617"/>
    <w:rsid w:val="00067C2A"/>
    <w:rsid w:val="00067C80"/>
    <w:rsid w:val="00067CC1"/>
    <w:rsid w:val="00067D04"/>
    <w:rsid w:val="00067E8A"/>
    <w:rsid w:val="00067ECD"/>
    <w:rsid w:val="00070007"/>
    <w:rsid w:val="000701F0"/>
    <w:rsid w:val="00070318"/>
    <w:rsid w:val="0007032A"/>
    <w:rsid w:val="00070388"/>
    <w:rsid w:val="000703AC"/>
    <w:rsid w:val="0007046F"/>
    <w:rsid w:val="00070A17"/>
    <w:rsid w:val="00070D47"/>
    <w:rsid w:val="00070D56"/>
    <w:rsid w:val="00070DD1"/>
    <w:rsid w:val="00070E84"/>
    <w:rsid w:val="00070F64"/>
    <w:rsid w:val="0007117D"/>
    <w:rsid w:val="000713F0"/>
    <w:rsid w:val="00071443"/>
    <w:rsid w:val="000714FC"/>
    <w:rsid w:val="000715D2"/>
    <w:rsid w:val="0007173C"/>
    <w:rsid w:val="000717FC"/>
    <w:rsid w:val="000718DD"/>
    <w:rsid w:val="00071961"/>
    <w:rsid w:val="00071A97"/>
    <w:rsid w:val="00071B1C"/>
    <w:rsid w:val="00071B40"/>
    <w:rsid w:val="00071E91"/>
    <w:rsid w:val="00071F04"/>
    <w:rsid w:val="00071F12"/>
    <w:rsid w:val="000721C7"/>
    <w:rsid w:val="00072255"/>
    <w:rsid w:val="0007238C"/>
    <w:rsid w:val="00072453"/>
    <w:rsid w:val="000724CD"/>
    <w:rsid w:val="00072588"/>
    <w:rsid w:val="0007265B"/>
    <w:rsid w:val="00072724"/>
    <w:rsid w:val="00072799"/>
    <w:rsid w:val="00072856"/>
    <w:rsid w:val="00072970"/>
    <w:rsid w:val="00072B59"/>
    <w:rsid w:val="00072B63"/>
    <w:rsid w:val="00072CA6"/>
    <w:rsid w:val="0007312C"/>
    <w:rsid w:val="0007316C"/>
    <w:rsid w:val="0007334E"/>
    <w:rsid w:val="000733FD"/>
    <w:rsid w:val="000734C4"/>
    <w:rsid w:val="000735DC"/>
    <w:rsid w:val="00073607"/>
    <w:rsid w:val="00073608"/>
    <w:rsid w:val="000737B2"/>
    <w:rsid w:val="000737BA"/>
    <w:rsid w:val="000737D7"/>
    <w:rsid w:val="00073957"/>
    <w:rsid w:val="00073994"/>
    <w:rsid w:val="00073A33"/>
    <w:rsid w:val="00073A55"/>
    <w:rsid w:val="00073BCF"/>
    <w:rsid w:val="00073BE9"/>
    <w:rsid w:val="00073D1F"/>
    <w:rsid w:val="00073D5F"/>
    <w:rsid w:val="00073F07"/>
    <w:rsid w:val="00073F4E"/>
    <w:rsid w:val="00073F72"/>
    <w:rsid w:val="00074629"/>
    <w:rsid w:val="000746E7"/>
    <w:rsid w:val="000747E5"/>
    <w:rsid w:val="0007486A"/>
    <w:rsid w:val="00074A1A"/>
    <w:rsid w:val="00074A32"/>
    <w:rsid w:val="00074C4B"/>
    <w:rsid w:val="00074F59"/>
    <w:rsid w:val="00074F8F"/>
    <w:rsid w:val="000750A5"/>
    <w:rsid w:val="00075123"/>
    <w:rsid w:val="00075434"/>
    <w:rsid w:val="000754BC"/>
    <w:rsid w:val="000755DA"/>
    <w:rsid w:val="0007566F"/>
    <w:rsid w:val="000757B1"/>
    <w:rsid w:val="00075963"/>
    <w:rsid w:val="000759C9"/>
    <w:rsid w:val="00075A42"/>
    <w:rsid w:val="00075C1F"/>
    <w:rsid w:val="00075CF9"/>
    <w:rsid w:val="00075D3A"/>
    <w:rsid w:val="00075DC6"/>
    <w:rsid w:val="00075E23"/>
    <w:rsid w:val="00075E25"/>
    <w:rsid w:val="00075ED5"/>
    <w:rsid w:val="00075EFC"/>
    <w:rsid w:val="00075F00"/>
    <w:rsid w:val="00076077"/>
    <w:rsid w:val="000760D3"/>
    <w:rsid w:val="00076105"/>
    <w:rsid w:val="0007615D"/>
    <w:rsid w:val="00076219"/>
    <w:rsid w:val="00076463"/>
    <w:rsid w:val="000765B3"/>
    <w:rsid w:val="0007682D"/>
    <w:rsid w:val="00076856"/>
    <w:rsid w:val="00076C3E"/>
    <w:rsid w:val="00076D62"/>
    <w:rsid w:val="00076E55"/>
    <w:rsid w:val="00076E58"/>
    <w:rsid w:val="00077070"/>
    <w:rsid w:val="000770CD"/>
    <w:rsid w:val="00077306"/>
    <w:rsid w:val="000774F5"/>
    <w:rsid w:val="0007755A"/>
    <w:rsid w:val="000775BF"/>
    <w:rsid w:val="00077920"/>
    <w:rsid w:val="000779B2"/>
    <w:rsid w:val="00077A81"/>
    <w:rsid w:val="00077B5A"/>
    <w:rsid w:val="00077CB0"/>
    <w:rsid w:val="00077CDC"/>
    <w:rsid w:val="00077EF1"/>
    <w:rsid w:val="00077F9A"/>
    <w:rsid w:val="00077FF9"/>
    <w:rsid w:val="000800B5"/>
    <w:rsid w:val="000802D6"/>
    <w:rsid w:val="00080372"/>
    <w:rsid w:val="000806D9"/>
    <w:rsid w:val="000806DD"/>
    <w:rsid w:val="0008080F"/>
    <w:rsid w:val="00080830"/>
    <w:rsid w:val="0008084C"/>
    <w:rsid w:val="00080A71"/>
    <w:rsid w:val="00080C11"/>
    <w:rsid w:val="00080C1B"/>
    <w:rsid w:val="00080CF2"/>
    <w:rsid w:val="00080D5F"/>
    <w:rsid w:val="00080D91"/>
    <w:rsid w:val="00080DCD"/>
    <w:rsid w:val="00080EDB"/>
    <w:rsid w:val="00080FC3"/>
    <w:rsid w:val="00081140"/>
    <w:rsid w:val="00081183"/>
    <w:rsid w:val="00081228"/>
    <w:rsid w:val="0008122E"/>
    <w:rsid w:val="00081274"/>
    <w:rsid w:val="0008134B"/>
    <w:rsid w:val="000813EA"/>
    <w:rsid w:val="00081472"/>
    <w:rsid w:val="00081591"/>
    <w:rsid w:val="00081634"/>
    <w:rsid w:val="00081728"/>
    <w:rsid w:val="00081765"/>
    <w:rsid w:val="000817CE"/>
    <w:rsid w:val="000817E1"/>
    <w:rsid w:val="000818CB"/>
    <w:rsid w:val="00081973"/>
    <w:rsid w:val="00081998"/>
    <w:rsid w:val="00081D0C"/>
    <w:rsid w:val="00082168"/>
    <w:rsid w:val="0008218A"/>
    <w:rsid w:val="00082219"/>
    <w:rsid w:val="0008225A"/>
    <w:rsid w:val="0008247F"/>
    <w:rsid w:val="000824BC"/>
    <w:rsid w:val="0008255B"/>
    <w:rsid w:val="0008275F"/>
    <w:rsid w:val="00082899"/>
    <w:rsid w:val="000828A4"/>
    <w:rsid w:val="000828B9"/>
    <w:rsid w:val="00082978"/>
    <w:rsid w:val="00082CFA"/>
    <w:rsid w:val="00082FBB"/>
    <w:rsid w:val="00083060"/>
    <w:rsid w:val="000830D3"/>
    <w:rsid w:val="000830DC"/>
    <w:rsid w:val="0008319A"/>
    <w:rsid w:val="0008321A"/>
    <w:rsid w:val="00083477"/>
    <w:rsid w:val="000834FF"/>
    <w:rsid w:val="0008358F"/>
    <w:rsid w:val="000835CD"/>
    <w:rsid w:val="000837C3"/>
    <w:rsid w:val="00083975"/>
    <w:rsid w:val="000839E7"/>
    <w:rsid w:val="00083CE9"/>
    <w:rsid w:val="00083F92"/>
    <w:rsid w:val="00083FBB"/>
    <w:rsid w:val="000840B7"/>
    <w:rsid w:val="00084157"/>
    <w:rsid w:val="000842EF"/>
    <w:rsid w:val="00084347"/>
    <w:rsid w:val="00084408"/>
    <w:rsid w:val="0008447B"/>
    <w:rsid w:val="00084519"/>
    <w:rsid w:val="00084728"/>
    <w:rsid w:val="0008495E"/>
    <w:rsid w:val="00084B1F"/>
    <w:rsid w:val="00084DB5"/>
    <w:rsid w:val="00084DC5"/>
    <w:rsid w:val="00084F9D"/>
    <w:rsid w:val="00084FE1"/>
    <w:rsid w:val="00084FF2"/>
    <w:rsid w:val="00085044"/>
    <w:rsid w:val="0008506B"/>
    <w:rsid w:val="00085148"/>
    <w:rsid w:val="00085264"/>
    <w:rsid w:val="00085270"/>
    <w:rsid w:val="000854A3"/>
    <w:rsid w:val="000854F7"/>
    <w:rsid w:val="00085938"/>
    <w:rsid w:val="000859CF"/>
    <w:rsid w:val="000859E9"/>
    <w:rsid w:val="00085B40"/>
    <w:rsid w:val="00085CC8"/>
    <w:rsid w:val="00085CEE"/>
    <w:rsid w:val="00085D0B"/>
    <w:rsid w:val="00085D66"/>
    <w:rsid w:val="00085D9A"/>
    <w:rsid w:val="00085DF2"/>
    <w:rsid w:val="00085E13"/>
    <w:rsid w:val="00085E48"/>
    <w:rsid w:val="00085E8E"/>
    <w:rsid w:val="00085F8C"/>
    <w:rsid w:val="00086053"/>
    <w:rsid w:val="000861A1"/>
    <w:rsid w:val="0008638B"/>
    <w:rsid w:val="0008652D"/>
    <w:rsid w:val="000865CF"/>
    <w:rsid w:val="000866BE"/>
    <w:rsid w:val="00086B33"/>
    <w:rsid w:val="00086BD0"/>
    <w:rsid w:val="00086D05"/>
    <w:rsid w:val="00086EEA"/>
    <w:rsid w:val="00087177"/>
    <w:rsid w:val="000872C0"/>
    <w:rsid w:val="000874EF"/>
    <w:rsid w:val="00087521"/>
    <w:rsid w:val="00087665"/>
    <w:rsid w:val="000876B7"/>
    <w:rsid w:val="00087778"/>
    <w:rsid w:val="00087B06"/>
    <w:rsid w:val="00087C4D"/>
    <w:rsid w:val="00087CB8"/>
    <w:rsid w:val="00087E4E"/>
    <w:rsid w:val="00087E51"/>
    <w:rsid w:val="00087F1D"/>
    <w:rsid w:val="00087F33"/>
    <w:rsid w:val="00090005"/>
    <w:rsid w:val="000900F1"/>
    <w:rsid w:val="0009019F"/>
    <w:rsid w:val="00090228"/>
    <w:rsid w:val="000902F7"/>
    <w:rsid w:val="00090461"/>
    <w:rsid w:val="00090A68"/>
    <w:rsid w:val="00090B70"/>
    <w:rsid w:val="00090BED"/>
    <w:rsid w:val="00090CD2"/>
    <w:rsid w:val="00090E59"/>
    <w:rsid w:val="00091017"/>
    <w:rsid w:val="00091045"/>
    <w:rsid w:val="00091094"/>
    <w:rsid w:val="000912FE"/>
    <w:rsid w:val="000913DC"/>
    <w:rsid w:val="0009148B"/>
    <w:rsid w:val="00091587"/>
    <w:rsid w:val="000915E1"/>
    <w:rsid w:val="00091680"/>
    <w:rsid w:val="000916F6"/>
    <w:rsid w:val="00091745"/>
    <w:rsid w:val="00091810"/>
    <w:rsid w:val="0009182C"/>
    <w:rsid w:val="00091A76"/>
    <w:rsid w:val="00091BCF"/>
    <w:rsid w:val="00091D0F"/>
    <w:rsid w:val="00091E14"/>
    <w:rsid w:val="00091F0C"/>
    <w:rsid w:val="0009201D"/>
    <w:rsid w:val="00092042"/>
    <w:rsid w:val="000922A5"/>
    <w:rsid w:val="0009244B"/>
    <w:rsid w:val="00092483"/>
    <w:rsid w:val="000925B4"/>
    <w:rsid w:val="000925F7"/>
    <w:rsid w:val="00092625"/>
    <w:rsid w:val="00092756"/>
    <w:rsid w:val="000928BB"/>
    <w:rsid w:val="00092A85"/>
    <w:rsid w:val="00092CB0"/>
    <w:rsid w:val="00092E5D"/>
    <w:rsid w:val="00092F99"/>
    <w:rsid w:val="00092FC2"/>
    <w:rsid w:val="00093032"/>
    <w:rsid w:val="00093060"/>
    <w:rsid w:val="000931A1"/>
    <w:rsid w:val="000931B7"/>
    <w:rsid w:val="00093455"/>
    <w:rsid w:val="00093465"/>
    <w:rsid w:val="00093530"/>
    <w:rsid w:val="00093616"/>
    <w:rsid w:val="00093697"/>
    <w:rsid w:val="00093767"/>
    <w:rsid w:val="0009376D"/>
    <w:rsid w:val="0009383F"/>
    <w:rsid w:val="00093858"/>
    <w:rsid w:val="0009387C"/>
    <w:rsid w:val="00093930"/>
    <w:rsid w:val="00093ABA"/>
    <w:rsid w:val="00093B7F"/>
    <w:rsid w:val="00093BE4"/>
    <w:rsid w:val="00093CA6"/>
    <w:rsid w:val="00094078"/>
    <w:rsid w:val="0009409F"/>
    <w:rsid w:val="000940A5"/>
    <w:rsid w:val="00094130"/>
    <w:rsid w:val="0009421D"/>
    <w:rsid w:val="000943B4"/>
    <w:rsid w:val="000944AD"/>
    <w:rsid w:val="00094579"/>
    <w:rsid w:val="000946E1"/>
    <w:rsid w:val="0009470E"/>
    <w:rsid w:val="00094829"/>
    <w:rsid w:val="000948DE"/>
    <w:rsid w:val="00094A9D"/>
    <w:rsid w:val="00094BDC"/>
    <w:rsid w:val="00094C34"/>
    <w:rsid w:val="00094D32"/>
    <w:rsid w:val="00094E7D"/>
    <w:rsid w:val="00094EE6"/>
    <w:rsid w:val="00095190"/>
    <w:rsid w:val="000951EF"/>
    <w:rsid w:val="00095221"/>
    <w:rsid w:val="00095275"/>
    <w:rsid w:val="000954AD"/>
    <w:rsid w:val="000954C5"/>
    <w:rsid w:val="00095673"/>
    <w:rsid w:val="000956B8"/>
    <w:rsid w:val="0009582D"/>
    <w:rsid w:val="0009585E"/>
    <w:rsid w:val="00095936"/>
    <w:rsid w:val="00095FCD"/>
    <w:rsid w:val="0009609E"/>
    <w:rsid w:val="00096308"/>
    <w:rsid w:val="00096351"/>
    <w:rsid w:val="00096414"/>
    <w:rsid w:val="000964AD"/>
    <w:rsid w:val="00096761"/>
    <w:rsid w:val="000967C7"/>
    <w:rsid w:val="00096817"/>
    <w:rsid w:val="0009699F"/>
    <w:rsid w:val="000969FE"/>
    <w:rsid w:val="00096A00"/>
    <w:rsid w:val="00096A0B"/>
    <w:rsid w:val="00096AF0"/>
    <w:rsid w:val="00096E2D"/>
    <w:rsid w:val="00096F60"/>
    <w:rsid w:val="00096F9E"/>
    <w:rsid w:val="00097166"/>
    <w:rsid w:val="00097256"/>
    <w:rsid w:val="0009729B"/>
    <w:rsid w:val="000972FF"/>
    <w:rsid w:val="000973B9"/>
    <w:rsid w:val="000973C7"/>
    <w:rsid w:val="00097416"/>
    <w:rsid w:val="0009744E"/>
    <w:rsid w:val="000974D8"/>
    <w:rsid w:val="00097613"/>
    <w:rsid w:val="00097686"/>
    <w:rsid w:val="000976E4"/>
    <w:rsid w:val="000976FC"/>
    <w:rsid w:val="0009774A"/>
    <w:rsid w:val="0009793A"/>
    <w:rsid w:val="000979D4"/>
    <w:rsid w:val="000979F1"/>
    <w:rsid w:val="00097BEF"/>
    <w:rsid w:val="00097CA6"/>
    <w:rsid w:val="00097CC5"/>
    <w:rsid w:val="00097CE5"/>
    <w:rsid w:val="00097D35"/>
    <w:rsid w:val="00097DC2"/>
    <w:rsid w:val="00097E24"/>
    <w:rsid w:val="00097E84"/>
    <w:rsid w:val="00097EAC"/>
    <w:rsid w:val="00097ED3"/>
    <w:rsid w:val="00097F72"/>
    <w:rsid w:val="000A0164"/>
    <w:rsid w:val="000A026E"/>
    <w:rsid w:val="000A0427"/>
    <w:rsid w:val="000A0446"/>
    <w:rsid w:val="000A074F"/>
    <w:rsid w:val="000A0938"/>
    <w:rsid w:val="000A0A0F"/>
    <w:rsid w:val="000A0C24"/>
    <w:rsid w:val="000A0C35"/>
    <w:rsid w:val="000A0C46"/>
    <w:rsid w:val="000A0C77"/>
    <w:rsid w:val="000A0CD2"/>
    <w:rsid w:val="000A0CFD"/>
    <w:rsid w:val="000A0DDB"/>
    <w:rsid w:val="000A0ED9"/>
    <w:rsid w:val="000A10A2"/>
    <w:rsid w:val="000A1222"/>
    <w:rsid w:val="000A1238"/>
    <w:rsid w:val="000A1546"/>
    <w:rsid w:val="000A1626"/>
    <w:rsid w:val="000A16B6"/>
    <w:rsid w:val="000A16E4"/>
    <w:rsid w:val="000A1777"/>
    <w:rsid w:val="000A179B"/>
    <w:rsid w:val="000A18D1"/>
    <w:rsid w:val="000A18F2"/>
    <w:rsid w:val="000A18FF"/>
    <w:rsid w:val="000A19D7"/>
    <w:rsid w:val="000A1A4A"/>
    <w:rsid w:val="000A1B2F"/>
    <w:rsid w:val="000A1CD7"/>
    <w:rsid w:val="000A1CD9"/>
    <w:rsid w:val="000A1CE1"/>
    <w:rsid w:val="000A1E72"/>
    <w:rsid w:val="000A2025"/>
    <w:rsid w:val="000A21DA"/>
    <w:rsid w:val="000A2235"/>
    <w:rsid w:val="000A2347"/>
    <w:rsid w:val="000A2397"/>
    <w:rsid w:val="000A2434"/>
    <w:rsid w:val="000A25B5"/>
    <w:rsid w:val="000A269A"/>
    <w:rsid w:val="000A2792"/>
    <w:rsid w:val="000A2808"/>
    <w:rsid w:val="000A2967"/>
    <w:rsid w:val="000A2975"/>
    <w:rsid w:val="000A2C51"/>
    <w:rsid w:val="000A2DE7"/>
    <w:rsid w:val="000A2E0E"/>
    <w:rsid w:val="000A2E0F"/>
    <w:rsid w:val="000A2F19"/>
    <w:rsid w:val="000A3199"/>
    <w:rsid w:val="000A31A5"/>
    <w:rsid w:val="000A362D"/>
    <w:rsid w:val="000A364B"/>
    <w:rsid w:val="000A3844"/>
    <w:rsid w:val="000A39B7"/>
    <w:rsid w:val="000A39B9"/>
    <w:rsid w:val="000A39EB"/>
    <w:rsid w:val="000A3B86"/>
    <w:rsid w:val="000A3BC3"/>
    <w:rsid w:val="000A3C20"/>
    <w:rsid w:val="000A3C5F"/>
    <w:rsid w:val="000A3D96"/>
    <w:rsid w:val="000A3DDF"/>
    <w:rsid w:val="000A3EB0"/>
    <w:rsid w:val="000A3EF6"/>
    <w:rsid w:val="000A412F"/>
    <w:rsid w:val="000A438D"/>
    <w:rsid w:val="000A443A"/>
    <w:rsid w:val="000A44CB"/>
    <w:rsid w:val="000A4742"/>
    <w:rsid w:val="000A4834"/>
    <w:rsid w:val="000A484D"/>
    <w:rsid w:val="000A48C7"/>
    <w:rsid w:val="000A4992"/>
    <w:rsid w:val="000A49EE"/>
    <w:rsid w:val="000A4E5E"/>
    <w:rsid w:val="000A5060"/>
    <w:rsid w:val="000A51FA"/>
    <w:rsid w:val="000A51FC"/>
    <w:rsid w:val="000A5379"/>
    <w:rsid w:val="000A53CD"/>
    <w:rsid w:val="000A5532"/>
    <w:rsid w:val="000A55FC"/>
    <w:rsid w:val="000A5615"/>
    <w:rsid w:val="000A56C6"/>
    <w:rsid w:val="000A575E"/>
    <w:rsid w:val="000A579D"/>
    <w:rsid w:val="000A57CC"/>
    <w:rsid w:val="000A583E"/>
    <w:rsid w:val="000A5949"/>
    <w:rsid w:val="000A5AD4"/>
    <w:rsid w:val="000A5B74"/>
    <w:rsid w:val="000A5CC8"/>
    <w:rsid w:val="000A5E95"/>
    <w:rsid w:val="000A5EDC"/>
    <w:rsid w:val="000A5FB9"/>
    <w:rsid w:val="000A60B4"/>
    <w:rsid w:val="000A61D7"/>
    <w:rsid w:val="000A62BD"/>
    <w:rsid w:val="000A6376"/>
    <w:rsid w:val="000A6444"/>
    <w:rsid w:val="000A647D"/>
    <w:rsid w:val="000A6489"/>
    <w:rsid w:val="000A64F6"/>
    <w:rsid w:val="000A6648"/>
    <w:rsid w:val="000A670D"/>
    <w:rsid w:val="000A672D"/>
    <w:rsid w:val="000A67A8"/>
    <w:rsid w:val="000A68FA"/>
    <w:rsid w:val="000A690E"/>
    <w:rsid w:val="000A69E3"/>
    <w:rsid w:val="000A6A6E"/>
    <w:rsid w:val="000A6B46"/>
    <w:rsid w:val="000A6D32"/>
    <w:rsid w:val="000A6FA3"/>
    <w:rsid w:val="000A71E3"/>
    <w:rsid w:val="000A71F1"/>
    <w:rsid w:val="000A7225"/>
    <w:rsid w:val="000A73A8"/>
    <w:rsid w:val="000A73BA"/>
    <w:rsid w:val="000A74A9"/>
    <w:rsid w:val="000A75C9"/>
    <w:rsid w:val="000A7837"/>
    <w:rsid w:val="000A7CE9"/>
    <w:rsid w:val="000A7D0F"/>
    <w:rsid w:val="000A7D1C"/>
    <w:rsid w:val="000A7DA2"/>
    <w:rsid w:val="000A7DD6"/>
    <w:rsid w:val="000A7EDA"/>
    <w:rsid w:val="000A7EDF"/>
    <w:rsid w:val="000A7EE2"/>
    <w:rsid w:val="000A7FA0"/>
    <w:rsid w:val="000B0007"/>
    <w:rsid w:val="000B0011"/>
    <w:rsid w:val="000B010E"/>
    <w:rsid w:val="000B024E"/>
    <w:rsid w:val="000B0270"/>
    <w:rsid w:val="000B02CE"/>
    <w:rsid w:val="000B045B"/>
    <w:rsid w:val="000B04CA"/>
    <w:rsid w:val="000B0685"/>
    <w:rsid w:val="000B0971"/>
    <w:rsid w:val="000B0BF5"/>
    <w:rsid w:val="000B0CC0"/>
    <w:rsid w:val="000B0CC7"/>
    <w:rsid w:val="000B0DB3"/>
    <w:rsid w:val="000B0E05"/>
    <w:rsid w:val="000B0F9C"/>
    <w:rsid w:val="000B1003"/>
    <w:rsid w:val="000B107B"/>
    <w:rsid w:val="000B10DB"/>
    <w:rsid w:val="000B12BC"/>
    <w:rsid w:val="000B1481"/>
    <w:rsid w:val="000B1714"/>
    <w:rsid w:val="000B1825"/>
    <w:rsid w:val="000B1851"/>
    <w:rsid w:val="000B186D"/>
    <w:rsid w:val="000B1A3C"/>
    <w:rsid w:val="000B1C71"/>
    <w:rsid w:val="000B1CAA"/>
    <w:rsid w:val="000B1D94"/>
    <w:rsid w:val="000B1E95"/>
    <w:rsid w:val="000B21ED"/>
    <w:rsid w:val="000B2265"/>
    <w:rsid w:val="000B231A"/>
    <w:rsid w:val="000B23AE"/>
    <w:rsid w:val="000B242D"/>
    <w:rsid w:val="000B248A"/>
    <w:rsid w:val="000B24C3"/>
    <w:rsid w:val="000B2533"/>
    <w:rsid w:val="000B2546"/>
    <w:rsid w:val="000B2595"/>
    <w:rsid w:val="000B25B3"/>
    <w:rsid w:val="000B2608"/>
    <w:rsid w:val="000B2689"/>
    <w:rsid w:val="000B274D"/>
    <w:rsid w:val="000B27D0"/>
    <w:rsid w:val="000B2A82"/>
    <w:rsid w:val="000B2F96"/>
    <w:rsid w:val="000B2FDA"/>
    <w:rsid w:val="000B305A"/>
    <w:rsid w:val="000B30BB"/>
    <w:rsid w:val="000B313E"/>
    <w:rsid w:val="000B32AA"/>
    <w:rsid w:val="000B3326"/>
    <w:rsid w:val="000B3532"/>
    <w:rsid w:val="000B3565"/>
    <w:rsid w:val="000B35CF"/>
    <w:rsid w:val="000B3645"/>
    <w:rsid w:val="000B364E"/>
    <w:rsid w:val="000B36B5"/>
    <w:rsid w:val="000B36F2"/>
    <w:rsid w:val="000B3838"/>
    <w:rsid w:val="000B3A32"/>
    <w:rsid w:val="000B3A7B"/>
    <w:rsid w:val="000B3AB6"/>
    <w:rsid w:val="000B3AC4"/>
    <w:rsid w:val="000B3B31"/>
    <w:rsid w:val="000B3CDD"/>
    <w:rsid w:val="000B3E2F"/>
    <w:rsid w:val="000B3E96"/>
    <w:rsid w:val="000B3EC8"/>
    <w:rsid w:val="000B4043"/>
    <w:rsid w:val="000B4045"/>
    <w:rsid w:val="000B4387"/>
    <w:rsid w:val="000B466A"/>
    <w:rsid w:val="000B46F9"/>
    <w:rsid w:val="000B493D"/>
    <w:rsid w:val="000B49C9"/>
    <w:rsid w:val="000B4A42"/>
    <w:rsid w:val="000B4B29"/>
    <w:rsid w:val="000B4C42"/>
    <w:rsid w:val="000B4C88"/>
    <w:rsid w:val="000B4CEC"/>
    <w:rsid w:val="000B4D18"/>
    <w:rsid w:val="000B4E72"/>
    <w:rsid w:val="000B4F86"/>
    <w:rsid w:val="000B4F8E"/>
    <w:rsid w:val="000B4F97"/>
    <w:rsid w:val="000B50E7"/>
    <w:rsid w:val="000B5128"/>
    <w:rsid w:val="000B5186"/>
    <w:rsid w:val="000B52D7"/>
    <w:rsid w:val="000B52FC"/>
    <w:rsid w:val="000B5436"/>
    <w:rsid w:val="000B5516"/>
    <w:rsid w:val="000B5B40"/>
    <w:rsid w:val="000B5BCA"/>
    <w:rsid w:val="000B5CCE"/>
    <w:rsid w:val="000B5CF4"/>
    <w:rsid w:val="000B608D"/>
    <w:rsid w:val="000B608E"/>
    <w:rsid w:val="000B6093"/>
    <w:rsid w:val="000B6127"/>
    <w:rsid w:val="000B6358"/>
    <w:rsid w:val="000B6521"/>
    <w:rsid w:val="000B6613"/>
    <w:rsid w:val="000B662D"/>
    <w:rsid w:val="000B681C"/>
    <w:rsid w:val="000B68E1"/>
    <w:rsid w:val="000B69ED"/>
    <w:rsid w:val="000B6A28"/>
    <w:rsid w:val="000B6C4D"/>
    <w:rsid w:val="000B6E0E"/>
    <w:rsid w:val="000B6F3B"/>
    <w:rsid w:val="000B7144"/>
    <w:rsid w:val="000B71F2"/>
    <w:rsid w:val="000B7334"/>
    <w:rsid w:val="000B73F4"/>
    <w:rsid w:val="000B75AD"/>
    <w:rsid w:val="000B76AC"/>
    <w:rsid w:val="000B781D"/>
    <w:rsid w:val="000B7869"/>
    <w:rsid w:val="000B78E8"/>
    <w:rsid w:val="000B7A6F"/>
    <w:rsid w:val="000B7B93"/>
    <w:rsid w:val="000B7CCA"/>
    <w:rsid w:val="000B7CED"/>
    <w:rsid w:val="000B7D53"/>
    <w:rsid w:val="000B7DE1"/>
    <w:rsid w:val="000B7E5B"/>
    <w:rsid w:val="000B7F6E"/>
    <w:rsid w:val="000C0209"/>
    <w:rsid w:val="000C0220"/>
    <w:rsid w:val="000C0288"/>
    <w:rsid w:val="000C0491"/>
    <w:rsid w:val="000C049E"/>
    <w:rsid w:val="000C04D3"/>
    <w:rsid w:val="000C0526"/>
    <w:rsid w:val="000C05F0"/>
    <w:rsid w:val="000C05F6"/>
    <w:rsid w:val="000C07CC"/>
    <w:rsid w:val="000C0879"/>
    <w:rsid w:val="000C08A8"/>
    <w:rsid w:val="000C0ACA"/>
    <w:rsid w:val="000C0C70"/>
    <w:rsid w:val="000C12DE"/>
    <w:rsid w:val="000C1439"/>
    <w:rsid w:val="000C14E6"/>
    <w:rsid w:val="000C168F"/>
    <w:rsid w:val="000C18BE"/>
    <w:rsid w:val="000C1A18"/>
    <w:rsid w:val="000C1E19"/>
    <w:rsid w:val="000C222D"/>
    <w:rsid w:val="000C22CF"/>
    <w:rsid w:val="000C22EE"/>
    <w:rsid w:val="000C2316"/>
    <w:rsid w:val="000C23FE"/>
    <w:rsid w:val="000C244E"/>
    <w:rsid w:val="000C258A"/>
    <w:rsid w:val="000C2712"/>
    <w:rsid w:val="000C273C"/>
    <w:rsid w:val="000C2A0A"/>
    <w:rsid w:val="000C2AC8"/>
    <w:rsid w:val="000C2D0C"/>
    <w:rsid w:val="000C2D22"/>
    <w:rsid w:val="000C2D28"/>
    <w:rsid w:val="000C2E48"/>
    <w:rsid w:val="000C2E72"/>
    <w:rsid w:val="000C2E81"/>
    <w:rsid w:val="000C2EBC"/>
    <w:rsid w:val="000C30A6"/>
    <w:rsid w:val="000C3106"/>
    <w:rsid w:val="000C31EF"/>
    <w:rsid w:val="000C331A"/>
    <w:rsid w:val="000C34FD"/>
    <w:rsid w:val="000C380C"/>
    <w:rsid w:val="000C3847"/>
    <w:rsid w:val="000C3D8B"/>
    <w:rsid w:val="000C3E13"/>
    <w:rsid w:val="000C410F"/>
    <w:rsid w:val="000C41AC"/>
    <w:rsid w:val="000C41FD"/>
    <w:rsid w:val="000C429B"/>
    <w:rsid w:val="000C42F1"/>
    <w:rsid w:val="000C4317"/>
    <w:rsid w:val="000C43F2"/>
    <w:rsid w:val="000C4435"/>
    <w:rsid w:val="000C445E"/>
    <w:rsid w:val="000C4661"/>
    <w:rsid w:val="000C488D"/>
    <w:rsid w:val="000C4976"/>
    <w:rsid w:val="000C4D97"/>
    <w:rsid w:val="000C4DE2"/>
    <w:rsid w:val="000C4E22"/>
    <w:rsid w:val="000C4E4C"/>
    <w:rsid w:val="000C4E89"/>
    <w:rsid w:val="000C50E1"/>
    <w:rsid w:val="000C50FE"/>
    <w:rsid w:val="000C51E6"/>
    <w:rsid w:val="000C5203"/>
    <w:rsid w:val="000C52D3"/>
    <w:rsid w:val="000C5300"/>
    <w:rsid w:val="000C5330"/>
    <w:rsid w:val="000C53C9"/>
    <w:rsid w:val="000C543B"/>
    <w:rsid w:val="000C55C0"/>
    <w:rsid w:val="000C55E9"/>
    <w:rsid w:val="000C571D"/>
    <w:rsid w:val="000C578A"/>
    <w:rsid w:val="000C58CA"/>
    <w:rsid w:val="000C59CC"/>
    <w:rsid w:val="000C5ACB"/>
    <w:rsid w:val="000C5D05"/>
    <w:rsid w:val="000C5DD7"/>
    <w:rsid w:val="000C5EA7"/>
    <w:rsid w:val="000C5EC3"/>
    <w:rsid w:val="000C5F1E"/>
    <w:rsid w:val="000C5F3F"/>
    <w:rsid w:val="000C60EE"/>
    <w:rsid w:val="000C6206"/>
    <w:rsid w:val="000C6253"/>
    <w:rsid w:val="000C63B8"/>
    <w:rsid w:val="000C6651"/>
    <w:rsid w:val="000C6652"/>
    <w:rsid w:val="000C6A1E"/>
    <w:rsid w:val="000C6AD6"/>
    <w:rsid w:val="000C6B23"/>
    <w:rsid w:val="000C6D35"/>
    <w:rsid w:val="000C6D3E"/>
    <w:rsid w:val="000C6ED9"/>
    <w:rsid w:val="000C6F8D"/>
    <w:rsid w:val="000C74B1"/>
    <w:rsid w:val="000C7555"/>
    <w:rsid w:val="000C774C"/>
    <w:rsid w:val="000C7802"/>
    <w:rsid w:val="000C78C1"/>
    <w:rsid w:val="000C791D"/>
    <w:rsid w:val="000C795B"/>
    <w:rsid w:val="000C7A1F"/>
    <w:rsid w:val="000C7AAB"/>
    <w:rsid w:val="000C7D39"/>
    <w:rsid w:val="000C7E6F"/>
    <w:rsid w:val="000C7F83"/>
    <w:rsid w:val="000C7F93"/>
    <w:rsid w:val="000CDD40"/>
    <w:rsid w:val="000D00C6"/>
    <w:rsid w:val="000D0110"/>
    <w:rsid w:val="000D0118"/>
    <w:rsid w:val="000D01DC"/>
    <w:rsid w:val="000D01EB"/>
    <w:rsid w:val="000D01EF"/>
    <w:rsid w:val="000D0227"/>
    <w:rsid w:val="000D0416"/>
    <w:rsid w:val="000D0629"/>
    <w:rsid w:val="000D0704"/>
    <w:rsid w:val="000D07AA"/>
    <w:rsid w:val="000D07CC"/>
    <w:rsid w:val="000D0924"/>
    <w:rsid w:val="000D0AF5"/>
    <w:rsid w:val="000D0B5B"/>
    <w:rsid w:val="000D0B60"/>
    <w:rsid w:val="000D0BD3"/>
    <w:rsid w:val="000D0BE0"/>
    <w:rsid w:val="000D0CE9"/>
    <w:rsid w:val="000D0E46"/>
    <w:rsid w:val="000D0ED2"/>
    <w:rsid w:val="000D0F5F"/>
    <w:rsid w:val="000D0FC7"/>
    <w:rsid w:val="000D11B7"/>
    <w:rsid w:val="000D1205"/>
    <w:rsid w:val="000D1235"/>
    <w:rsid w:val="000D142D"/>
    <w:rsid w:val="000D143C"/>
    <w:rsid w:val="000D146A"/>
    <w:rsid w:val="000D14D4"/>
    <w:rsid w:val="000D15FC"/>
    <w:rsid w:val="000D1752"/>
    <w:rsid w:val="000D1843"/>
    <w:rsid w:val="000D19A5"/>
    <w:rsid w:val="000D1AAD"/>
    <w:rsid w:val="000D1C7A"/>
    <w:rsid w:val="000D1D45"/>
    <w:rsid w:val="000D1E8C"/>
    <w:rsid w:val="000D1EDA"/>
    <w:rsid w:val="000D20D1"/>
    <w:rsid w:val="000D23F9"/>
    <w:rsid w:val="000D240E"/>
    <w:rsid w:val="000D2431"/>
    <w:rsid w:val="000D25AF"/>
    <w:rsid w:val="000D264A"/>
    <w:rsid w:val="000D2B6A"/>
    <w:rsid w:val="000D2BCA"/>
    <w:rsid w:val="000D2C41"/>
    <w:rsid w:val="000D2D68"/>
    <w:rsid w:val="000D3027"/>
    <w:rsid w:val="000D3031"/>
    <w:rsid w:val="000D314D"/>
    <w:rsid w:val="000D348F"/>
    <w:rsid w:val="000D34FA"/>
    <w:rsid w:val="000D3604"/>
    <w:rsid w:val="000D362C"/>
    <w:rsid w:val="000D36B1"/>
    <w:rsid w:val="000D375D"/>
    <w:rsid w:val="000D37E3"/>
    <w:rsid w:val="000D3836"/>
    <w:rsid w:val="000D3866"/>
    <w:rsid w:val="000D386C"/>
    <w:rsid w:val="000D39C1"/>
    <w:rsid w:val="000D39F4"/>
    <w:rsid w:val="000D3A0E"/>
    <w:rsid w:val="000D3B8F"/>
    <w:rsid w:val="000D3C5B"/>
    <w:rsid w:val="000D3D13"/>
    <w:rsid w:val="000D3D45"/>
    <w:rsid w:val="000D3E0A"/>
    <w:rsid w:val="000D3F58"/>
    <w:rsid w:val="000D40B5"/>
    <w:rsid w:val="000D40EE"/>
    <w:rsid w:val="000D416B"/>
    <w:rsid w:val="000D417B"/>
    <w:rsid w:val="000D425C"/>
    <w:rsid w:val="000D42F0"/>
    <w:rsid w:val="000D4391"/>
    <w:rsid w:val="000D4673"/>
    <w:rsid w:val="000D47C7"/>
    <w:rsid w:val="000D47C9"/>
    <w:rsid w:val="000D47D1"/>
    <w:rsid w:val="000D4844"/>
    <w:rsid w:val="000D4902"/>
    <w:rsid w:val="000D4969"/>
    <w:rsid w:val="000D4A42"/>
    <w:rsid w:val="000D4AD2"/>
    <w:rsid w:val="000D4BDF"/>
    <w:rsid w:val="000D4C54"/>
    <w:rsid w:val="000D4D08"/>
    <w:rsid w:val="000D4D53"/>
    <w:rsid w:val="000D4DA8"/>
    <w:rsid w:val="000D4F21"/>
    <w:rsid w:val="000D5040"/>
    <w:rsid w:val="000D5264"/>
    <w:rsid w:val="000D5312"/>
    <w:rsid w:val="000D536A"/>
    <w:rsid w:val="000D539F"/>
    <w:rsid w:val="000D5588"/>
    <w:rsid w:val="000D560B"/>
    <w:rsid w:val="000D57CE"/>
    <w:rsid w:val="000D5812"/>
    <w:rsid w:val="000D58D8"/>
    <w:rsid w:val="000D5A36"/>
    <w:rsid w:val="000D5AFC"/>
    <w:rsid w:val="000D5B64"/>
    <w:rsid w:val="000D5C8E"/>
    <w:rsid w:val="000D5CE8"/>
    <w:rsid w:val="000D5E0C"/>
    <w:rsid w:val="000D5E23"/>
    <w:rsid w:val="000D5E88"/>
    <w:rsid w:val="000D5F4C"/>
    <w:rsid w:val="000D5F92"/>
    <w:rsid w:val="000D604C"/>
    <w:rsid w:val="000D6071"/>
    <w:rsid w:val="000D6181"/>
    <w:rsid w:val="000D63BB"/>
    <w:rsid w:val="000D652E"/>
    <w:rsid w:val="000D662F"/>
    <w:rsid w:val="000D6809"/>
    <w:rsid w:val="000D687C"/>
    <w:rsid w:val="000D687F"/>
    <w:rsid w:val="000D6A39"/>
    <w:rsid w:val="000D6EA2"/>
    <w:rsid w:val="000D6EF9"/>
    <w:rsid w:val="000D6F1E"/>
    <w:rsid w:val="000D6F3E"/>
    <w:rsid w:val="000D6F6C"/>
    <w:rsid w:val="000D70C2"/>
    <w:rsid w:val="000D7275"/>
    <w:rsid w:val="000D728C"/>
    <w:rsid w:val="000D737C"/>
    <w:rsid w:val="000D751F"/>
    <w:rsid w:val="000D7551"/>
    <w:rsid w:val="000D776A"/>
    <w:rsid w:val="000D777B"/>
    <w:rsid w:val="000D792C"/>
    <w:rsid w:val="000D7979"/>
    <w:rsid w:val="000D79C7"/>
    <w:rsid w:val="000D7A3E"/>
    <w:rsid w:val="000D7B01"/>
    <w:rsid w:val="000D7B78"/>
    <w:rsid w:val="000D7CB9"/>
    <w:rsid w:val="000D7D94"/>
    <w:rsid w:val="000D7E32"/>
    <w:rsid w:val="000D7E41"/>
    <w:rsid w:val="000D7E6A"/>
    <w:rsid w:val="000D7ED1"/>
    <w:rsid w:val="000D7F1B"/>
    <w:rsid w:val="000E007C"/>
    <w:rsid w:val="000E00EF"/>
    <w:rsid w:val="000E00FA"/>
    <w:rsid w:val="000E0131"/>
    <w:rsid w:val="000E019C"/>
    <w:rsid w:val="000E0222"/>
    <w:rsid w:val="000E0374"/>
    <w:rsid w:val="000E04B9"/>
    <w:rsid w:val="000E05A8"/>
    <w:rsid w:val="000E06D4"/>
    <w:rsid w:val="000E0AF5"/>
    <w:rsid w:val="000E0EF6"/>
    <w:rsid w:val="000E0F3A"/>
    <w:rsid w:val="000E10F1"/>
    <w:rsid w:val="000E1256"/>
    <w:rsid w:val="000E13EB"/>
    <w:rsid w:val="000E15B7"/>
    <w:rsid w:val="000E1A16"/>
    <w:rsid w:val="000E1B02"/>
    <w:rsid w:val="000E1BE3"/>
    <w:rsid w:val="000E1CBA"/>
    <w:rsid w:val="000E1D64"/>
    <w:rsid w:val="000E1DCB"/>
    <w:rsid w:val="000E1DF5"/>
    <w:rsid w:val="000E1F2E"/>
    <w:rsid w:val="000E206D"/>
    <w:rsid w:val="000E2328"/>
    <w:rsid w:val="000E24B7"/>
    <w:rsid w:val="000E2692"/>
    <w:rsid w:val="000E286F"/>
    <w:rsid w:val="000E29F9"/>
    <w:rsid w:val="000E2B01"/>
    <w:rsid w:val="000E2CFA"/>
    <w:rsid w:val="000E2D50"/>
    <w:rsid w:val="000E2EBA"/>
    <w:rsid w:val="000E3120"/>
    <w:rsid w:val="000E3483"/>
    <w:rsid w:val="000E34AB"/>
    <w:rsid w:val="000E34D5"/>
    <w:rsid w:val="000E350A"/>
    <w:rsid w:val="000E3512"/>
    <w:rsid w:val="000E3539"/>
    <w:rsid w:val="000E37A5"/>
    <w:rsid w:val="000E39E4"/>
    <w:rsid w:val="000E3B78"/>
    <w:rsid w:val="000E3C0A"/>
    <w:rsid w:val="000E3D11"/>
    <w:rsid w:val="000E3D42"/>
    <w:rsid w:val="000E3E47"/>
    <w:rsid w:val="000E3E56"/>
    <w:rsid w:val="000E3E70"/>
    <w:rsid w:val="000E3ED2"/>
    <w:rsid w:val="000E3F46"/>
    <w:rsid w:val="000E3FB5"/>
    <w:rsid w:val="000E3FE0"/>
    <w:rsid w:val="000E4054"/>
    <w:rsid w:val="000E40CF"/>
    <w:rsid w:val="000E40E1"/>
    <w:rsid w:val="000E42B0"/>
    <w:rsid w:val="000E42D9"/>
    <w:rsid w:val="000E431E"/>
    <w:rsid w:val="000E4354"/>
    <w:rsid w:val="000E437E"/>
    <w:rsid w:val="000E4383"/>
    <w:rsid w:val="000E47D1"/>
    <w:rsid w:val="000E48C2"/>
    <w:rsid w:val="000E4A7B"/>
    <w:rsid w:val="000E4B2F"/>
    <w:rsid w:val="000E4BB1"/>
    <w:rsid w:val="000E4C9E"/>
    <w:rsid w:val="000E4E2A"/>
    <w:rsid w:val="000E4E4A"/>
    <w:rsid w:val="000E4F08"/>
    <w:rsid w:val="000E4F0B"/>
    <w:rsid w:val="000E4F8C"/>
    <w:rsid w:val="000E52CE"/>
    <w:rsid w:val="000E52D1"/>
    <w:rsid w:val="000E537B"/>
    <w:rsid w:val="000E5442"/>
    <w:rsid w:val="000E549A"/>
    <w:rsid w:val="000E54E5"/>
    <w:rsid w:val="000E55F6"/>
    <w:rsid w:val="000E57A6"/>
    <w:rsid w:val="000E58B7"/>
    <w:rsid w:val="000E5D78"/>
    <w:rsid w:val="000E5DE9"/>
    <w:rsid w:val="000E5EB0"/>
    <w:rsid w:val="000E5F33"/>
    <w:rsid w:val="000E629A"/>
    <w:rsid w:val="000E6604"/>
    <w:rsid w:val="000E668F"/>
    <w:rsid w:val="000E66F6"/>
    <w:rsid w:val="000E688A"/>
    <w:rsid w:val="000E6A3A"/>
    <w:rsid w:val="000E6B01"/>
    <w:rsid w:val="000E6C48"/>
    <w:rsid w:val="000E6D5E"/>
    <w:rsid w:val="000E6E52"/>
    <w:rsid w:val="000E6F94"/>
    <w:rsid w:val="000E6FBB"/>
    <w:rsid w:val="000E70B8"/>
    <w:rsid w:val="000E70E6"/>
    <w:rsid w:val="000E71FC"/>
    <w:rsid w:val="000E73D3"/>
    <w:rsid w:val="000E740B"/>
    <w:rsid w:val="000E74E9"/>
    <w:rsid w:val="000E75B3"/>
    <w:rsid w:val="000E7637"/>
    <w:rsid w:val="000E7843"/>
    <w:rsid w:val="000E787A"/>
    <w:rsid w:val="000E795D"/>
    <w:rsid w:val="000E7BBC"/>
    <w:rsid w:val="000E7C21"/>
    <w:rsid w:val="000E7EC4"/>
    <w:rsid w:val="000E7F3B"/>
    <w:rsid w:val="000F00B6"/>
    <w:rsid w:val="000F05B8"/>
    <w:rsid w:val="000F0723"/>
    <w:rsid w:val="000F0804"/>
    <w:rsid w:val="000F0880"/>
    <w:rsid w:val="000F08CE"/>
    <w:rsid w:val="000F09DF"/>
    <w:rsid w:val="000F0A72"/>
    <w:rsid w:val="000F0B26"/>
    <w:rsid w:val="000F0C2C"/>
    <w:rsid w:val="000F0D1A"/>
    <w:rsid w:val="000F0D6F"/>
    <w:rsid w:val="000F0D8E"/>
    <w:rsid w:val="000F0E45"/>
    <w:rsid w:val="000F0EFC"/>
    <w:rsid w:val="000F1107"/>
    <w:rsid w:val="000F1652"/>
    <w:rsid w:val="000F1661"/>
    <w:rsid w:val="000F1665"/>
    <w:rsid w:val="000F192C"/>
    <w:rsid w:val="000F19E6"/>
    <w:rsid w:val="000F1A90"/>
    <w:rsid w:val="000F1B19"/>
    <w:rsid w:val="000F1B9C"/>
    <w:rsid w:val="000F1EC2"/>
    <w:rsid w:val="000F21DB"/>
    <w:rsid w:val="000F21E0"/>
    <w:rsid w:val="000F22C6"/>
    <w:rsid w:val="000F2338"/>
    <w:rsid w:val="000F27B2"/>
    <w:rsid w:val="000F27E5"/>
    <w:rsid w:val="000F280F"/>
    <w:rsid w:val="000F2A12"/>
    <w:rsid w:val="000F2C19"/>
    <w:rsid w:val="000F2D5F"/>
    <w:rsid w:val="000F2F19"/>
    <w:rsid w:val="000F323A"/>
    <w:rsid w:val="000F3459"/>
    <w:rsid w:val="000F365D"/>
    <w:rsid w:val="000F3695"/>
    <w:rsid w:val="000F38B5"/>
    <w:rsid w:val="000F397A"/>
    <w:rsid w:val="000F3AA8"/>
    <w:rsid w:val="000F3BDC"/>
    <w:rsid w:val="000F3C74"/>
    <w:rsid w:val="000F3E03"/>
    <w:rsid w:val="000F3E74"/>
    <w:rsid w:val="000F3F55"/>
    <w:rsid w:val="000F3F83"/>
    <w:rsid w:val="000F414B"/>
    <w:rsid w:val="000F42D5"/>
    <w:rsid w:val="000F42FA"/>
    <w:rsid w:val="000F43F3"/>
    <w:rsid w:val="000F4518"/>
    <w:rsid w:val="000F453E"/>
    <w:rsid w:val="000F4847"/>
    <w:rsid w:val="000F48A8"/>
    <w:rsid w:val="000F4937"/>
    <w:rsid w:val="000F4A14"/>
    <w:rsid w:val="000F4A6D"/>
    <w:rsid w:val="000F4B9F"/>
    <w:rsid w:val="000F4EAB"/>
    <w:rsid w:val="000F4EBB"/>
    <w:rsid w:val="000F523A"/>
    <w:rsid w:val="000F5268"/>
    <w:rsid w:val="000F54BC"/>
    <w:rsid w:val="000F55F8"/>
    <w:rsid w:val="000F5601"/>
    <w:rsid w:val="000F564C"/>
    <w:rsid w:val="000F5C7C"/>
    <w:rsid w:val="000F5F85"/>
    <w:rsid w:val="000F5FA6"/>
    <w:rsid w:val="000F6063"/>
    <w:rsid w:val="000F60E3"/>
    <w:rsid w:val="000F6171"/>
    <w:rsid w:val="000F6244"/>
    <w:rsid w:val="000F631A"/>
    <w:rsid w:val="000F6399"/>
    <w:rsid w:val="000F65CA"/>
    <w:rsid w:val="000F662C"/>
    <w:rsid w:val="000F6724"/>
    <w:rsid w:val="000F692D"/>
    <w:rsid w:val="000F693C"/>
    <w:rsid w:val="000F6950"/>
    <w:rsid w:val="000F6DE2"/>
    <w:rsid w:val="000F6DE6"/>
    <w:rsid w:val="000F6EDD"/>
    <w:rsid w:val="000F6F15"/>
    <w:rsid w:val="000F6F30"/>
    <w:rsid w:val="000F7140"/>
    <w:rsid w:val="000F7161"/>
    <w:rsid w:val="000F7163"/>
    <w:rsid w:val="000F7191"/>
    <w:rsid w:val="000F7241"/>
    <w:rsid w:val="000F72B9"/>
    <w:rsid w:val="000F72CC"/>
    <w:rsid w:val="000F72FE"/>
    <w:rsid w:val="000F7399"/>
    <w:rsid w:val="000F73C9"/>
    <w:rsid w:val="000F7500"/>
    <w:rsid w:val="000F750F"/>
    <w:rsid w:val="000F76F4"/>
    <w:rsid w:val="000F7725"/>
    <w:rsid w:val="000F79B9"/>
    <w:rsid w:val="000F79DB"/>
    <w:rsid w:val="000F7AE0"/>
    <w:rsid w:val="000F7BDB"/>
    <w:rsid w:val="000F7C76"/>
    <w:rsid w:val="000F7D96"/>
    <w:rsid w:val="000F7F8D"/>
    <w:rsid w:val="001000B4"/>
    <w:rsid w:val="001000F8"/>
    <w:rsid w:val="00100123"/>
    <w:rsid w:val="0010017B"/>
    <w:rsid w:val="001002BF"/>
    <w:rsid w:val="001002D5"/>
    <w:rsid w:val="00100403"/>
    <w:rsid w:val="00100486"/>
    <w:rsid w:val="00100492"/>
    <w:rsid w:val="00100494"/>
    <w:rsid w:val="0010056A"/>
    <w:rsid w:val="0010056E"/>
    <w:rsid w:val="001005D1"/>
    <w:rsid w:val="001006D4"/>
    <w:rsid w:val="001006F9"/>
    <w:rsid w:val="00100801"/>
    <w:rsid w:val="00100848"/>
    <w:rsid w:val="0010089D"/>
    <w:rsid w:val="00100A21"/>
    <w:rsid w:val="00100C28"/>
    <w:rsid w:val="00100C2D"/>
    <w:rsid w:val="00100CCA"/>
    <w:rsid w:val="00100D43"/>
    <w:rsid w:val="00100D57"/>
    <w:rsid w:val="00100E35"/>
    <w:rsid w:val="00100ECA"/>
    <w:rsid w:val="0010107C"/>
    <w:rsid w:val="001010BE"/>
    <w:rsid w:val="0010114B"/>
    <w:rsid w:val="00101228"/>
    <w:rsid w:val="001014EA"/>
    <w:rsid w:val="0010151D"/>
    <w:rsid w:val="0010159A"/>
    <w:rsid w:val="001015A1"/>
    <w:rsid w:val="00101680"/>
    <w:rsid w:val="00101761"/>
    <w:rsid w:val="001017CE"/>
    <w:rsid w:val="001017D0"/>
    <w:rsid w:val="0010183E"/>
    <w:rsid w:val="00101A3A"/>
    <w:rsid w:val="00101B64"/>
    <w:rsid w:val="00101CAD"/>
    <w:rsid w:val="00101F50"/>
    <w:rsid w:val="00101FD0"/>
    <w:rsid w:val="00102030"/>
    <w:rsid w:val="00102182"/>
    <w:rsid w:val="00102274"/>
    <w:rsid w:val="001022B4"/>
    <w:rsid w:val="0010236D"/>
    <w:rsid w:val="00102407"/>
    <w:rsid w:val="001026A5"/>
    <w:rsid w:val="00102971"/>
    <w:rsid w:val="001029FE"/>
    <w:rsid w:val="00102E95"/>
    <w:rsid w:val="00102F25"/>
    <w:rsid w:val="00102FBB"/>
    <w:rsid w:val="0010302A"/>
    <w:rsid w:val="0010315D"/>
    <w:rsid w:val="001032FF"/>
    <w:rsid w:val="00103340"/>
    <w:rsid w:val="001034B4"/>
    <w:rsid w:val="00103622"/>
    <w:rsid w:val="001036EA"/>
    <w:rsid w:val="00103AB7"/>
    <w:rsid w:val="00103B44"/>
    <w:rsid w:val="001041F3"/>
    <w:rsid w:val="0010439A"/>
    <w:rsid w:val="001044F8"/>
    <w:rsid w:val="00104510"/>
    <w:rsid w:val="001045C8"/>
    <w:rsid w:val="00104827"/>
    <w:rsid w:val="0010484C"/>
    <w:rsid w:val="001048FF"/>
    <w:rsid w:val="00104A40"/>
    <w:rsid w:val="00104A67"/>
    <w:rsid w:val="00104AE1"/>
    <w:rsid w:val="00104AE3"/>
    <w:rsid w:val="00104B9B"/>
    <w:rsid w:val="00104C67"/>
    <w:rsid w:val="00104CB4"/>
    <w:rsid w:val="00104E3C"/>
    <w:rsid w:val="00104E49"/>
    <w:rsid w:val="00104E66"/>
    <w:rsid w:val="00104F78"/>
    <w:rsid w:val="00105105"/>
    <w:rsid w:val="00105384"/>
    <w:rsid w:val="0010565A"/>
    <w:rsid w:val="001056BB"/>
    <w:rsid w:val="0010570B"/>
    <w:rsid w:val="00105ACA"/>
    <w:rsid w:val="00105B6E"/>
    <w:rsid w:val="00105D45"/>
    <w:rsid w:val="00105E22"/>
    <w:rsid w:val="00105FE7"/>
    <w:rsid w:val="001062DA"/>
    <w:rsid w:val="001063F9"/>
    <w:rsid w:val="001065F5"/>
    <w:rsid w:val="00106775"/>
    <w:rsid w:val="00106800"/>
    <w:rsid w:val="00106913"/>
    <w:rsid w:val="001069F6"/>
    <w:rsid w:val="00106C73"/>
    <w:rsid w:val="00106D0A"/>
    <w:rsid w:val="00106EE7"/>
    <w:rsid w:val="00106EF8"/>
    <w:rsid w:val="00106F4E"/>
    <w:rsid w:val="00106F91"/>
    <w:rsid w:val="00107392"/>
    <w:rsid w:val="001074B6"/>
    <w:rsid w:val="00107555"/>
    <w:rsid w:val="00107703"/>
    <w:rsid w:val="0010771F"/>
    <w:rsid w:val="0010783A"/>
    <w:rsid w:val="001078A3"/>
    <w:rsid w:val="00107AA4"/>
    <w:rsid w:val="00107AEC"/>
    <w:rsid w:val="00107B6E"/>
    <w:rsid w:val="00107BF1"/>
    <w:rsid w:val="00107DCC"/>
    <w:rsid w:val="001101BE"/>
    <w:rsid w:val="00110327"/>
    <w:rsid w:val="001104EB"/>
    <w:rsid w:val="00110714"/>
    <w:rsid w:val="00110B03"/>
    <w:rsid w:val="00110C13"/>
    <w:rsid w:val="00110D11"/>
    <w:rsid w:val="00110D4E"/>
    <w:rsid w:val="00110D4F"/>
    <w:rsid w:val="00110D82"/>
    <w:rsid w:val="00110F64"/>
    <w:rsid w:val="00111144"/>
    <w:rsid w:val="0011129F"/>
    <w:rsid w:val="001112E3"/>
    <w:rsid w:val="00111317"/>
    <w:rsid w:val="00111392"/>
    <w:rsid w:val="001115AD"/>
    <w:rsid w:val="001116F2"/>
    <w:rsid w:val="001117C9"/>
    <w:rsid w:val="001119F5"/>
    <w:rsid w:val="00111A30"/>
    <w:rsid w:val="00111BBA"/>
    <w:rsid w:val="00111E36"/>
    <w:rsid w:val="001121C7"/>
    <w:rsid w:val="00112249"/>
    <w:rsid w:val="00112273"/>
    <w:rsid w:val="00112356"/>
    <w:rsid w:val="001124B9"/>
    <w:rsid w:val="001124CF"/>
    <w:rsid w:val="0011258C"/>
    <w:rsid w:val="001125BC"/>
    <w:rsid w:val="00112626"/>
    <w:rsid w:val="00112822"/>
    <w:rsid w:val="001128B7"/>
    <w:rsid w:val="00112CCE"/>
    <w:rsid w:val="00112D76"/>
    <w:rsid w:val="00112D8D"/>
    <w:rsid w:val="00112DEE"/>
    <w:rsid w:val="00112E16"/>
    <w:rsid w:val="00112E5C"/>
    <w:rsid w:val="00112F08"/>
    <w:rsid w:val="00112FE3"/>
    <w:rsid w:val="0011302A"/>
    <w:rsid w:val="0011304D"/>
    <w:rsid w:val="00113129"/>
    <w:rsid w:val="00113277"/>
    <w:rsid w:val="0011333D"/>
    <w:rsid w:val="00113463"/>
    <w:rsid w:val="00113475"/>
    <w:rsid w:val="00113630"/>
    <w:rsid w:val="00113672"/>
    <w:rsid w:val="001136A9"/>
    <w:rsid w:val="001136FB"/>
    <w:rsid w:val="001139CB"/>
    <w:rsid w:val="00113B70"/>
    <w:rsid w:val="00113C87"/>
    <w:rsid w:val="00113CD6"/>
    <w:rsid w:val="00113CD7"/>
    <w:rsid w:val="00113D80"/>
    <w:rsid w:val="00113E81"/>
    <w:rsid w:val="00113F03"/>
    <w:rsid w:val="00113FA1"/>
    <w:rsid w:val="00114043"/>
    <w:rsid w:val="00114077"/>
    <w:rsid w:val="0011414C"/>
    <w:rsid w:val="0011440C"/>
    <w:rsid w:val="00114536"/>
    <w:rsid w:val="0011456A"/>
    <w:rsid w:val="00114664"/>
    <w:rsid w:val="0011469B"/>
    <w:rsid w:val="001146FC"/>
    <w:rsid w:val="00114854"/>
    <w:rsid w:val="00114918"/>
    <w:rsid w:val="001149DA"/>
    <w:rsid w:val="00114A34"/>
    <w:rsid w:val="00114B9A"/>
    <w:rsid w:val="00114BD3"/>
    <w:rsid w:val="00114C20"/>
    <w:rsid w:val="00114C49"/>
    <w:rsid w:val="00114EA6"/>
    <w:rsid w:val="0011513B"/>
    <w:rsid w:val="0011518B"/>
    <w:rsid w:val="0011518D"/>
    <w:rsid w:val="001151D2"/>
    <w:rsid w:val="00115328"/>
    <w:rsid w:val="00115403"/>
    <w:rsid w:val="001154CF"/>
    <w:rsid w:val="0011556E"/>
    <w:rsid w:val="00115586"/>
    <w:rsid w:val="0011576D"/>
    <w:rsid w:val="00115825"/>
    <w:rsid w:val="00115D8F"/>
    <w:rsid w:val="00115E30"/>
    <w:rsid w:val="00115E7D"/>
    <w:rsid w:val="00115F2B"/>
    <w:rsid w:val="00115F3B"/>
    <w:rsid w:val="00116012"/>
    <w:rsid w:val="00116144"/>
    <w:rsid w:val="00116167"/>
    <w:rsid w:val="00116174"/>
    <w:rsid w:val="0011622D"/>
    <w:rsid w:val="001163B8"/>
    <w:rsid w:val="0011657B"/>
    <w:rsid w:val="001166F8"/>
    <w:rsid w:val="00116855"/>
    <w:rsid w:val="00116B53"/>
    <w:rsid w:val="00116C4E"/>
    <w:rsid w:val="00116D09"/>
    <w:rsid w:val="00116E1B"/>
    <w:rsid w:val="00116EDF"/>
    <w:rsid w:val="00116EE0"/>
    <w:rsid w:val="00116FCC"/>
    <w:rsid w:val="001170D6"/>
    <w:rsid w:val="00117127"/>
    <w:rsid w:val="00117186"/>
    <w:rsid w:val="0011718B"/>
    <w:rsid w:val="00117429"/>
    <w:rsid w:val="001174E2"/>
    <w:rsid w:val="00117649"/>
    <w:rsid w:val="001179DA"/>
    <w:rsid w:val="00117A54"/>
    <w:rsid w:val="00117A92"/>
    <w:rsid w:val="00117B44"/>
    <w:rsid w:val="00117D0C"/>
    <w:rsid w:val="00117D36"/>
    <w:rsid w:val="00117EE8"/>
    <w:rsid w:val="00120061"/>
    <w:rsid w:val="001200F6"/>
    <w:rsid w:val="00120107"/>
    <w:rsid w:val="0012012E"/>
    <w:rsid w:val="001201A0"/>
    <w:rsid w:val="0012023E"/>
    <w:rsid w:val="001202D9"/>
    <w:rsid w:val="001203DB"/>
    <w:rsid w:val="001203EB"/>
    <w:rsid w:val="0012047E"/>
    <w:rsid w:val="001206A3"/>
    <w:rsid w:val="001206EB"/>
    <w:rsid w:val="001206EF"/>
    <w:rsid w:val="0012086B"/>
    <w:rsid w:val="0012090D"/>
    <w:rsid w:val="00120A0F"/>
    <w:rsid w:val="00120A4B"/>
    <w:rsid w:val="00120AE9"/>
    <w:rsid w:val="00120B4D"/>
    <w:rsid w:val="00120C98"/>
    <w:rsid w:val="00120CBA"/>
    <w:rsid w:val="00120D4B"/>
    <w:rsid w:val="00120EE1"/>
    <w:rsid w:val="001210A4"/>
    <w:rsid w:val="001212A1"/>
    <w:rsid w:val="001212A5"/>
    <w:rsid w:val="001217D6"/>
    <w:rsid w:val="0012181B"/>
    <w:rsid w:val="00121829"/>
    <w:rsid w:val="001218E3"/>
    <w:rsid w:val="00121901"/>
    <w:rsid w:val="00121923"/>
    <w:rsid w:val="00121C01"/>
    <w:rsid w:val="00121C1E"/>
    <w:rsid w:val="00121C63"/>
    <w:rsid w:val="00121C80"/>
    <w:rsid w:val="00121CB5"/>
    <w:rsid w:val="00121D0E"/>
    <w:rsid w:val="00121DAD"/>
    <w:rsid w:val="001220A1"/>
    <w:rsid w:val="001220A6"/>
    <w:rsid w:val="00122105"/>
    <w:rsid w:val="0012212C"/>
    <w:rsid w:val="0012219B"/>
    <w:rsid w:val="00122270"/>
    <w:rsid w:val="00122539"/>
    <w:rsid w:val="00122671"/>
    <w:rsid w:val="001226F7"/>
    <w:rsid w:val="001227FB"/>
    <w:rsid w:val="00122B88"/>
    <w:rsid w:val="00122DE5"/>
    <w:rsid w:val="0012300B"/>
    <w:rsid w:val="0012337F"/>
    <w:rsid w:val="001233B2"/>
    <w:rsid w:val="001234DB"/>
    <w:rsid w:val="00123500"/>
    <w:rsid w:val="00123678"/>
    <w:rsid w:val="001236C8"/>
    <w:rsid w:val="001237F4"/>
    <w:rsid w:val="00123837"/>
    <w:rsid w:val="001238EF"/>
    <w:rsid w:val="00123908"/>
    <w:rsid w:val="00123B50"/>
    <w:rsid w:val="00123D0D"/>
    <w:rsid w:val="00124378"/>
    <w:rsid w:val="001243DB"/>
    <w:rsid w:val="00124571"/>
    <w:rsid w:val="001245F2"/>
    <w:rsid w:val="001245FE"/>
    <w:rsid w:val="00124957"/>
    <w:rsid w:val="00124A59"/>
    <w:rsid w:val="00124DA1"/>
    <w:rsid w:val="00124E2F"/>
    <w:rsid w:val="00124F01"/>
    <w:rsid w:val="00124F32"/>
    <w:rsid w:val="00125101"/>
    <w:rsid w:val="00125295"/>
    <w:rsid w:val="001252BE"/>
    <w:rsid w:val="001253E0"/>
    <w:rsid w:val="0012557C"/>
    <w:rsid w:val="001256B1"/>
    <w:rsid w:val="00125939"/>
    <w:rsid w:val="00125B10"/>
    <w:rsid w:val="00125BA1"/>
    <w:rsid w:val="00125BAC"/>
    <w:rsid w:val="00125D1C"/>
    <w:rsid w:val="00125DBD"/>
    <w:rsid w:val="00125ED6"/>
    <w:rsid w:val="00126146"/>
    <w:rsid w:val="0012614D"/>
    <w:rsid w:val="001261A9"/>
    <w:rsid w:val="00126447"/>
    <w:rsid w:val="00126910"/>
    <w:rsid w:val="00126C08"/>
    <w:rsid w:val="00126D77"/>
    <w:rsid w:val="00126E79"/>
    <w:rsid w:val="00126E91"/>
    <w:rsid w:val="00126FF0"/>
    <w:rsid w:val="00127012"/>
    <w:rsid w:val="00127039"/>
    <w:rsid w:val="00127218"/>
    <w:rsid w:val="001272F8"/>
    <w:rsid w:val="0012735D"/>
    <w:rsid w:val="001274BC"/>
    <w:rsid w:val="00127507"/>
    <w:rsid w:val="00127594"/>
    <w:rsid w:val="001275B1"/>
    <w:rsid w:val="001275ED"/>
    <w:rsid w:val="001276FC"/>
    <w:rsid w:val="0012774E"/>
    <w:rsid w:val="0012781B"/>
    <w:rsid w:val="00127903"/>
    <w:rsid w:val="001279D0"/>
    <w:rsid w:val="00127B84"/>
    <w:rsid w:val="00127BC5"/>
    <w:rsid w:val="00127DEB"/>
    <w:rsid w:val="00127E9C"/>
    <w:rsid w:val="001300A7"/>
    <w:rsid w:val="001300BE"/>
    <w:rsid w:val="0013022E"/>
    <w:rsid w:val="0013035F"/>
    <w:rsid w:val="00130383"/>
    <w:rsid w:val="001303FE"/>
    <w:rsid w:val="0013049F"/>
    <w:rsid w:val="001304B9"/>
    <w:rsid w:val="001305CF"/>
    <w:rsid w:val="00130746"/>
    <w:rsid w:val="00130884"/>
    <w:rsid w:val="001308BE"/>
    <w:rsid w:val="001308FB"/>
    <w:rsid w:val="00130932"/>
    <w:rsid w:val="00130D47"/>
    <w:rsid w:val="00130F63"/>
    <w:rsid w:val="00130FDB"/>
    <w:rsid w:val="00131067"/>
    <w:rsid w:val="001310BE"/>
    <w:rsid w:val="0013139D"/>
    <w:rsid w:val="00131414"/>
    <w:rsid w:val="0013146D"/>
    <w:rsid w:val="001315B9"/>
    <w:rsid w:val="00131732"/>
    <w:rsid w:val="00131A8F"/>
    <w:rsid w:val="00131AA6"/>
    <w:rsid w:val="00131ACA"/>
    <w:rsid w:val="00131EAF"/>
    <w:rsid w:val="00131F1D"/>
    <w:rsid w:val="00131F9C"/>
    <w:rsid w:val="00131FDE"/>
    <w:rsid w:val="001320B2"/>
    <w:rsid w:val="00132128"/>
    <w:rsid w:val="0013213A"/>
    <w:rsid w:val="00132215"/>
    <w:rsid w:val="00132262"/>
    <w:rsid w:val="001324B6"/>
    <w:rsid w:val="00132584"/>
    <w:rsid w:val="00132608"/>
    <w:rsid w:val="00132886"/>
    <w:rsid w:val="00132A63"/>
    <w:rsid w:val="00132D93"/>
    <w:rsid w:val="00132DDD"/>
    <w:rsid w:val="00132F1B"/>
    <w:rsid w:val="00132F9D"/>
    <w:rsid w:val="00132FF6"/>
    <w:rsid w:val="00132FF8"/>
    <w:rsid w:val="0013300E"/>
    <w:rsid w:val="00133081"/>
    <w:rsid w:val="001330A7"/>
    <w:rsid w:val="00133108"/>
    <w:rsid w:val="0013317D"/>
    <w:rsid w:val="001331CA"/>
    <w:rsid w:val="001332C2"/>
    <w:rsid w:val="001332EA"/>
    <w:rsid w:val="001332EF"/>
    <w:rsid w:val="001333AF"/>
    <w:rsid w:val="001335BD"/>
    <w:rsid w:val="00133626"/>
    <w:rsid w:val="0013386B"/>
    <w:rsid w:val="00133969"/>
    <w:rsid w:val="00133A8F"/>
    <w:rsid w:val="00133AE3"/>
    <w:rsid w:val="00133AE5"/>
    <w:rsid w:val="00133BCD"/>
    <w:rsid w:val="00133C66"/>
    <w:rsid w:val="00133D25"/>
    <w:rsid w:val="00133EAF"/>
    <w:rsid w:val="001341E1"/>
    <w:rsid w:val="0013421A"/>
    <w:rsid w:val="00134315"/>
    <w:rsid w:val="0013437A"/>
    <w:rsid w:val="001344C8"/>
    <w:rsid w:val="0013470D"/>
    <w:rsid w:val="001347D9"/>
    <w:rsid w:val="001348AA"/>
    <w:rsid w:val="0013495E"/>
    <w:rsid w:val="001349E0"/>
    <w:rsid w:val="00134A6D"/>
    <w:rsid w:val="00134B4E"/>
    <w:rsid w:val="00134F93"/>
    <w:rsid w:val="00134FA3"/>
    <w:rsid w:val="001350AE"/>
    <w:rsid w:val="00135201"/>
    <w:rsid w:val="001353F6"/>
    <w:rsid w:val="0013544A"/>
    <w:rsid w:val="00135463"/>
    <w:rsid w:val="0013546F"/>
    <w:rsid w:val="001354A1"/>
    <w:rsid w:val="00135545"/>
    <w:rsid w:val="0013556A"/>
    <w:rsid w:val="00135570"/>
    <w:rsid w:val="0013562C"/>
    <w:rsid w:val="0013570A"/>
    <w:rsid w:val="001357F0"/>
    <w:rsid w:val="00135819"/>
    <w:rsid w:val="00135854"/>
    <w:rsid w:val="001359E2"/>
    <w:rsid w:val="00135A13"/>
    <w:rsid w:val="00135A46"/>
    <w:rsid w:val="00135CC1"/>
    <w:rsid w:val="00135D10"/>
    <w:rsid w:val="00135D9B"/>
    <w:rsid w:val="00135EA2"/>
    <w:rsid w:val="00135F0B"/>
    <w:rsid w:val="00135F50"/>
    <w:rsid w:val="00135FB7"/>
    <w:rsid w:val="001360C6"/>
    <w:rsid w:val="00136288"/>
    <w:rsid w:val="0013643E"/>
    <w:rsid w:val="00136545"/>
    <w:rsid w:val="001365B8"/>
    <w:rsid w:val="00136794"/>
    <w:rsid w:val="0013691A"/>
    <w:rsid w:val="00136961"/>
    <w:rsid w:val="00136BCB"/>
    <w:rsid w:val="00136C1E"/>
    <w:rsid w:val="00136C6B"/>
    <w:rsid w:val="00136D72"/>
    <w:rsid w:val="00136DF0"/>
    <w:rsid w:val="00137224"/>
    <w:rsid w:val="00137264"/>
    <w:rsid w:val="001373AC"/>
    <w:rsid w:val="0013743E"/>
    <w:rsid w:val="00137463"/>
    <w:rsid w:val="0013751B"/>
    <w:rsid w:val="0013755B"/>
    <w:rsid w:val="001376AA"/>
    <w:rsid w:val="00137734"/>
    <w:rsid w:val="00137949"/>
    <w:rsid w:val="0013795C"/>
    <w:rsid w:val="00137B06"/>
    <w:rsid w:val="00137B2B"/>
    <w:rsid w:val="00137B96"/>
    <w:rsid w:val="00137D6B"/>
    <w:rsid w:val="00137E25"/>
    <w:rsid w:val="00140130"/>
    <w:rsid w:val="0014024D"/>
    <w:rsid w:val="001402B7"/>
    <w:rsid w:val="001405DC"/>
    <w:rsid w:val="001406F3"/>
    <w:rsid w:val="00140900"/>
    <w:rsid w:val="0014090B"/>
    <w:rsid w:val="00140D03"/>
    <w:rsid w:val="00140F12"/>
    <w:rsid w:val="001410D3"/>
    <w:rsid w:val="001412B4"/>
    <w:rsid w:val="001412BB"/>
    <w:rsid w:val="001412BC"/>
    <w:rsid w:val="001413AE"/>
    <w:rsid w:val="001413EE"/>
    <w:rsid w:val="001414DF"/>
    <w:rsid w:val="001415BA"/>
    <w:rsid w:val="0014163A"/>
    <w:rsid w:val="00141896"/>
    <w:rsid w:val="00141959"/>
    <w:rsid w:val="00141B4E"/>
    <w:rsid w:val="00141BAB"/>
    <w:rsid w:val="001420B8"/>
    <w:rsid w:val="001420D7"/>
    <w:rsid w:val="001420DB"/>
    <w:rsid w:val="00142255"/>
    <w:rsid w:val="001422F5"/>
    <w:rsid w:val="00142337"/>
    <w:rsid w:val="0014244C"/>
    <w:rsid w:val="00142460"/>
    <w:rsid w:val="00142536"/>
    <w:rsid w:val="00142544"/>
    <w:rsid w:val="00142580"/>
    <w:rsid w:val="001427CF"/>
    <w:rsid w:val="00142892"/>
    <w:rsid w:val="00142984"/>
    <w:rsid w:val="001429CE"/>
    <w:rsid w:val="001429D7"/>
    <w:rsid w:val="00142B31"/>
    <w:rsid w:val="00142B89"/>
    <w:rsid w:val="00142C0F"/>
    <w:rsid w:val="00142C6B"/>
    <w:rsid w:val="00142D58"/>
    <w:rsid w:val="00142FAD"/>
    <w:rsid w:val="0014307A"/>
    <w:rsid w:val="00143091"/>
    <w:rsid w:val="001431E7"/>
    <w:rsid w:val="001433E3"/>
    <w:rsid w:val="00143601"/>
    <w:rsid w:val="00143912"/>
    <w:rsid w:val="001439D6"/>
    <w:rsid w:val="00143A94"/>
    <w:rsid w:val="00143B1A"/>
    <w:rsid w:val="00143E41"/>
    <w:rsid w:val="00143F37"/>
    <w:rsid w:val="001440BF"/>
    <w:rsid w:val="001440DF"/>
    <w:rsid w:val="0014414E"/>
    <w:rsid w:val="001441B4"/>
    <w:rsid w:val="001442F6"/>
    <w:rsid w:val="0014438D"/>
    <w:rsid w:val="001443D0"/>
    <w:rsid w:val="00144459"/>
    <w:rsid w:val="0014454E"/>
    <w:rsid w:val="001446CA"/>
    <w:rsid w:val="001448C8"/>
    <w:rsid w:val="001448F8"/>
    <w:rsid w:val="0014490E"/>
    <w:rsid w:val="00144A26"/>
    <w:rsid w:val="00144AF8"/>
    <w:rsid w:val="00144B3C"/>
    <w:rsid w:val="00144BAD"/>
    <w:rsid w:val="00144C9D"/>
    <w:rsid w:val="00144D17"/>
    <w:rsid w:val="00144FCB"/>
    <w:rsid w:val="0014504F"/>
    <w:rsid w:val="001450F3"/>
    <w:rsid w:val="00145105"/>
    <w:rsid w:val="00145236"/>
    <w:rsid w:val="001452E3"/>
    <w:rsid w:val="00145619"/>
    <w:rsid w:val="00145788"/>
    <w:rsid w:val="001457D9"/>
    <w:rsid w:val="00145865"/>
    <w:rsid w:val="00145A05"/>
    <w:rsid w:val="00145BE2"/>
    <w:rsid w:val="00145C07"/>
    <w:rsid w:val="00145C1C"/>
    <w:rsid w:val="00145D4C"/>
    <w:rsid w:val="00145E6A"/>
    <w:rsid w:val="00145E94"/>
    <w:rsid w:val="00145F67"/>
    <w:rsid w:val="00146145"/>
    <w:rsid w:val="001462AE"/>
    <w:rsid w:val="001462F1"/>
    <w:rsid w:val="00146397"/>
    <w:rsid w:val="00146419"/>
    <w:rsid w:val="0014642C"/>
    <w:rsid w:val="001464DC"/>
    <w:rsid w:val="001466BC"/>
    <w:rsid w:val="0014693F"/>
    <w:rsid w:val="00146986"/>
    <w:rsid w:val="00146B82"/>
    <w:rsid w:val="00146E52"/>
    <w:rsid w:val="00146E5B"/>
    <w:rsid w:val="00146EAA"/>
    <w:rsid w:val="00146ED4"/>
    <w:rsid w:val="00147069"/>
    <w:rsid w:val="00147199"/>
    <w:rsid w:val="001472E7"/>
    <w:rsid w:val="001473D3"/>
    <w:rsid w:val="00147533"/>
    <w:rsid w:val="00147737"/>
    <w:rsid w:val="0014773C"/>
    <w:rsid w:val="0014780A"/>
    <w:rsid w:val="001478BB"/>
    <w:rsid w:val="00147A24"/>
    <w:rsid w:val="00147B22"/>
    <w:rsid w:val="00147B9C"/>
    <w:rsid w:val="00147D23"/>
    <w:rsid w:val="00147E1E"/>
    <w:rsid w:val="00147ED2"/>
    <w:rsid w:val="0015004C"/>
    <w:rsid w:val="001500F9"/>
    <w:rsid w:val="001501B9"/>
    <w:rsid w:val="0015038C"/>
    <w:rsid w:val="00150472"/>
    <w:rsid w:val="00150476"/>
    <w:rsid w:val="00150528"/>
    <w:rsid w:val="00150688"/>
    <w:rsid w:val="001507BE"/>
    <w:rsid w:val="00150896"/>
    <w:rsid w:val="001508DC"/>
    <w:rsid w:val="001508ED"/>
    <w:rsid w:val="00150932"/>
    <w:rsid w:val="0015093F"/>
    <w:rsid w:val="001509F4"/>
    <w:rsid w:val="00150C36"/>
    <w:rsid w:val="00150C88"/>
    <w:rsid w:val="00151002"/>
    <w:rsid w:val="00151251"/>
    <w:rsid w:val="00151303"/>
    <w:rsid w:val="0015149A"/>
    <w:rsid w:val="0015154E"/>
    <w:rsid w:val="00151642"/>
    <w:rsid w:val="00151679"/>
    <w:rsid w:val="001517AA"/>
    <w:rsid w:val="00151918"/>
    <w:rsid w:val="00151B46"/>
    <w:rsid w:val="00151B6F"/>
    <w:rsid w:val="00151BCB"/>
    <w:rsid w:val="00151C75"/>
    <w:rsid w:val="00151E1C"/>
    <w:rsid w:val="00151F00"/>
    <w:rsid w:val="001520D9"/>
    <w:rsid w:val="00152316"/>
    <w:rsid w:val="00152370"/>
    <w:rsid w:val="001526F6"/>
    <w:rsid w:val="00152708"/>
    <w:rsid w:val="001527FF"/>
    <w:rsid w:val="001528AF"/>
    <w:rsid w:val="001529D5"/>
    <w:rsid w:val="00152A1E"/>
    <w:rsid w:val="00152A5E"/>
    <w:rsid w:val="00152B52"/>
    <w:rsid w:val="00152B5C"/>
    <w:rsid w:val="00152BA1"/>
    <w:rsid w:val="00152BC2"/>
    <w:rsid w:val="00152C74"/>
    <w:rsid w:val="00152E18"/>
    <w:rsid w:val="00152FA7"/>
    <w:rsid w:val="00152FB9"/>
    <w:rsid w:val="0015314D"/>
    <w:rsid w:val="00153157"/>
    <w:rsid w:val="00153199"/>
    <w:rsid w:val="00153257"/>
    <w:rsid w:val="001532D3"/>
    <w:rsid w:val="001533EC"/>
    <w:rsid w:val="0015358A"/>
    <w:rsid w:val="001538F7"/>
    <w:rsid w:val="00153953"/>
    <w:rsid w:val="00153B9C"/>
    <w:rsid w:val="00153C0F"/>
    <w:rsid w:val="00153D8F"/>
    <w:rsid w:val="00153DCB"/>
    <w:rsid w:val="00153F98"/>
    <w:rsid w:val="00153FA5"/>
    <w:rsid w:val="001541AC"/>
    <w:rsid w:val="0015425D"/>
    <w:rsid w:val="001542BA"/>
    <w:rsid w:val="001542C7"/>
    <w:rsid w:val="001542CC"/>
    <w:rsid w:val="001542DD"/>
    <w:rsid w:val="001543C8"/>
    <w:rsid w:val="00154544"/>
    <w:rsid w:val="00154569"/>
    <w:rsid w:val="00154599"/>
    <w:rsid w:val="00154825"/>
    <w:rsid w:val="0015487B"/>
    <w:rsid w:val="00154890"/>
    <w:rsid w:val="001548C4"/>
    <w:rsid w:val="00154A19"/>
    <w:rsid w:val="00154B03"/>
    <w:rsid w:val="00154DF6"/>
    <w:rsid w:val="00154ED5"/>
    <w:rsid w:val="00154F1D"/>
    <w:rsid w:val="001550E2"/>
    <w:rsid w:val="0015537F"/>
    <w:rsid w:val="00155456"/>
    <w:rsid w:val="001554A0"/>
    <w:rsid w:val="0015556B"/>
    <w:rsid w:val="00155608"/>
    <w:rsid w:val="00155996"/>
    <w:rsid w:val="00155A93"/>
    <w:rsid w:val="00155AAE"/>
    <w:rsid w:val="00155C4E"/>
    <w:rsid w:val="00155F5A"/>
    <w:rsid w:val="00155F5F"/>
    <w:rsid w:val="00155F8A"/>
    <w:rsid w:val="00156174"/>
    <w:rsid w:val="001562C9"/>
    <w:rsid w:val="001563A4"/>
    <w:rsid w:val="001563A5"/>
    <w:rsid w:val="0015652B"/>
    <w:rsid w:val="0015652D"/>
    <w:rsid w:val="0015653C"/>
    <w:rsid w:val="001567C9"/>
    <w:rsid w:val="00156908"/>
    <w:rsid w:val="001569A2"/>
    <w:rsid w:val="001569F9"/>
    <w:rsid w:val="00156BAC"/>
    <w:rsid w:val="00156BE2"/>
    <w:rsid w:val="00156CC0"/>
    <w:rsid w:val="00156CDC"/>
    <w:rsid w:val="00156D48"/>
    <w:rsid w:val="00156D8A"/>
    <w:rsid w:val="00156DCF"/>
    <w:rsid w:val="00156F1B"/>
    <w:rsid w:val="00156FB6"/>
    <w:rsid w:val="00156FC1"/>
    <w:rsid w:val="0015709A"/>
    <w:rsid w:val="001570D7"/>
    <w:rsid w:val="00157113"/>
    <w:rsid w:val="001571DA"/>
    <w:rsid w:val="0015728E"/>
    <w:rsid w:val="00157320"/>
    <w:rsid w:val="0015734D"/>
    <w:rsid w:val="00157389"/>
    <w:rsid w:val="00157580"/>
    <w:rsid w:val="001575DC"/>
    <w:rsid w:val="0015766E"/>
    <w:rsid w:val="00157748"/>
    <w:rsid w:val="00157954"/>
    <w:rsid w:val="001579AB"/>
    <w:rsid w:val="00157AA7"/>
    <w:rsid w:val="00157B71"/>
    <w:rsid w:val="00157BF2"/>
    <w:rsid w:val="00157C51"/>
    <w:rsid w:val="00157C54"/>
    <w:rsid w:val="00157DF7"/>
    <w:rsid w:val="00157E08"/>
    <w:rsid w:val="00157E93"/>
    <w:rsid w:val="00157E9F"/>
    <w:rsid w:val="00157EEE"/>
    <w:rsid w:val="00157EFB"/>
    <w:rsid w:val="001601EB"/>
    <w:rsid w:val="00160205"/>
    <w:rsid w:val="001602B7"/>
    <w:rsid w:val="001603E6"/>
    <w:rsid w:val="00160458"/>
    <w:rsid w:val="00160507"/>
    <w:rsid w:val="001605CB"/>
    <w:rsid w:val="001605EF"/>
    <w:rsid w:val="00160629"/>
    <w:rsid w:val="00160660"/>
    <w:rsid w:val="00160965"/>
    <w:rsid w:val="00160A1B"/>
    <w:rsid w:val="00160C0A"/>
    <w:rsid w:val="00160C1B"/>
    <w:rsid w:val="00160C49"/>
    <w:rsid w:val="00160E64"/>
    <w:rsid w:val="00160FA9"/>
    <w:rsid w:val="0016100B"/>
    <w:rsid w:val="00161262"/>
    <w:rsid w:val="00161267"/>
    <w:rsid w:val="00161384"/>
    <w:rsid w:val="00161524"/>
    <w:rsid w:val="001615CA"/>
    <w:rsid w:val="00161750"/>
    <w:rsid w:val="0016183F"/>
    <w:rsid w:val="00161908"/>
    <w:rsid w:val="00161A1F"/>
    <w:rsid w:val="00161AB8"/>
    <w:rsid w:val="00161EDC"/>
    <w:rsid w:val="00161FBD"/>
    <w:rsid w:val="00162081"/>
    <w:rsid w:val="00162106"/>
    <w:rsid w:val="001621A9"/>
    <w:rsid w:val="00162312"/>
    <w:rsid w:val="00162494"/>
    <w:rsid w:val="001624AA"/>
    <w:rsid w:val="001625BB"/>
    <w:rsid w:val="001627B7"/>
    <w:rsid w:val="0016282E"/>
    <w:rsid w:val="00162850"/>
    <w:rsid w:val="00162856"/>
    <w:rsid w:val="00162A44"/>
    <w:rsid w:val="00162ABE"/>
    <w:rsid w:val="00162C12"/>
    <w:rsid w:val="00162D4C"/>
    <w:rsid w:val="00162EFE"/>
    <w:rsid w:val="00162F91"/>
    <w:rsid w:val="001630C0"/>
    <w:rsid w:val="001630CB"/>
    <w:rsid w:val="0016317D"/>
    <w:rsid w:val="00163210"/>
    <w:rsid w:val="00163245"/>
    <w:rsid w:val="00163337"/>
    <w:rsid w:val="00163490"/>
    <w:rsid w:val="00163530"/>
    <w:rsid w:val="00163588"/>
    <w:rsid w:val="001636C6"/>
    <w:rsid w:val="0016376B"/>
    <w:rsid w:val="00163881"/>
    <w:rsid w:val="00163A03"/>
    <w:rsid w:val="00163A9C"/>
    <w:rsid w:val="00163AD8"/>
    <w:rsid w:val="00163BEF"/>
    <w:rsid w:val="00163EF1"/>
    <w:rsid w:val="00164181"/>
    <w:rsid w:val="00164487"/>
    <w:rsid w:val="001644BE"/>
    <w:rsid w:val="001644EB"/>
    <w:rsid w:val="0016461E"/>
    <w:rsid w:val="001646A5"/>
    <w:rsid w:val="001646AC"/>
    <w:rsid w:val="001646B2"/>
    <w:rsid w:val="00164759"/>
    <w:rsid w:val="00164802"/>
    <w:rsid w:val="00164805"/>
    <w:rsid w:val="00164866"/>
    <w:rsid w:val="00164A01"/>
    <w:rsid w:val="00164B1F"/>
    <w:rsid w:val="00164B37"/>
    <w:rsid w:val="00164CBE"/>
    <w:rsid w:val="00164DDE"/>
    <w:rsid w:val="00164E57"/>
    <w:rsid w:val="00164E6C"/>
    <w:rsid w:val="00164EE8"/>
    <w:rsid w:val="00164F11"/>
    <w:rsid w:val="001650BD"/>
    <w:rsid w:val="001650DA"/>
    <w:rsid w:val="0016516F"/>
    <w:rsid w:val="001651BB"/>
    <w:rsid w:val="001653C8"/>
    <w:rsid w:val="0016542C"/>
    <w:rsid w:val="00165580"/>
    <w:rsid w:val="001656A6"/>
    <w:rsid w:val="00165969"/>
    <w:rsid w:val="00165B9D"/>
    <w:rsid w:val="00165D7F"/>
    <w:rsid w:val="00165F56"/>
    <w:rsid w:val="00166034"/>
    <w:rsid w:val="0016608B"/>
    <w:rsid w:val="00166253"/>
    <w:rsid w:val="001662F4"/>
    <w:rsid w:val="00166454"/>
    <w:rsid w:val="0016660C"/>
    <w:rsid w:val="00166613"/>
    <w:rsid w:val="0016664B"/>
    <w:rsid w:val="0016675E"/>
    <w:rsid w:val="00166764"/>
    <w:rsid w:val="001667D5"/>
    <w:rsid w:val="00166869"/>
    <w:rsid w:val="00166A03"/>
    <w:rsid w:val="00166ED4"/>
    <w:rsid w:val="00166EEA"/>
    <w:rsid w:val="00166F4F"/>
    <w:rsid w:val="00166F57"/>
    <w:rsid w:val="00166F6B"/>
    <w:rsid w:val="001671BC"/>
    <w:rsid w:val="0016735F"/>
    <w:rsid w:val="0016745C"/>
    <w:rsid w:val="001674BC"/>
    <w:rsid w:val="001677DF"/>
    <w:rsid w:val="00167B48"/>
    <w:rsid w:val="00167CAA"/>
    <w:rsid w:val="00167CE3"/>
    <w:rsid w:val="00167DA4"/>
    <w:rsid w:val="00167E64"/>
    <w:rsid w:val="001701ED"/>
    <w:rsid w:val="001706D2"/>
    <w:rsid w:val="0017077A"/>
    <w:rsid w:val="00170861"/>
    <w:rsid w:val="001708DC"/>
    <w:rsid w:val="00170908"/>
    <w:rsid w:val="00170931"/>
    <w:rsid w:val="0017099B"/>
    <w:rsid w:val="00170A2A"/>
    <w:rsid w:val="00170B02"/>
    <w:rsid w:val="00170B0B"/>
    <w:rsid w:val="00170D4C"/>
    <w:rsid w:val="00170DB7"/>
    <w:rsid w:val="00170ED1"/>
    <w:rsid w:val="00171093"/>
    <w:rsid w:val="00171359"/>
    <w:rsid w:val="001714EA"/>
    <w:rsid w:val="0017176D"/>
    <w:rsid w:val="00171815"/>
    <w:rsid w:val="001718D3"/>
    <w:rsid w:val="00171975"/>
    <w:rsid w:val="001719BB"/>
    <w:rsid w:val="00171A45"/>
    <w:rsid w:val="00171A56"/>
    <w:rsid w:val="00171B5C"/>
    <w:rsid w:val="00171BA1"/>
    <w:rsid w:val="00171C2B"/>
    <w:rsid w:val="00171C67"/>
    <w:rsid w:val="00171CE2"/>
    <w:rsid w:val="00171D1B"/>
    <w:rsid w:val="00171F0C"/>
    <w:rsid w:val="00171F0D"/>
    <w:rsid w:val="00172027"/>
    <w:rsid w:val="001721A6"/>
    <w:rsid w:val="001721A9"/>
    <w:rsid w:val="001721CE"/>
    <w:rsid w:val="00172262"/>
    <w:rsid w:val="001722FB"/>
    <w:rsid w:val="0017242A"/>
    <w:rsid w:val="0017255F"/>
    <w:rsid w:val="00172577"/>
    <w:rsid w:val="00172833"/>
    <w:rsid w:val="001729D1"/>
    <w:rsid w:val="00172A01"/>
    <w:rsid w:val="00172C30"/>
    <w:rsid w:val="00172EF2"/>
    <w:rsid w:val="00172FCD"/>
    <w:rsid w:val="001730D7"/>
    <w:rsid w:val="0017343B"/>
    <w:rsid w:val="00173442"/>
    <w:rsid w:val="00173493"/>
    <w:rsid w:val="00173533"/>
    <w:rsid w:val="00173539"/>
    <w:rsid w:val="0017360C"/>
    <w:rsid w:val="00173623"/>
    <w:rsid w:val="0017369B"/>
    <w:rsid w:val="0017373E"/>
    <w:rsid w:val="001737D3"/>
    <w:rsid w:val="00173950"/>
    <w:rsid w:val="001739FC"/>
    <w:rsid w:val="00173A12"/>
    <w:rsid w:val="00173AA5"/>
    <w:rsid w:val="00173B3E"/>
    <w:rsid w:val="00173DB1"/>
    <w:rsid w:val="00173DFB"/>
    <w:rsid w:val="00173ED7"/>
    <w:rsid w:val="00173EDF"/>
    <w:rsid w:val="00173EEB"/>
    <w:rsid w:val="00173F36"/>
    <w:rsid w:val="00173F48"/>
    <w:rsid w:val="00174181"/>
    <w:rsid w:val="00174243"/>
    <w:rsid w:val="001742A9"/>
    <w:rsid w:val="001744C3"/>
    <w:rsid w:val="001746DF"/>
    <w:rsid w:val="00174B21"/>
    <w:rsid w:val="00174B73"/>
    <w:rsid w:val="00174BEC"/>
    <w:rsid w:val="00174CBF"/>
    <w:rsid w:val="00174DAB"/>
    <w:rsid w:val="00174EB5"/>
    <w:rsid w:val="00174F1C"/>
    <w:rsid w:val="00174F6F"/>
    <w:rsid w:val="00175657"/>
    <w:rsid w:val="0017567F"/>
    <w:rsid w:val="001756B7"/>
    <w:rsid w:val="0017578C"/>
    <w:rsid w:val="0017584F"/>
    <w:rsid w:val="0017586D"/>
    <w:rsid w:val="00175874"/>
    <w:rsid w:val="001758AD"/>
    <w:rsid w:val="001759B5"/>
    <w:rsid w:val="001759F4"/>
    <w:rsid w:val="00175BC4"/>
    <w:rsid w:val="00175BD0"/>
    <w:rsid w:val="00175CA1"/>
    <w:rsid w:val="00175CAA"/>
    <w:rsid w:val="00175E96"/>
    <w:rsid w:val="00175F2B"/>
    <w:rsid w:val="00176234"/>
    <w:rsid w:val="001763C4"/>
    <w:rsid w:val="0017640D"/>
    <w:rsid w:val="00176415"/>
    <w:rsid w:val="00176451"/>
    <w:rsid w:val="0017662C"/>
    <w:rsid w:val="001768F8"/>
    <w:rsid w:val="00176BB6"/>
    <w:rsid w:val="00176E21"/>
    <w:rsid w:val="00176E23"/>
    <w:rsid w:val="00176EB7"/>
    <w:rsid w:val="00177221"/>
    <w:rsid w:val="0017726B"/>
    <w:rsid w:val="0017747E"/>
    <w:rsid w:val="00177484"/>
    <w:rsid w:val="001778CA"/>
    <w:rsid w:val="00177906"/>
    <w:rsid w:val="00177B13"/>
    <w:rsid w:val="00177B64"/>
    <w:rsid w:val="00177DF7"/>
    <w:rsid w:val="00177FB9"/>
    <w:rsid w:val="00180402"/>
    <w:rsid w:val="0018046B"/>
    <w:rsid w:val="00180552"/>
    <w:rsid w:val="001809B3"/>
    <w:rsid w:val="00180AB7"/>
    <w:rsid w:val="00180B3A"/>
    <w:rsid w:val="00180C11"/>
    <w:rsid w:val="00180C8D"/>
    <w:rsid w:val="00180F45"/>
    <w:rsid w:val="00180F4E"/>
    <w:rsid w:val="001810CB"/>
    <w:rsid w:val="00181435"/>
    <w:rsid w:val="0018143E"/>
    <w:rsid w:val="001815D1"/>
    <w:rsid w:val="0018176C"/>
    <w:rsid w:val="0018181F"/>
    <w:rsid w:val="00181992"/>
    <w:rsid w:val="00181A0A"/>
    <w:rsid w:val="00181B0F"/>
    <w:rsid w:val="00181CE0"/>
    <w:rsid w:val="00181D05"/>
    <w:rsid w:val="00181D44"/>
    <w:rsid w:val="00181F1A"/>
    <w:rsid w:val="00182097"/>
    <w:rsid w:val="0018211D"/>
    <w:rsid w:val="001821D4"/>
    <w:rsid w:val="0018227D"/>
    <w:rsid w:val="001822FF"/>
    <w:rsid w:val="00182309"/>
    <w:rsid w:val="0018231B"/>
    <w:rsid w:val="00182376"/>
    <w:rsid w:val="001823C0"/>
    <w:rsid w:val="0018247D"/>
    <w:rsid w:val="0018252C"/>
    <w:rsid w:val="0018259D"/>
    <w:rsid w:val="00182701"/>
    <w:rsid w:val="00182C2C"/>
    <w:rsid w:val="00182E83"/>
    <w:rsid w:val="00182E8E"/>
    <w:rsid w:val="00182F6A"/>
    <w:rsid w:val="0018331B"/>
    <w:rsid w:val="0018338C"/>
    <w:rsid w:val="001833E8"/>
    <w:rsid w:val="0018346D"/>
    <w:rsid w:val="001836CF"/>
    <w:rsid w:val="00183724"/>
    <w:rsid w:val="00183813"/>
    <w:rsid w:val="0018385D"/>
    <w:rsid w:val="001838BE"/>
    <w:rsid w:val="001838F5"/>
    <w:rsid w:val="0018397B"/>
    <w:rsid w:val="00183A8E"/>
    <w:rsid w:val="00183AD8"/>
    <w:rsid w:val="00183B17"/>
    <w:rsid w:val="00183BCD"/>
    <w:rsid w:val="00183ED4"/>
    <w:rsid w:val="00183FA1"/>
    <w:rsid w:val="0018400D"/>
    <w:rsid w:val="00184180"/>
    <w:rsid w:val="001841B8"/>
    <w:rsid w:val="001842A6"/>
    <w:rsid w:val="001844EC"/>
    <w:rsid w:val="001846F3"/>
    <w:rsid w:val="001847D3"/>
    <w:rsid w:val="00184B5A"/>
    <w:rsid w:val="00184CF9"/>
    <w:rsid w:val="00184D87"/>
    <w:rsid w:val="0018513A"/>
    <w:rsid w:val="00185284"/>
    <w:rsid w:val="001852B9"/>
    <w:rsid w:val="00185364"/>
    <w:rsid w:val="00185370"/>
    <w:rsid w:val="0018540E"/>
    <w:rsid w:val="00185425"/>
    <w:rsid w:val="00185711"/>
    <w:rsid w:val="0018578A"/>
    <w:rsid w:val="001857D5"/>
    <w:rsid w:val="001857DA"/>
    <w:rsid w:val="0018586B"/>
    <w:rsid w:val="00185936"/>
    <w:rsid w:val="00185A5C"/>
    <w:rsid w:val="00185B32"/>
    <w:rsid w:val="00185D20"/>
    <w:rsid w:val="00185D79"/>
    <w:rsid w:val="00185E79"/>
    <w:rsid w:val="00185F16"/>
    <w:rsid w:val="00185F59"/>
    <w:rsid w:val="00185FBE"/>
    <w:rsid w:val="00186220"/>
    <w:rsid w:val="0018626D"/>
    <w:rsid w:val="001862A7"/>
    <w:rsid w:val="0018648F"/>
    <w:rsid w:val="001864B5"/>
    <w:rsid w:val="001864E0"/>
    <w:rsid w:val="001864E3"/>
    <w:rsid w:val="001864E5"/>
    <w:rsid w:val="001866E1"/>
    <w:rsid w:val="001866F2"/>
    <w:rsid w:val="0018687D"/>
    <w:rsid w:val="001868EB"/>
    <w:rsid w:val="001869C8"/>
    <w:rsid w:val="00186A0F"/>
    <w:rsid w:val="00186A5B"/>
    <w:rsid w:val="00186AB4"/>
    <w:rsid w:val="00186B9F"/>
    <w:rsid w:val="00186BC1"/>
    <w:rsid w:val="00186E01"/>
    <w:rsid w:val="00186E61"/>
    <w:rsid w:val="00187105"/>
    <w:rsid w:val="00187189"/>
    <w:rsid w:val="0018726E"/>
    <w:rsid w:val="001872E8"/>
    <w:rsid w:val="001872F9"/>
    <w:rsid w:val="001873EF"/>
    <w:rsid w:val="00187403"/>
    <w:rsid w:val="001875B0"/>
    <w:rsid w:val="001877EA"/>
    <w:rsid w:val="001879AB"/>
    <w:rsid w:val="00187B14"/>
    <w:rsid w:val="00187C3B"/>
    <w:rsid w:val="00187CE4"/>
    <w:rsid w:val="00187D96"/>
    <w:rsid w:val="00187E9E"/>
    <w:rsid w:val="00187F25"/>
    <w:rsid w:val="00190033"/>
    <w:rsid w:val="00190163"/>
    <w:rsid w:val="001901CC"/>
    <w:rsid w:val="0019042B"/>
    <w:rsid w:val="00190523"/>
    <w:rsid w:val="0019067B"/>
    <w:rsid w:val="00190839"/>
    <w:rsid w:val="001909B0"/>
    <w:rsid w:val="00190C13"/>
    <w:rsid w:val="00190CB9"/>
    <w:rsid w:val="00190EB8"/>
    <w:rsid w:val="00190F2A"/>
    <w:rsid w:val="00190FD4"/>
    <w:rsid w:val="00191138"/>
    <w:rsid w:val="00191139"/>
    <w:rsid w:val="001911A0"/>
    <w:rsid w:val="001911CE"/>
    <w:rsid w:val="0019132F"/>
    <w:rsid w:val="0019136F"/>
    <w:rsid w:val="00191390"/>
    <w:rsid w:val="00191428"/>
    <w:rsid w:val="0019147C"/>
    <w:rsid w:val="001914F6"/>
    <w:rsid w:val="00191512"/>
    <w:rsid w:val="00191576"/>
    <w:rsid w:val="00191582"/>
    <w:rsid w:val="001915BA"/>
    <w:rsid w:val="001917E8"/>
    <w:rsid w:val="00191A78"/>
    <w:rsid w:val="00191A80"/>
    <w:rsid w:val="00191B79"/>
    <w:rsid w:val="00191BE4"/>
    <w:rsid w:val="00192066"/>
    <w:rsid w:val="001920B9"/>
    <w:rsid w:val="001920E8"/>
    <w:rsid w:val="001920E9"/>
    <w:rsid w:val="00192264"/>
    <w:rsid w:val="0019233B"/>
    <w:rsid w:val="00192592"/>
    <w:rsid w:val="001927E2"/>
    <w:rsid w:val="0019283C"/>
    <w:rsid w:val="001928B9"/>
    <w:rsid w:val="0019296D"/>
    <w:rsid w:val="00192977"/>
    <w:rsid w:val="00192B94"/>
    <w:rsid w:val="00192C01"/>
    <w:rsid w:val="00192C0E"/>
    <w:rsid w:val="00192E6D"/>
    <w:rsid w:val="00192F07"/>
    <w:rsid w:val="0019315E"/>
    <w:rsid w:val="00193202"/>
    <w:rsid w:val="00193344"/>
    <w:rsid w:val="0019339D"/>
    <w:rsid w:val="00193522"/>
    <w:rsid w:val="00193565"/>
    <w:rsid w:val="001936EE"/>
    <w:rsid w:val="0019391F"/>
    <w:rsid w:val="00193983"/>
    <w:rsid w:val="001939BA"/>
    <w:rsid w:val="00193AB6"/>
    <w:rsid w:val="00193BAC"/>
    <w:rsid w:val="00193CBD"/>
    <w:rsid w:val="00193CED"/>
    <w:rsid w:val="00193DAA"/>
    <w:rsid w:val="00193E09"/>
    <w:rsid w:val="00193ECC"/>
    <w:rsid w:val="00194339"/>
    <w:rsid w:val="0019433C"/>
    <w:rsid w:val="00194510"/>
    <w:rsid w:val="0019456B"/>
    <w:rsid w:val="001947D6"/>
    <w:rsid w:val="001947EB"/>
    <w:rsid w:val="001948E7"/>
    <w:rsid w:val="00194988"/>
    <w:rsid w:val="00194A42"/>
    <w:rsid w:val="00194AE9"/>
    <w:rsid w:val="00194B2A"/>
    <w:rsid w:val="00194BAA"/>
    <w:rsid w:val="00194EB7"/>
    <w:rsid w:val="00194ECE"/>
    <w:rsid w:val="00195003"/>
    <w:rsid w:val="00195113"/>
    <w:rsid w:val="0019511F"/>
    <w:rsid w:val="00195182"/>
    <w:rsid w:val="00195185"/>
    <w:rsid w:val="001957A1"/>
    <w:rsid w:val="00195899"/>
    <w:rsid w:val="001958B0"/>
    <w:rsid w:val="001959AA"/>
    <w:rsid w:val="001959BA"/>
    <w:rsid w:val="001959E5"/>
    <w:rsid w:val="00195A11"/>
    <w:rsid w:val="00195A95"/>
    <w:rsid w:val="00195AB8"/>
    <w:rsid w:val="00195B49"/>
    <w:rsid w:val="00195C5F"/>
    <w:rsid w:val="00195E3E"/>
    <w:rsid w:val="00195E44"/>
    <w:rsid w:val="00195EB9"/>
    <w:rsid w:val="00196058"/>
    <w:rsid w:val="001960AD"/>
    <w:rsid w:val="00196205"/>
    <w:rsid w:val="0019622B"/>
    <w:rsid w:val="00196247"/>
    <w:rsid w:val="00196281"/>
    <w:rsid w:val="00196493"/>
    <w:rsid w:val="00196518"/>
    <w:rsid w:val="00196625"/>
    <w:rsid w:val="00196665"/>
    <w:rsid w:val="00196733"/>
    <w:rsid w:val="001968EB"/>
    <w:rsid w:val="00196A64"/>
    <w:rsid w:val="00196BA3"/>
    <w:rsid w:val="00196C27"/>
    <w:rsid w:val="00196CE8"/>
    <w:rsid w:val="00196D17"/>
    <w:rsid w:val="00196D31"/>
    <w:rsid w:val="00196EF1"/>
    <w:rsid w:val="00196F43"/>
    <w:rsid w:val="00196FDF"/>
    <w:rsid w:val="001970C9"/>
    <w:rsid w:val="001970F2"/>
    <w:rsid w:val="001970F6"/>
    <w:rsid w:val="001971A4"/>
    <w:rsid w:val="001971B9"/>
    <w:rsid w:val="00197237"/>
    <w:rsid w:val="00197279"/>
    <w:rsid w:val="0019736A"/>
    <w:rsid w:val="0019749C"/>
    <w:rsid w:val="0019758B"/>
    <w:rsid w:val="00197613"/>
    <w:rsid w:val="00197702"/>
    <w:rsid w:val="00197784"/>
    <w:rsid w:val="00197925"/>
    <w:rsid w:val="00197B1D"/>
    <w:rsid w:val="00197B71"/>
    <w:rsid w:val="00197BD7"/>
    <w:rsid w:val="00197BFE"/>
    <w:rsid w:val="00197CDE"/>
    <w:rsid w:val="00197E59"/>
    <w:rsid w:val="00197EE4"/>
    <w:rsid w:val="00197FA6"/>
    <w:rsid w:val="00197FB5"/>
    <w:rsid w:val="001A0002"/>
    <w:rsid w:val="001A0022"/>
    <w:rsid w:val="001A00E5"/>
    <w:rsid w:val="001A02A0"/>
    <w:rsid w:val="001A02C9"/>
    <w:rsid w:val="001A02D7"/>
    <w:rsid w:val="001A0355"/>
    <w:rsid w:val="001A04AA"/>
    <w:rsid w:val="001A0517"/>
    <w:rsid w:val="001A05BE"/>
    <w:rsid w:val="001A079C"/>
    <w:rsid w:val="001A07C0"/>
    <w:rsid w:val="001A0C70"/>
    <w:rsid w:val="001A0C84"/>
    <w:rsid w:val="001A0D91"/>
    <w:rsid w:val="001A0D9C"/>
    <w:rsid w:val="001A0DFD"/>
    <w:rsid w:val="001A0F3D"/>
    <w:rsid w:val="001A10DF"/>
    <w:rsid w:val="001A10EC"/>
    <w:rsid w:val="001A11CD"/>
    <w:rsid w:val="001A123D"/>
    <w:rsid w:val="001A138A"/>
    <w:rsid w:val="001A145F"/>
    <w:rsid w:val="001A1471"/>
    <w:rsid w:val="001A1525"/>
    <w:rsid w:val="001A1636"/>
    <w:rsid w:val="001A17E3"/>
    <w:rsid w:val="001A182C"/>
    <w:rsid w:val="001A18DE"/>
    <w:rsid w:val="001A195C"/>
    <w:rsid w:val="001A19F4"/>
    <w:rsid w:val="001A1B86"/>
    <w:rsid w:val="001A1CC9"/>
    <w:rsid w:val="001A1E79"/>
    <w:rsid w:val="001A1EAD"/>
    <w:rsid w:val="001A1FF6"/>
    <w:rsid w:val="001A2367"/>
    <w:rsid w:val="001A2437"/>
    <w:rsid w:val="001A24E8"/>
    <w:rsid w:val="001A2600"/>
    <w:rsid w:val="001A26F6"/>
    <w:rsid w:val="001A285E"/>
    <w:rsid w:val="001A2923"/>
    <w:rsid w:val="001A299E"/>
    <w:rsid w:val="001A29B2"/>
    <w:rsid w:val="001A2A5B"/>
    <w:rsid w:val="001A2AE3"/>
    <w:rsid w:val="001A2DDE"/>
    <w:rsid w:val="001A2E8B"/>
    <w:rsid w:val="001A2E9E"/>
    <w:rsid w:val="001A301E"/>
    <w:rsid w:val="001A3273"/>
    <w:rsid w:val="001A33D3"/>
    <w:rsid w:val="001A34B2"/>
    <w:rsid w:val="001A388C"/>
    <w:rsid w:val="001A3913"/>
    <w:rsid w:val="001A3A5F"/>
    <w:rsid w:val="001A43BD"/>
    <w:rsid w:val="001A48B1"/>
    <w:rsid w:val="001A4969"/>
    <w:rsid w:val="001A4A73"/>
    <w:rsid w:val="001A4B69"/>
    <w:rsid w:val="001A4CC6"/>
    <w:rsid w:val="001A5225"/>
    <w:rsid w:val="001A5387"/>
    <w:rsid w:val="001A5472"/>
    <w:rsid w:val="001A5676"/>
    <w:rsid w:val="001A57DD"/>
    <w:rsid w:val="001A58B2"/>
    <w:rsid w:val="001A5A8D"/>
    <w:rsid w:val="001A5B4E"/>
    <w:rsid w:val="001A5EC7"/>
    <w:rsid w:val="001A612E"/>
    <w:rsid w:val="001A62B0"/>
    <w:rsid w:val="001A63A4"/>
    <w:rsid w:val="001A66C6"/>
    <w:rsid w:val="001A6716"/>
    <w:rsid w:val="001A675C"/>
    <w:rsid w:val="001A67D4"/>
    <w:rsid w:val="001A6866"/>
    <w:rsid w:val="001A69D8"/>
    <w:rsid w:val="001A6D86"/>
    <w:rsid w:val="001A6F52"/>
    <w:rsid w:val="001A6F84"/>
    <w:rsid w:val="001A7054"/>
    <w:rsid w:val="001A76ED"/>
    <w:rsid w:val="001A7761"/>
    <w:rsid w:val="001A778A"/>
    <w:rsid w:val="001A780E"/>
    <w:rsid w:val="001A78C4"/>
    <w:rsid w:val="001A7923"/>
    <w:rsid w:val="001A7ACD"/>
    <w:rsid w:val="001A7D16"/>
    <w:rsid w:val="001B001D"/>
    <w:rsid w:val="001B0026"/>
    <w:rsid w:val="001B00FF"/>
    <w:rsid w:val="001B044F"/>
    <w:rsid w:val="001B04D4"/>
    <w:rsid w:val="001B062D"/>
    <w:rsid w:val="001B0643"/>
    <w:rsid w:val="001B0668"/>
    <w:rsid w:val="001B0692"/>
    <w:rsid w:val="001B0814"/>
    <w:rsid w:val="001B0828"/>
    <w:rsid w:val="001B093C"/>
    <w:rsid w:val="001B0A03"/>
    <w:rsid w:val="001B0A3E"/>
    <w:rsid w:val="001B0A8E"/>
    <w:rsid w:val="001B0B1B"/>
    <w:rsid w:val="001B0DA7"/>
    <w:rsid w:val="001B0DFA"/>
    <w:rsid w:val="001B10F0"/>
    <w:rsid w:val="001B1137"/>
    <w:rsid w:val="001B12F0"/>
    <w:rsid w:val="001B1455"/>
    <w:rsid w:val="001B145B"/>
    <w:rsid w:val="001B16F0"/>
    <w:rsid w:val="001B1718"/>
    <w:rsid w:val="001B174C"/>
    <w:rsid w:val="001B174D"/>
    <w:rsid w:val="001B175E"/>
    <w:rsid w:val="001B197D"/>
    <w:rsid w:val="001B1B62"/>
    <w:rsid w:val="001B1B6D"/>
    <w:rsid w:val="001B1B77"/>
    <w:rsid w:val="001B1C1A"/>
    <w:rsid w:val="001B217F"/>
    <w:rsid w:val="001B2228"/>
    <w:rsid w:val="001B2399"/>
    <w:rsid w:val="001B241D"/>
    <w:rsid w:val="001B2472"/>
    <w:rsid w:val="001B2531"/>
    <w:rsid w:val="001B2872"/>
    <w:rsid w:val="001B2CBC"/>
    <w:rsid w:val="001B2D84"/>
    <w:rsid w:val="001B2DB5"/>
    <w:rsid w:val="001B2E8B"/>
    <w:rsid w:val="001B2F70"/>
    <w:rsid w:val="001B2FAD"/>
    <w:rsid w:val="001B2FB6"/>
    <w:rsid w:val="001B2FF3"/>
    <w:rsid w:val="001B30BF"/>
    <w:rsid w:val="001B30F7"/>
    <w:rsid w:val="001B3159"/>
    <w:rsid w:val="001B3190"/>
    <w:rsid w:val="001B319F"/>
    <w:rsid w:val="001B326A"/>
    <w:rsid w:val="001B32EF"/>
    <w:rsid w:val="001B34B5"/>
    <w:rsid w:val="001B363B"/>
    <w:rsid w:val="001B3896"/>
    <w:rsid w:val="001B3C1E"/>
    <w:rsid w:val="001B3C54"/>
    <w:rsid w:val="001B3C8F"/>
    <w:rsid w:val="001B3E2C"/>
    <w:rsid w:val="001B3F0B"/>
    <w:rsid w:val="001B420B"/>
    <w:rsid w:val="001B433E"/>
    <w:rsid w:val="001B44CF"/>
    <w:rsid w:val="001B46DA"/>
    <w:rsid w:val="001B47E7"/>
    <w:rsid w:val="001B48E8"/>
    <w:rsid w:val="001B48F3"/>
    <w:rsid w:val="001B4B95"/>
    <w:rsid w:val="001B4DD4"/>
    <w:rsid w:val="001B4DDB"/>
    <w:rsid w:val="001B4EAF"/>
    <w:rsid w:val="001B4EF0"/>
    <w:rsid w:val="001B4F28"/>
    <w:rsid w:val="001B4FDF"/>
    <w:rsid w:val="001B4FF4"/>
    <w:rsid w:val="001B51C4"/>
    <w:rsid w:val="001B5219"/>
    <w:rsid w:val="001B52C0"/>
    <w:rsid w:val="001B54B9"/>
    <w:rsid w:val="001B5596"/>
    <w:rsid w:val="001B5696"/>
    <w:rsid w:val="001B57AB"/>
    <w:rsid w:val="001B59E0"/>
    <w:rsid w:val="001B5A08"/>
    <w:rsid w:val="001B5A93"/>
    <w:rsid w:val="001B5C75"/>
    <w:rsid w:val="001B5CB9"/>
    <w:rsid w:val="001B5F8D"/>
    <w:rsid w:val="001B5F9D"/>
    <w:rsid w:val="001B604A"/>
    <w:rsid w:val="001B6284"/>
    <w:rsid w:val="001B62F4"/>
    <w:rsid w:val="001B6300"/>
    <w:rsid w:val="001B6359"/>
    <w:rsid w:val="001B641B"/>
    <w:rsid w:val="001B644E"/>
    <w:rsid w:val="001B6790"/>
    <w:rsid w:val="001B67C5"/>
    <w:rsid w:val="001B68AD"/>
    <w:rsid w:val="001B6ADA"/>
    <w:rsid w:val="001B6C66"/>
    <w:rsid w:val="001B6CB5"/>
    <w:rsid w:val="001B6D9B"/>
    <w:rsid w:val="001B6DBC"/>
    <w:rsid w:val="001B700D"/>
    <w:rsid w:val="001B722C"/>
    <w:rsid w:val="001B730D"/>
    <w:rsid w:val="001B73DC"/>
    <w:rsid w:val="001B7498"/>
    <w:rsid w:val="001B7514"/>
    <w:rsid w:val="001B7834"/>
    <w:rsid w:val="001B7B45"/>
    <w:rsid w:val="001B7BD3"/>
    <w:rsid w:val="001B7C3A"/>
    <w:rsid w:val="001B7D0C"/>
    <w:rsid w:val="001B7D86"/>
    <w:rsid w:val="001B7F00"/>
    <w:rsid w:val="001B7F19"/>
    <w:rsid w:val="001C0035"/>
    <w:rsid w:val="001C03A5"/>
    <w:rsid w:val="001C04E7"/>
    <w:rsid w:val="001C0613"/>
    <w:rsid w:val="001C06BB"/>
    <w:rsid w:val="001C06E7"/>
    <w:rsid w:val="001C06F3"/>
    <w:rsid w:val="001C08C5"/>
    <w:rsid w:val="001C0965"/>
    <w:rsid w:val="001C0DE0"/>
    <w:rsid w:val="001C0E59"/>
    <w:rsid w:val="001C0FD5"/>
    <w:rsid w:val="001C0FF8"/>
    <w:rsid w:val="001C1069"/>
    <w:rsid w:val="001C1094"/>
    <w:rsid w:val="001C10DB"/>
    <w:rsid w:val="001C138F"/>
    <w:rsid w:val="001C1406"/>
    <w:rsid w:val="001C147C"/>
    <w:rsid w:val="001C1498"/>
    <w:rsid w:val="001C158D"/>
    <w:rsid w:val="001C15E1"/>
    <w:rsid w:val="001C16C8"/>
    <w:rsid w:val="001C190E"/>
    <w:rsid w:val="001C194C"/>
    <w:rsid w:val="001C1A35"/>
    <w:rsid w:val="001C1BC2"/>
    <w:rsid w:val="001C1BEF"/>
    <w:rsid w:val="001C1DE3"/>
    <w:rsid w:val="001C1F74"/>
    <w:rsid w:val="001C2039"/>
    <w:rsid w:val="001C2111"/>
    <w:rsid w:val="001C226C"/>
    <w:rsid w:val="001C22EA"/>
    <w:rsid w:val="001C2390"/>
    <w:rsid w:val="001C2499"/>
    <w:rsid w:val="001C2582"/>
    <w:rsid w:val="001C27A6"/>
    <w:rsid w:val="001C28DC"/>
    <w:rsid w:val="001C2964"/>
    <w:rsid w:val="001C2A4A"/>
    <w:rsid w:val="001C2A65"/>
    <w:rsid w:val="001C2B24"/>
    <w:rsid w:val="001C2C9D"/>
    <w:rsid w:val="001C2D04"/>
    <w:rsid w:val="001C2DBC"/>
    <w:rsid w:val="001C3076"/>
    <w:rsid w:val="001C30A0"/>
    <w:rsid w:val="001C3147"/>
    <w:rsid w:val="001C31ED"/>
    <w:rsid w:val="001C32D1"/>
    <w:rsid w:val="001C330F"/>
    <w:rsid w:val="001C3435"/>
    <w:rsid w:val="001C34FE"/>
    <w:rsid w:val="001C364E"/>
    <w:rsid w:val="001C372E"/>
    <w:rsid w:val="001C37AB"/>
    <w:rsid w:val="001C38B7"/>
    <w:rsid w:val="001C398A"/>
    <w:rsid w:val="001C399A"/>
    <w:rsid w:val="001C3BD3"/>
    <w:rsid w:val="001C3C21"/>
    <w:rsid w:val="001C3DA0"/>
    <w:rsid w:val="001C3F1C"/>
    <w:rsid w:val="001C4206"/>
    <w:rsid w:val="001C4267"/>
    <w:rsid w:val="001C4387"/>
    <w:rsid w:val="001C457E"/>
    <w:rsid w:val="001C45E6"/>
    <w:rsid w:val="001C4686"/>
    <w:rsid w:val="001C4763"/>
    <w:rsid w:val="001C47A9"/>
    <w:rsid w:val="001C4A36"/>
    <w:rsid w:val="001C4B53"/>
    <w:rsid w:val="001C4BC7"/>
    <w:rsid w:val="001C4C21"/>
    <w:rsid w:val="001C4C74"/>
    <w:rsid w:val="001C4C8B"/>
    <w:rsid w:val="001C4D1E"/>
    <w:rsid w:val="001C4DE0"/>
    <w:rsid w:val="001C4F85"/>
    <w:rsid w:val="001C5404"/>
    <w:rsid w:val="001C5450"/>
    <w:rsid w:val="001C5455"/>
    <w:rsid w:val="001C5697"/>
    <w:rsid w:val="001C582A"/>
    <w:rsid w:val="001C5868"/>
    <w:rsid w:val="001C598F"/>
    <w:rsid w:val="001C59E1"/>
    <w:rsid w:val="001C5E18"/>
    <w:rsid w:val="001C5E6C"/>
    <w:rsid w:val="001C612B"/>
    <w:rsid w:val="001C61BD"/>
    <w:rsid w:val="001C64CC"/>
    <w:rsid w:val="001C64FB"/>
    <w:rsid w:val="001C6519"/>
    <w:rsid w:val="001C6596"/>
    <w:rsid w:val="001C6684"/>
    <w:rsid w:val="001C668A"/>
    <w:rsid w:val="001C676C"/>
    <w:rsid w:val="001C6886"/>
    <w:rsid w:val="001C6A4D"/>
    <w:rsid w:val="001C6B0E"/>
    <w:rsid w:val="001C6B61"/>
    <w:rsid w:val="001C6BB1"/>
    <w:rsid w:val="001C6BFC"/>
    <w:rsid w:val="001C6C56"/>
    <w:rsid w:val="001C6D11"/>
    <w:rsid w:val="001C6DAF"/>
    <w:rsid w:val="001C6DD7"/>
    <w:rsid w:val="001C6F44"/>
    <w:rsid w:val="001C704A"/>
    <w:rsid w:val="001C7199"/>
    <w:rsid w:val="001C7264"/>
    <w:rsid w:val="001C72CB"/>
    <w:rsid w:val="001C73CF"/>
    <w:rsid w:val="001C754A"/>
    <w:rsid w:val="001C77C5"/>
    <w:rsid w:val="001C77DA"/>
    <w:rsid w:val="001C77DC"/>
    <w:rsid w:val="001C78F8"/>
    <w:rsid w:val="001C7975"/>
    <w:rsid w:val="001C7979"/>
    <w:rsid w:val="001C79F1"/>
    <w:rsid w:val="001C7A2E"/>
    <w:rsid w:val="001C7AD5"/>
    <w:rsid w:val="001C7B98"/>
    <w:rsid w:val="001C7BD5"/>
    <w:rsid w:val="001C7C38"/>
    <w:rsid w:val="001C7D6A"/>
    <w:rsid w:val="001C7F36"/>
    <w:rsid w:val="001D00AB"/>
    <w:rsid w:val="001D0258"/>
    <w:rsid w:val="001D073F"/>
    <w:rsid w:val="001D081E"/>
    <w:rsid w:val="001D0826"/>
    <w:rsid w:val="001D085E"/>
    <w:rsid w:val="001D089B"/>
    <w:rsid w:val="001D08B5"/>
    <w:rsid w:val="001D0970"/>
    <w:rsid w:val="001D0A44"/>
    <w:rsid w:val="001D0B84"/>
    <w:rsid w:val="001D0C06"/>
    <w:rsid w:val="001D0C0F"/>
    <w:rsid w:val="001D0CDA"/>
    <w:rsid w:val="001D0D84"/>
    <w:rsid w:val="001D0DB9"/>
    <w:rsid w:val="001D0F58"/>
    <w:rsid w:val="001D0FBE"/>
    <w:rsid w:val="001D10CF"/>
    <w:rsid w:val="001D1122"/>
    <w:rsid w:val="001D115F"/>
    <w:rsid w:val="001D11A0"/>
    <w:rsid w:val="001D14CE"/>
    <w:rsid w:val="001D158B"/>
    <w:rsid w:val="001D15A0"/>
    <w:rsid w:val="001D1601"/>
    <w:rsid w:val="001D166F"/>
    <w:rsid w:val="001D17F5"/>
    <w:rsid w:val="001D1959"/>
    <w:rsid w:val="001D1A95"/>
    <w:rsid w:val="001D1D28"/>
    <w:rsid w:val="001D1E04"/>
    <w:rsid w:val="001D1E0B"/>
    <w:rsid w:val="001D1E88"/>
    <w:rsid w:val="001D1EB9"/>
    <w:rsid w:val="001D1F7E"/>
    <w:rsid w:val="001D1F9A"/>
    <w:rsid w:val="001D20DE"/>
    <w:rsid w:val="001D21BF"/>
    <w:rsid w:val="001D2255"/>
    <w:rsid w:val="001D24E2"/>
    <w:rsid w:val="001D2632"/>
    <w:rsid w:val="001D29C6"/>
    <w:rsid w:val="001D2A18"/>
    <w:rsid w:val="001D2B22"/>
    <w:rsid w:val="001D2B61"/>
    <w:rsid w:val="001D2B99"/>
    <w:rsid w:val="001D2C03"/>
    <w:rsid w:val="001D2C41"/>
    <w:rsid w:val="001D2E28"/>
    <w:rsid w:val="001D2F57"/>
    <w:rsid w:val="001D2F6A"/>
    <w:rsid w:val="001D300D"/>
    <w:rsid w:val="001D3152"/>
    <w:rsid w:val="001D3358"/>
    <w:rsid w:val="001D3363"/>
    <w:rsid w:val="001D3364"/>
    <w:rsid w:val="001D3500"/>
    <w:rsid w:val="001D3509"/>
    <w:rsid w:val="001D35C5"/>
    <w:rsid w:val="001D364E"/>
    <w:rsid w:val="001D36F3"/>
    <w:rsid w:val="001D37E8"/>
    <w:rsid w:val="001D3817"/>
    <w:rsid w:val="001D3AC1"/>
    <w:rsid w:val="001D3B30"/>
    <w:rsid w:val="001D3B74"/>
    <w:rsid w:val="001D3D0D"/>
    <w:rsid w:val="001D3D97"/>
    <w:rsid w:val="001D4082"/>
    <w:rsid w:val="001D4447"/>
    <w:rsid w:val="001D44A7"/>
    <w:rsid w:val="001D45D8"/>
    <w:rsid w:val="001D45DA"/>
    <w:rsid w:val="001D46AD"/>
    <w:rsid w:val="001D46F3"/>
    <w:rsid w:val="001D480E"/>
    <w:rsid w:val="001D4829"/>
    <w:rsid w:val="001D48B9"/>
    <w:rsid w:val="001D49C5"/>
    <w:rsid w:val="001D4A86"/>
    <w:rsid w:val="001D4B2E"/>
    <w:rsid w:val="001D4B6D"/>
    <w:rsid w:val="001D4C3B"/>
    <w:rsid w:val="001D4CEB"/>
    <w:rsid w:val="001D4F1A"/>
    <w:rsid w:val="001D5131"/>
    <w:rsid w:val="001D51E9"/>
    <w:rsid w:val="001D524B"/>
    <w:rsid w:val="001D52C9"/>
    <w:rsid w:val="001D52ED"/>
    <w:rsid w:val="001D5559"/>
    <w:rsid w:val="001D563B"/>
    <w:rsid w:val="001D56E9"/>
    <w:rsid w:val="001D57C4"/>
    <w:rsid w:val="001D57D9"/>
    <w:rsid w:val="001D5898"/>
    <w:rsid w:val="001D596F"/>
    <w:rsid w:val="001D5BAB"/>
    <w:rsid w:val="001D5C68"/>
    <w:rsid w:val="001D5D6F"/>
    <w:rsid w:val="001D5D88"/>
    <w:rsid w:val="001D5DA7"/>
    <w:rsid w:val="001D5E02"/>
    <w:rsid w:val="001D5E55"/>
    <w:rsid w:val="001D60AA"/>
    <w:rsid w:val="001D62CF"/>
    <w:rsid w:val="001D62DB"/>
    <w:rsid w:val="001D6442"/>
    <w:rsid w:val="001D644B"/>
    <w:rsid w:val="001D64AE"/>
    <w:rsid w:val="001D657F"/>
    <w:rsid w:val="001D6616"/>
    <w:rsid w:val="001D67F7"/>
    <w:rsid w:val="001D6C49"/>
    <w:rsid w:val="001D6C4B"/>
    <w:rsid w:val="001D6C5E"/>
    <w:rsid w:val="001D6E76"/>
    <w:rsid w:val="001D6EF6"/>
    <w:rsid w:val="001D71CF"/>
    <w:rsid w:val="001D71E7"/>
    <w:rsid w:val="001D725F"/>
    <w:rsid w:val="001D729B"/>
    <w:rsid w:val="001D72B4"/>
    <w:rsid w:val="001D72E0"/>
    <w:rsid w:val="001D741D"/>
    <w:rsid w:val="001D74BF"/>
    <w:rsid w:val="001D757A"/>
    <w:rsid w:val="001D7587"/>
    <w:rsid w:val="001D758B"/>
    <w:rsid w:val="001D784A"/>
    <w:rsid w:val="001D78B0"/>
    <w:rsid w:val="001D7A4F"/>
    <w:rsid w:val="001D7BC4"/>
    <w:rsid w:val="001E0024"/>
    <w:rsid w:val="001E02C2"/>
    <w:rsid w:val="001E034B"/>
    <w:rsid w:val="001E0467"/>
    <w:rsid w:val="001E0492"/>
    <w:rsid w:val="001E04A2"/>
    <w:rsid w:val="001E0591"/>
    <w:rsid w:val="001E064A"/>
    <w:rsid w:val="001E068C"/>
    <w:rsid w:val="001E086A"/>
    <w:rsid w:val="001E099E"/>
    <w:rsid w:val="001E09DD"/>
    <w:rsid w:val="001E0A6E"/>
    <w:rsid w:val="001E0AAD"/>
    <w:rsid w:val="001E0D3A"/>
    <w:rsid w:val="001E1048"/>
    <w:rsid w:val="001E11ED"/>
    <w:rsid w:val="001E1454"/>
    <w:rsid w:val="001E14E0"/>
    <w:rsid w:val="001E153C"/>
    <w:rsid w:val="001E1593"/>
    <w:rsid w:val="001E1866"/>
    <w:rsid w:val="001E1871"/>
    <w:rsid w:val="001E1A2D"/>
    <w:rsid w:val="001E1B28"/>
    <w:rsid w:val="001E1BA1"/>
    <w:rsid w:val="001E1C34"/>
    <w:rsid w:val="001E1E1E"/>
    <w:rsid w:val="001E1E90"/>
    <w:rsid w:val="001E20BD"/>
    <w:rsid w:val="001E2352"/>
    <w:rsid w:val="001E239C"/>
    <w:rsid w:val="001E23DA"/>
    <w:rsid w:val="001E251C"/>
    <w:rsid w:val="001E2736"/>
    <w:rsid w:val="001E2747"/>
    <w:rsid w:val="001E28AA"/>
    <w:rsid w:val="001E28C0"/>
    <w:rsid w:val="001E2963"/>
    <w:rsid w:val="001E2CD1"/>
    <w:rsid w:val="001E2E4D"/>
    <w:rsid w:val="001E2E55"/>
    <w:rsid w:val="001E2E73"/>
    <w:rsid w:val="001E2F6F"/>
    <w:rsid w:val="001E3167"/>
    <w:rsid w:val="001E31AE"/>
    <w:rsid w:val="001E31B0"/>
    <w:rsid w:val="001E3554"/>
    <w:rsid w:val="001E364D"/>
    <w:rsid w:val="001E36DA"/>
    <w:rsid w:val="001E375D"/>
    <w:rsid w:val="001E3902"/>
    <w:rsid w:val="001E399F"/>
    <w:rsid w:val="001E39A1"/>
    <w:rsid w:val="001E3A54"/>
    <w:rsid w:val="001E3B1F"/>
    <w:rsid w:val="001E3BC1"/>
    <w:rsid w:val="001E3C9A"/>
    <w:rsid w:val="001E3CB4"/>
    <w:rsid w:val="001E3E26"/>
    <w:rsid w:val="001E3F30"/>
    <w:rsid w:val="001E4070"/>
    <w:rsid w:val="001E44CB"/>
    <w:rsid w:val="001E45DB"/>
    <w:rsid w:val="001E4620"/>
    <w:rsid w:val="001E46B1"/>
    <w:rsid w:val="001E46F4"/>
    <w:rsid w:val="001E47DB"/>
    <w:rsid w:val="001E4840"/>
    <w:rsid w:val="001E48B2"/>
    <w:rsid w:val="001E4970"/>
    <w:rsid w:val="001E4ACC"/>
    <w:rsid w:val="001E4CC7"/>
    <w:rsid w:val="001E4DE4"/>
    <w:rsid w:val="001E51B6"/>
    <w:rsid w:val="001E5247"/>
    <w:rsid w:val="001E52C7"/>
    <w:rsid w:val="001E538D"/>
    <w:rsid w:val="001E5581"/>
    <w:rsid w:val="001E55B8"/>
    <w:rsid w:val="001E55CB"/>
    <w:rsid w:val="001E5685"/>
    <w:rsid w:val="001E56BE"/>
    <w:rsid w:val="001E5BAB"/>
    <w:rsid w:val="001E5BD4"/>
    <w:rsid w:val="001E5CF8"/>
    <w:rsid w:val="001E5D12"/>
    <w:rsid w:val="001E5DEC"/>
    <w:rsid w:val="001E5EBC"/>
    <w:rsid w:val="001E5F62"/>
    <w:rsid w:val="001E5F72"/>
    <w:rsid w:val="001E6191"/>
    <w:rsid w:val="001E61BD"/>
    <w:rsid w:val="001E6253"/>
    <w:rsid w:val="001E6297"/>
    <w:rsid w:val="001E62C7"/>
    <w:rsid w:val="001E641F"/>
    <w:rsid w:val="001E64A4"/>
    <w:rsid w:val="001E64CF"/>
    <w:rsid w:val="001E6555"/>
    <w:rsid w:val="001E6645"/>
    <w:rsid w:val="001E66D8"/>
    <w:rsid w:val="001E6713"/>
    <w:rsid w:val="001E6758"/>
    <w:rsid w:val="001E680E"/>
    <w:rsid w:val="001E6896"/>
    <w:rsid w:val="001E693A"/>
    <w:rsid w:val="001E6B7E"/>
    <w:rsid w:val="001E6B7F"/>
    <w:rsid w:val="001E6C78"/>
    <w:rsid w:val="001E6D97"/>
    <w:rsid w:val="001E6E2C"/>
    <w:rsid w:val="001E6F2E"/>
    <w:rsid w:val="001E7213"/>
    <w:rsid w:val="001E725B"/>
    <w:rsid w:val="001E74FB"/>
    <w:rsid w:val="001E7542"/>
    <w:rsid w:val="001E78DC"/>
    <w:rsid w:val="001E797E"/>
    <w:rsid w:val="001E7B2B"/>
    <w:rsid w:val="001E7DA8"/>
    <w:rsid w:val="001E7E3C"/>
    <w:rsid w:val="001E7E64"/>
    <w:rsid w:val="001E7E85"/>
    <w:rsid w:val="001F0128"/>
    <w:rsid w:val="001F0187"/>
    <w:rsid w:val="001F037F"/>
    <w:rsid w:val="001F04B8"/>
    <w:rsid w:val="001F057A"/>
    <w:rsid w:val="001F0610"/>
    <w:rsid w:val="001F0639"/>
    <w:rsid w:val="001F065F"/>
    <w:rsid w:val="001F08CD"/>
    <w:rsid w:val="001F098D"/>
    <w:rsid w:val="001F0A1C"/>
    <w:rsid w:val="001F0C17"/>
    <w:rsid w:val="001F0E9F"/>
    <w:rsid w:val="001F0F46"/>
    <w:rsid w:val="001F0FC0"/>
    <w:rsid w:val="001F1055"/>
    <w:rsid w:val="001F105C"/>
    <w:rsid w:val="001F116F"/>
    <w:rsid w:val="001F1365"/>
    <w:rsid w:val="001F13D4"/>
    <w:rsid w:val="001F140A"/>
    <w:rsid w:val="001F14F0"/>
    <w:rsid w:val="001F1599"/>
    <w:rsid w:val="001F1875"/>
    <w:rsid w:val="001F18DE"/>
    <w:rsid w:val="001F1BAC"/>
    <w:rsid w:val="001F1CF8"/>
    <w:rsid w:val="001F1D69"/>
    <w:rsid w:val="001F1EDF"/>
    <w:rsid w:val="001F1EF0"/>
    <w:rsid w:val="001F1F72"/>
    <w:rsid w:val="001F1FEA"/>
    <w:rsid w:val="001F2002"/>
    <w:rsid w:val="001F211F"/>
    <w:rsid w:val="001F22E4"/>
    <w:rsid w:val="001F2493"/>
    <w:rsid w:val="001F2581"/>
    <w:rsid w:val="001F273F"/>
    <w:rsid w:val="001F29C0"/>
    <w:rsid w:val="001F2A26"/>
    <w:rsid w:val="001F2D18"/>
    <w:rsid w:val="001F2D65"/>
    <w:rsid w:val="001F2E08"/>
    <w:rsid w:val="001F2EC4"/>
    <w:rsid w:val="001F2F3E"/>
    <w:rsid w:val="001F2FA9"/>
    <w:rsid w:val="001F3017"/>
    <w:rsid w:val="001F301E"/>
    <w:rsid w:val="001F30D1"/>
    <w:rsid w:val="001F3104"/>
    <w:rsid w:val="001F31B1"/>
    <w:rsid w:val="001F3216"/>
    <w:rsid w:val="001F321A"/>
    <w:rsid w:val="001F3234"/>
    <w:rsid w:val="001F3297"/>
    <w:rsid w:val="001F32BD"/>
    <w:rsid w:val="001F33D5"/>
    <w:rsid w:val="001F3416"/>
    <w:rsid w:val="001F34B1"/>
    <w:rsid w:val="001F355C"/>
    <w:rsid w:val="001F3638"/>
    <w:rsid w:val="001F36D8"/>
    <w:rsid w:val="001F3703"/>
    <w:rsid w:val="001F3CC4"/>
    <w:rsid w:val="001F3EB5"/>
    <w:rsid w:val="001F4050"/>
    <w:rsid w:val="001F4187"/>
    <w:rsid w:val="001F482A"/>
    <w:rsid w:val="001F4916"/>
    <w:rsid w:val="001F4985"/>
    <w:rsid w:val="001F49D0"/>
    <w:rsid w:val="001F4A7A"/>
    <w:rsid w:val="001F4ADD"/>
    <w:rsid w:val="001F4B2A"/>
    <w:rsid w:val="001F4C2B"/>
    <w:rsid w:val="001F4C88"/>
    <w:rsid w:val="001F4D84"/>
    <w:rsid w:val="001F4D98"/>
    <w:rsid w:val="001F50A8"/>
    <w:rsid w:val="001F5248"/>
    <w:rsid w:val="001F5283"/>
    <w:rsid w:val="001F5571"/>
    <w:rsid w:val="001F5763"/>
    <w:rsid w:val="001F5835"/>
    <w:rsid w:val="001F5839"/>
    <w:rsid w:val="001F5A97"/>
    <w:rsid w:val="001F5A9C"/>
    <w:rsid w:val="001F5AA5"/>
    <w:rsid w:val="001F5BAD"/>
    <w:rsid w:val="001F5CBF"/>
    <w:rsid w:val="001F5CC9"/>
    <w:rsid w:val="001F5CCF"/>
    <w:rsid w:val="001F5DF2"/>
    <w:rsid w:val="001F5E28"/>
    <w:rsid w:val="001F5E2A"/>
    <w:rsid w:val="001F5E3C"/>
    <w:rsid w:val="001F5E4F"/>
    <w:rsid w:val="001F5E75"/>
    <w:rsid w:val="001F5FE5"/>
    <w:rsid w:val="001F5FE8"/>
    <w:rsid w:val="001F6038"/>
    <w:rsid w:val="001F60F8"/>
    <w:rsid w:val="001F6101"/>
    <w:rsid w:val="001F642F"/>
    <w:rsid w:val="001F6496"/>
    <w:rsid w:val="001F6500"/>
    <w:rsid w:val="001F6525"/>
    <w:rsid w:val="001F66CF"/>
    <w:rsid w:val="001F66D9"/>
    <w:rsid w:val="001F6710"/>
    <w:rsid w:val="001F67D9"/>
    <w:rsid w:val="001F6804"/>
    <w:rsid w:val="001F69C0"/>
    <w:rsid w:val="001F6AC7"/>
    <w:rsid w:val="001F6BBD"/>
    <w:rsid w:val="001F6BF0"/>
    <w:rsid w:val="001F6E60"/>
    <w:rsid w:val="001F6F1B"/>
    <w:rsid w:val="001F6F4A"/>
    <w:rsid w:val="001F72D8"/>
    <w:rsid w:val="001F7323"/>
    <w:rsid w:val="001F734A"/>
    <w:rsid w:val="001F74F6"/>
    <w:rsid w:val="001F765C"/>
    <w:rsid w:val="001F78F3"/>
    <w:rsid w:val="001F7ADF"/>
    <w:rsid w:val="001F7AE7"/>
    <w:rsid w:val="001F7C03"/>
    <w:rsid w:val="001F7C3A"/>
    <w:rsid w:val="002001BE"/>
    <w:rsid w:val="002002C1"/>
    <w:rsid w:val="002002F7"/>
    <w:rsid w:val="00200418"/>
    <w:rsid w:val="00200582"/>
    <w:rsid w:val="002005B3"/>
    <w:rsid w:val="002005EE"/>
    <w:rsid w:val="002006B0"/>
    <w:rsid w:val="002007D3"/>
    <w:rsid w:val="00200820"/>
    <w:rsid w:val="00200B32"/>
    <w:rsid w:val="00200B70"/>
    <w:rsid w:val="00200C2A"/>
    <w:rsid w:val="00200D9F"/>
    <w:rsid w:val="00200E38"/>
    <w:rsid w:val="00200F19"/>
    <w:rsid w:val="00200F74"/>
    <w:rsid w:val="00200FB1"/>
    <w:rsid w:val="00200FDC"/>
    <w:rsid w:val="002010D8"/>
    <w:rsid w:val="00201287"/>
    <w:rsid w:val="0020135A"/>
    <w:rsid w:val="0020159E"/>
    <w:rsid w:val="00201633"/>
    <w:rsid w:val="00201669"/>
    <w:rsid w:val="0020169A"/>
    <w:rsid w:val="00201902"/>
    <w:rsid w:val="00201B97"/>
    <w:rsid w:val="00201BD6"/>
    <w:rsid w:val="00201E5B"/>
    <w:rsid w:val="00202122"/>
    <w:rsid w:val="002024FD"/>
    <w:rsid w:val="0020253E"/>
    <w:rsid w:val="00202542"/>
    <w:rsid w:val="00202571"/>
    <w:rsid w:val="002025B4"/>
    <w:rsid w:val="002026D3"/>
    <w:rsid w:val="00202726"/>
    <w:rsid w:val="002028D2"/>
    <w:rsid w:val="002029CF"/>
    <w:rsid w:val="00202CE3"/>
    <w:rsid w:val="00202E21"/>
    <w:rsid w:val="00203149"/>
    <w:rsid w:val="002032D0"/>
    <w:rsid w:val="00203594"/>
    <w:rsid w:val="002035A8"/>
    <w:rsid w:val="002039BC"/>
    <w:rsid w:val="002039F6"/>
    <w:rsid w:val="00203A71"/>
    <w:rsid w:val="00203B61"/>
    <w:rsid w:val="00203B8E"/>
    <w:rsid w:val="00203C6A"/>
    <w:rsid w:val="00203CC7"/>
    <w:rsid w:val="00203D1E"/>
    <w:rsid w:val="0020400D"/>
    <w:rsid w:val="002040AA"/>
    <w:rsid w:val="0020425E"/>
    <w:rsid w:val="002043D7"/>
    <w:rsid w:val="00204679"/>
    <w:rsid w:val="002046FF"/>
    <w:rsid w:val="002048E2"/>
    <w:rsid w:val="00204A15"/>
    <w:rsid w:val="00204AB8"/>
    <w:rsid w:val="00204B58"/>
    <w:rsid w:val="00204C22"/>
    <w:rsid w:val="00205033"/>
    <w:rsid w:val="0020513D"/>
    <w:rsid w:val="00205145"/>
    <w:rsid w:val="0020534D"/>
    <w:rsid w:val="0020544C"/>
    <w:rsid w:val="002055A1"/>
    <w:rsid w:val="002057EE"/>
    <w:rsid w:val="002058BF"/>
    <w:rsid w:val="0020597E"/>
    <w:rsid w:val="00205A07"/>
    <w:rsid w:val="00205CFE"/>
    <w:rsid w:val="00205D52"/>
    <w:rsid w:val="00205DAB"/>
    <w:rsid w:val="00205DD6"/>
    <w:rsid w:val="00206111"/>
    <w:rsid w:val="00206160"/>
    <w:rsid w:val="00206469"/>
    <w:rsid w:val="002064E6"/>
    <w:rsid w:val="00206511"/>
    <w:rsid w:val="00206521"/>
    <w:rsid w:val="00206557"/>
    <w:rsid w:val="0020658D"/>
    <w:rsid w:val="002065D2"/>
    <w:rsid w:val="00206774"/>
    <w:rsid w:val="00206777"/>
    <w:rsid w:val="002067F1"/>
    <w:rsid w:val="00206814"/>
    <w:rsid w:val="002069CA"/>
    <w:rsid w:val="00206B48"/>
    <w:rsid w:val="00206BB4"/>
    <w:rsid w:val="00206DB9"/>
    <w:rsid w:val="00206DC5"/>
    <w:rsid w:val="00206E81"/>
    <w:rsid w:val="00206E9E"/>
    <w:rsid w:val="00207242"/>
    <w:rsid w:val="002072EF"/>
    <w:rsid w:val="00207323"/>
    <w:rsid w:val="00207371"/>
    <w:rsid w:val="002073F8"/>
    <w:rsid w:val="002076FF"/>
    <w:rsid w:val="00207732"/>
    <w:rsid w:val="00207830"/>
    <w:rsid w:val="00207871"/>
    <w:rsid w:val="0020792F"/>
    <w:rsid w:val="00207975"/>
    <w:rsid w:val="00207A56"/>
    <w:rsid w:val="00207B40"/>
    <w:rsid w:val="00207B69"/>
    <w:rsid w:val="00207B7B"/>
    <w:rsid w:val="00207CF8"/>
    <w:rsid w:val="00207EE5"/>
    <w:rsid w:val="00207EEF"/>
    <w:rsid w:val="00207F7B"/>
    <w:rsid w:val="00207FDB"/>
    <w:rsid w:val="00210016"/>
    <w:rsid w:val="002102BE"/>
    <w:rsid w:val="002105AE"/>
    <w:rsid w:val="002105B6"/>
    <w:rsid w:val="0021065E"/>
    <w:rsid w:val="00210667"/>
    <w:rsid w:val="002106C0"/>
    <w:rsid w:val="00210820"/>
    <w:rsid w:val="00210935"/>
    <w:rsid w:val="002109CE"/>
    <w:rsid w:val="00210B37"/>
    <w:rsid w:val="00210BB8"/>
    <w:rsid w:val="00210CAF"/>
    <w:rsid w:val="00210F35"/>
    <w:rsid w:val="00210F65"/>
    <w:rsid w:val="00210FAC"/>
    <w:rsid w:val="00211003"/>
    <w:rsid w:val="002110CE"/>
    <w:rsid w:val="00211270"/>
    <w:rsid w:val="00211402"/>
    <w:rsid w:val="00211411"/>
    <w:rsid w:val="002114C6"/>
    <w:rsid w:val="0021155D"/>
    <w:rsid w:val="002116C6"/>
    <w:rsid w:val="002118E4"/>
    <w:rsid w:val="00211987"/>
    <w:rsid w:val="002119DE"/>
    <w:rsid w:val="00211E39"/>
    <w:rsid w:val="00211EF7"/>
    <w:rsid w:val="00212093"/>
    <w:rsid w:val="00212210"/>
    <w:rsid w:val="002123C8"/>
    <w:rsid w:val="0021242C"/>
    <w:rsid w:val="0021259F"/>
    <w:rsid w:val="0021260A"/>
    <w:rsid w:val="002126A5"/>
    <w:rsid w:val="00212728"/>
    <w:rsid w:val="0021274B"/>
    <w:rsid w:val="0021279F"/>
    <w:rsid w:val="002128D9"/>
    <w:rsid w:val="00212A60"/>
    <w:rsid w:val="00212A91"/>
    <w:rsid w:val="00212A96"/>
    <w:rsid w:val="00212B49"/>
    <w:rsid w:val="00212DBB"/>
    <w:rsid w:val="00212E6C"/>
    <w:rsid w:val="00212F5B"/>
    <w:rsid w:val="002130FF"/>
    <w:rsid w:val="00213133"/>
    <w:rsid w:val="00213297"/>
    <w:rsid w:val="00213309"/>
    <w:rsid w:val="00213380"/>
    <w:rsid w:val="002134D7"/>
    <w:rsid w:val="0021362D"/>
    <w:rsid w:val="00213631"/>
    <w:rsid w:val="0021375D"/>
    <w:rsid w:val="002137FE"/>
    <w:rsid w:val="0021387F"/>
    <w:rsid w:val="002139D8"/>
    <w:rsid w:val="00213A6C"/>
    <w:rsid w:val="00213A7E"/>
    <w:rsid w:val="00213B2A"/>
    <w:rsid w:val="00213C70"/>
    <w:rsid w:val="00213C8E"/>
    <w:rsid w:val="00213E54"/>
    <w:rsid w:val="00213E7B"/>
    <w:rsid w:val="00213E99"/>
    <w:rsid w:val="00213FBB"/>
    <w:rsid w:val="0021415C"/>
    <w:rsid w:val="0021420C"/>
    <w:rsid w:val="002144D6"/>
    <w:rsid w:val="002145D6"/>
    <w:rsid w:val="002145E9"/>
    <w:rsid w:val="00214732"/>
    <w:rsid w:val="00214759"/>
    <w:rsid w:val="002148AA"/>
    <w:rsid w:val="00214A02"/>
    <w:rsid w:val="00214AFE"/>
    <w:rsid w:val="00214E72"/>
    <w:rsid w:val="00214FD2"/>
    <w:rsid w:val="002150A8"/>
    <w:rsid w:val="002150D3"/>
    <w:rsid w:val="00215135"/>
    <w:rsid w:val="00215370"/>
    <w:rsid w:val="0021548A"/>
    <w:rsid w:val="0021556F"/>
    <w:rsid w:val="002155F4"/>
    <w:rsid w:val="00215B00"/>
    <w:rsid w:val="00215B24"/>
    <w:rsid w:val="00215B48"/>
    <w:rsid w:val="00215BCD"/>
    <w:rsid w:val="00215BCF"/>
    <w:rsid w:val="00215D15"/>
    <w:rsid w:val="00215F04"/>
    <w:rsid w:val="00215F1E"/>
    <w:rsid w:val="00215FA0"/>
    <w:rsid w:val="0021600D"/>
    <w:rsid w:val="0021607E"/>
    <w:rsid w:val="00216262"/>
    <w:rsid w:val="002162D0"/>
    <w:rsid w:val="002162E8"/>
    <w:rsid w:val="0021635E"/>
    <w:rsid w:val="0021666B"/>
    <w:rsid w:val="00216674"/>
    <w:rsid w:val="002166AD"/>
    <w:rsid w:val="00216746"/>
    <w:rsid w:val="002167B4"/>
    <w:rsid w:val="0021680A"/>
    <w:rsid w:val="0021685A"/>
    <w:rsid w:val="00216A56"/>
    <w:rsid w:val="00216BB8"/>
    <w:rsid w:val="00216C63"/>
    <w:rsid w:val="00216D09"/>
    <w:rsid w:val="00216EF1"/>
    <w:rsid w:val="00216F86"/>
    <w:rsid w:val="002170DA"/>
    <w:rsid w:val="00217102"/>
    <w:rsid w:val="002175BA"/>
    <w:rsid w:val="0021768B"/>
    <w:rsid w:val="0021776C"/>
    <w:rsid w:val="0021785D"/>
    <w:rsid w:val="002178B3"/>
    <w:rsid w:val="00217C3E"/>
    <w:rsid w:val="00217E61"/>
    <w:rsid w:val="00217EA7"/>
    <w:rsid w:val="00220196"/>
    <w:rsid w:val="00220465"/>
    <w:rsid w:val="002204E3"/>
    <w:rsid w:val="002205D8"/>
    <w:rsid w:val="00220638"/>
    <w:rsid w:val="00220772"/>
    <w:rsid w:val="0022078D"/>
    <w:rsid w:val="00220894"/>
    <w:rsid w:val="0022098E"/>
    <w:rsid w:val="00220A31"/>
    <w:rsid w:val="00220A5F"/>
    <w:rsid w:val="00220AE8"/>
    <w:rsid w:val="00220B28"/>
    <w:rsid w:val="00220C18"/>
    <w:rsid w:val="00220C40"/>
    <w:rsid w:val="00220CA4"/>
    <w:rsid w:val="00220CBD"/>
    <w:rsid w:val="00220D2B"/>
    <w:rsid w:val="0022101F"/>
    <w:rsid w:val="0022106F"/>
    <w:rsid w:val="002210B6"/>
    <w:rsid w:val="00221224"/>
    <w:rsid w:val="002212D3"/>
    <w:rsid w:val="00221403"/>
    <w:rsid w:val="00221535"/>
    <w:rsid w:val="0022169B"/>
    <w:rsid w:val="002217D8"/>
    <w:rsid w:val="00221BB6"/>
    <w:rsid w:val="00221C3B"/>
    <w:rsid w:val="00221D7F"/>
    <w:rsid w:val="00221FD4"/>
    <w:rsid w:val="00221FFA"/>
    <w:rsid w:val="00222205"/>
    <w:rsid w:val="00222249"/>
    <w:rsid w:val="0022227A"/>
    <w:rsid w:val="002223FF"/>
    <w:rsid w:val="00222499"/>
    <w:rsid w:val="00222678"/>
    <w:rsid w:val="00222689"/>
    <w:rsid w:val="00222843"/>
    <w:rsid w:val="00222B80"/>
    <w:rsid w:val="00222D6C"/>
    <w:rsid w:val="00222DCC"/>
    <w:rsid w:val="00222DCD"/>
    <w:rsid w:val="00223049"/>
    <w:rsid w:val="00223282"/>
    <w:rsid w:val="0022345A"/>
    <w:rsid w:val="00223492"/>
    <w:rsid w:val="002234F0"/>
    <w:rsid w:val="0022357F"/>
    <w:rsid w:val="002235B9"/>
    <w:rsid w:val="00223632"/>
    <w:rsid w:val="0022364B"/>
    <w:rsid w:val="0022364E"/>
    <w:rsid w:val="0022369E"/>
    <w:rsid w:val="0022376E"/>
    <w:rsid w:val="0022381F"/>
    <w:rsid w:val="00223981"/>
    <w:rsid w:val="00223BBB"/>
    <w:rsid w:val="00223BCF"/>
    <w:rsid w:val="00223C6E"/>
    <w:rsid w:val="00223D10"/>
    <w:rsid w:val="00224281"/>
    <w:rsid w:val="00224563"/>
    <w:rsid w:val="00224689"/>
    <w:rsid w:val="00224B7F"/>
    <w:rsid w:val="00224C2D"/>
    <w:rsid w:val="00224F93"/>
    <w:rsid w:val="0022502E"/>
    <w:rsid w:val="00225100"/>
    <w:rsid w:val="00225330"/>
    <w:rsid w:val="00225368"/>
    <w:rsid w:val="0022540C"/>
    <w:rsid w:val="0022564B"/>
    <w:rsid w:val="00225709"/>
    <w:rsid w:val="00225814"/>
    <w:rsid w:val="00225922"/>
    <w:rsid w:val="00225BB1"/>
    <w:rsid w:val="00225C20"/>
    <w:rsid w:val="00225CB7"/>
    <w:rsid w:val="00225CE7"/>
    <w:rsid w:val="00225F59"/>
    <w:rsid w:val="00225FD2"/>
    <w:rsid w:val="00226078"/>
    <w:rsid w:val="00226196"/>
    <w:rsid w:val="0022620A"/>
    <w:rsid w:val="00226557"/>
    <w:rsid w:val="00226584"/>
    <w:rsid w:val="0022673C"/>
    <w:rsid w:val="0022679B"/>
    <w:rsid w:val="0022682B"/>
    <w:rsid w:val="002269CF"/>
    <w:rsid w:val="00226C3C"/>
    <w:rsid w:val="00226CCF"/>
    <w:rsid w:val="00226E15"/>
    <w:rsid w:val="00226E6E"/>
    <w:rsid w:val="00227074"/>
    <w:rsid w:val="002270C4"/>
    <w:rsid w:val="00227110"/>
    <w:rsid w:val="00227178"/>
    <w:rsid w:val="002272FC"/>
    <w:rsid w:val="002274FF"/>
    <w:rsid w:val="00227726"/>
    <w:rsid w:val="00227A54"/>
    <w:rsid w:val="00227B72"/>
    <w:rsid w:val="00227C18"/>
    <w:rsid w:val="00227D15"/>
    <w:rsid w:val="00227E3D"/>
    <w:rsid w:val="00227EDE"/>
    <w:rsid w:val="00230165"/>
    <w:rsid w:val="0023022A"/>
    <w:rsid w:val="00230360"/>
    <w:rsid w:val="00230387"/>
    <w:rsid w:val="002303EA"/>
    <w:rsid w:val="00230442"/>
    <w:rsid w:val="002304A3"/>
    <w:rsid w:val="002304C3"/>
    <w:rsid w:val="002304CA"/>
    <w:rsid w:val="002305A7"/>
    <w:rsid w:val="00230656"/>
    <w:rsid w:val="002307ED"/>
    <w:rsid w:val="002308E6"/>
    <w:rsid w:val="002308F5"/>
    <w:rsid w:val="0023093E"/>
    <w:rsid w:val="00230AC2"/>
    <w:rsid w:val="00230C3B"/>
    <w:rsid w:val="00230DE9"/>
    <w:rsid w:val="00230EDB"/>
    <w:rsid w:val="00230FFA"/>
    <w:rsid w:val="00231154"/>
    <w:rsid w:val="002311BE"/>
    <w:rsid w:val="002313A0"/>
    <w:rsid w:val="002313AE"/>
    <w:rsid w:val="002314A0"/>
    <w:rsid w:val="002314E6"/>
    <w:rsid w:val="002315A0"/>
    <w:rsid w:val="002315E0"/>
    <w:rsid w:val="0023185D"/>
    <w:rsid w:val="00231AC9"/>
    <w:rsid w:val="00231AEE"/>
    <w:rsid w:val="00231CDC"/>
    <w:rsid w:val="00231CE0"/>
    <w:rsid w:val="00231E56"/>
    <w:rsid w:val="00231EAB"/>
    <w:rsid w:val="00231EDD"/>
    <w:rsid w:val="00231FA0"/>
    <w:rsid w:val="0023213B"/>
    <w:rsid w:val="00232181"/>
    <w:rsid w:val="00232185"/>
    <w:rsid w:val="002321B6"/>
    <w:rsid w:val="0023245A"/>
    <w:rsid w:val="0023247C"/>
    <w:rsid w:val="00232669"/>
    <w:rsid w:val="002326B0"/>
    <w:rsid w:val="002327D6"/>
    <w:rsid w:val="0023298B"/>
    <w:rsid w:val="00232B56"/>
    <w:rsid w:val="00232BCD"/>
    <w:rsid w:val="00232F1A"/>
    <w:rsid w:val="00233146"/>
    <w:rsid w:val="00233251"/>
    <w:rsid w:val="002332B9"/>
    <w:rsid w:val="002335BB"/>
    <w:rsid w:val="00233606"/>
    <w:rsid w:val="002336B2"/>
    <w:rsid w:val="00233A32"/>
    <w:rsid w:val="00233A9F"/>
    <w:rsid w:val="00233AC7"/>
    <w:rsid w:val="00233C4C"/>
    <w:rsid w:val="00233D52"/>
    <w:rsid w:val="00233DC7"/>
    <w:rsid w:val="00233EA9"/>
    <w:rsid w:val="00233F31"/>
    <w:rsid w:val="00233F81"/>
    <w:rsid w:val="0023435D"/>
    <w:rsid w:val="00234436"/>
    <w:rsid w:val="002344BA"/>
    <w:rsid w:val="00234745"/>
    <w:rsid w:val="002347C8"/>
    <w:rsid w:val="002347E1"/>
    <w:rsid w:val="00234922"/>
    <w:rsid w:val="002349D4"/>
    <w:rsid w:val="00234B4F"/>
    <w:rsid w:val="00234BD2"/>
    <w:rsid w:val="00234DB0"/>
    <w:rsid w:val="0023507D"/>
    <w:rsid w:val="00235294"/>
    <w:rsid w:val="00235344"/>
    <w:rsid w:val="00235367"/>
    <w:rsid w:val="00235500"/>
    <w:rsid w:val="0023555C"/>
    <w:rsid w:val="002356E5"/>
    <w:rsid w:val="00235754"/>
    <w:rsid w:val="00235755"/>
    <w:rsid w:val="00235B6D"/>
    <w:rsid w:val="00235B73"/>
    <w:rsid w:val="00235BD4"/>
    <w:rsid w:val="00235C07"/>
    <w:rsid w:val="00235CC4"/>
    <w:rsid w:val="00235D55"/>
    <w:rsid w:val="00235DCE"/>
    <w:rsid w:val="00235E24"/>
    <w:rsid w:val="00235E95"/>
    <w:rsid w:val="00235EC9"/>
    <w:rsid w:val="00235F05"/>
    <w:rsid w:val="00235F82"/>
    <w:rsid w:val="0023623F"/>
    <w:rsid w:val="002364C4"/>
    <w:rsid w:val="002364E7"/>
    <w:rsid w:val="00236515"/>
    <w:rsid w:val="002365A4"/>
    <w:rsid w:val="002366AD"/>
    <w:rsid w:val="00236762"/>
    <w:rsid w:val="002367C9"/>
    <w:rsid w:val="002367E1"/>
    <w:rsid w:val="002367FE"/>
    <w:rsid w:val="00236802"/>
    <w:rsid w:val="00236831"/>
    <w:rsid w:val="00236839"/>
    <w:rsid w:val="0023686B"/>
    <w:rsid w:val="002368AE"/>
    <w:rsid w:val="002368C8"/>
    <w:rsid w:val="00236ACA"/>
    <w:rsid w:val="00236E8A"/>
    <w:rsid w:val="00237183"/>
    <w:rsid w:val="00237190"/>
    <w:rsid w:val="002371C4"/>
    <w:rsid w:val="0023727D"/>
    <w:rsid w:val="00237397"/>
    <w:rsid w:val="00237425"/>
    <w:rsid w:val="002374D1"/>
    <w:rsid w:val="00237602"/>
    <w:rsid w:val="0023764E"/>
    <w:rsid w:val="002376AB"/>
    <w:rsid w:val="00237783"/>
    <w:rsid w:val="002378C6"/>
    <w:rsid w:val="00237920"/>
    <w:rsid w:val="00237A13"/>
    <w:rsid w:val="00237A6E"/>
    <w:rsid w:val="00237ACE"/>
    <w:rsid w:val="00237BDE"/>
    <w:rsid w:val="00237E7D"/>
    <w:rsid w:val="00237F86"/>
    <w:rsid w:val="002400C4"/>
    <w:rsid w:val="002405CF"/>
    <w:rsid w:val="002407A3"/>
    <w:rsid w:val="00240A40"/>
    <w:rsid w:val="00240B0D"/>
    <w:rsid w:val="00240B13"/>
    <w:rsid w:val="00240B22"/>
    <w:rsid w:val="00240DB1"/>
    <w:rsid w:val="00240DB9"/>
    <w:rsid w:val="00240DEA"/>
    <w:rsid w:val="00240E4E"/>
    <w:rsid w:val="00240EB2"/>
    <w:rsid w:val="00240FC7"/>
    <w:rsid w:val="00240FDB"/>
    <w:rsid w:val="00240FEE"/>
    <w:rsid w:val="002410D2"/>
    <w:rsid w:val="00241365"/>
    <w:rsid w:val="002413E6"/>
    <w:rsid w:val="00241422"/>
    <w:rsid w:val="00241446"/>
    <w:rsid w:val="002416A9"/>
    <w:rsid w:val="00241825"/>
    <w:rsid w:val="00241967"/>
    <w:rsid w:val="0024199F"/>
    <w:rsid w:val="00241C0C"/>
    <w:rsid w:val="00241C0E"/>
    <w:rsid w:val="00241CD0"/>
    <w:rsid w:val="00241DCA"/>
    <w:rsid w:val="00241E55"/>
    <w:rsid w:val="00241E88"/>
    <w:rsid w:val="00241F29"/>
    <w:rsid w:val="002420D1"/>
    <w:rsid w:val="00242150"/>
    <w:rsid w:val="002421F0"/>
    <w:rsid w:val="00242224"/>
    <w:rsid w:val="0024222B"/>
    <w:rsid w:val="002422A7"/>
    <w:rsid w:val="002424FF"/>
    <w:rsid w:val="00242667"/>
    <w:rsid w:val="002426C4"/>
    <w:rsid w:val="00242781"/>
    <w:rsid w:val="002428AB"/>
    <w:rsid w:val="002429A9"/>
    <w:rsid w:val="00242A00"/>
    <w:rsid w:val="00242BDF"/>
    <w:rsid w:val="00242C45"/>
    <w:rsid w:val="00242D5E"/>
    <w:rsid w:val="00242D84"/>
    <w:rsid w:val="00243162"/>
    <w:rsid w:val="002431AF"/>
    <w:rsid w:val="00243312"/>
    <w:rsid w:val="00243369"/>
    <w:rsid w:val="00243483"/>
    <w:rsid w:val="00243553"/>
    <w:rsid w:val="002437A7"/>
    <w:rsid w:val="002437CB"/>
    <w:rsid w:val="0024394E"/>
    <w:rsid w:val="002439A6"/>
    <w:rsid w:val="00243A87"/>
    <w:rsid w:val="00243A89"/>
    <w:rsid w:val="00243B39"/>
    <w:rsid w:val="00243CC1"/>
    <w:rsid w:val="00243D8B"/>
    <w:rsid w:val="00243E8A"/>
    <w:rsid w:val="002440AC"/>
    <w:rsid w:val="00244111"/>
    <w:rsid w:val="00244135"/>
    <w:rsid w:val="00244148"/>
    <w:rsid w:val="002441E0"/>
    <w:rsid w:val="00244245"/>
    <w:rsid w:val="0024441E"/>
    <w:rsid w:val="0024447B"/>
    <w:rsid w:val="002445FF"/>
    <w:rsid w:val="002446AB"/>
    <w:rsid w:val="0024490D"/>
    <w:rsid w:val="00244B45"/>
    <w:rsid w:val="00244B8B"/>
    <w:rsid w:val="00244C24"/>
    <w:rsid w:val="00244C7D"/>
    <w:rsid w:val="00244CE4"/>
    <w:rsid w:val="00244EDA"/>
    <w:rsid w:val="00245074"/>
    <w:rsid w:val="002450F3"/>
    <w:rsid w:val="00245148"/>
    <w:rsid w:val="00245266"/>
    <w:rsid w:val="0024533A"/>
    <w:rsid w:val="00245398"/>
    <w:rsid w:val="00245688"/>
    <w:rsid w:val="002456D4"/>
    <w:rsid w:val="002456F3"/>
    <w:rsid w:val="0024575A"/>
    <w:rsid w:val="00245862"/>
    <w:rsid w:val="00245864"/>
    <w:rsid w:val="0024588F"/>
    <w:rsid w:val="00245A3F"/>
    <w:rsid w:val="00245B1A"/>
    <w:rsid w:val="00245B51"/>
    <w:rsid w:val="00245F1D"/>
    <w:rsid w:val="00246385"/>
    <w:rsid w:val="002463BE"/>
    <w:rsid w:val="002467B8"/>
    <w:rsid w:val="002468E4"/>
    <w:rsid w:val="00246933"/>
    <w:rsid w:val="00246C36"/>
    <w:rsid w:val="00246D1F"/>
    <w:rsid w:val="00246D7B"/>
    <w:rsid w:val="00246E34"/>
    <w:rsid w:val="00246EC1"/>
    <w:rsid w:val="00247212"/>
    <w:rsid w:val="002472EE"/>
    <w:rsid w:val="0024735C"/>
    <w:rsid w:val="002473BC"/>
    <w:rsid w:val="002476F0"/>
    <w:rsid w:val="00247779"/>
    <w:rsid w:val="0024779A"/>
    <w:rsid w:val="002477CA"/>
    <w:rsid w:val="002479C6"/>
    <w:rsid w:val="00247A32"/>
    <w:rsid w:val="00247C77"/>
    <w:rsid w:val="00247E85"/>
    <w:rsid w:val="00247EB0"/>
    <w:rsid w:val="00247F19"/>
    <w:rsid w:val="00247F4C"/>
    <w:rsid w:val="00250092"/>
    <w:rsid w:val="002500DA"/>
    <w:rsid w:val="0025011C"/>
    <w:rsid w:val="00250124"/>
    <w:rsid w:val="002501A4"/>
    <w:rsid w:val="0025033F"/>
    <w:rsid w:val="00250386"/>
    <w:rsid w:val="00250413"/>
    <w:rsid w:val="00250448"/>
    <w:rsid w:val="0025052F"/>
    <w:rsid w:val="00250541"/>
    <w:rsid w:val="00250588"/>
    <w:rsid w:val="00250593"/>
    <w:rsid w:val="00250708"/>
    <w:rsid w:val="0025070C"/>
    <w:rsid w:val="0025081B"/>
    <w:rsid w:val="00250845"/>
    <w:rsid w:val="00250863"/>
    <w:rsid w:val="002508C5"/>
    <w:rsid w:val="0025095E"/>
    <w:rsid w:val="00250B01"/>
    <w:rsid w:val="00250B35"/>
    <w:rsid w:val="00250C95"/>
    <w:rsid w:val="00250DFB"/>
    <w:rsid w:val="00250E27"/>
    <w:rsid w:val="00250E5B"/>
    <w:rsid w:val="00250EE5"/>
    <w:rsid w:val="00250F00"/>
    <w:rsid w:val="00250F46"/>
    <w:rsid w:val="00250F52"/>
    <w:rsid w:val="0025105D"/>
    <w:rsid w:val="0025113C"/>
    <w:rsid w:val="00251207"/>
    <w:rsid w:val="0025123A"/>
    <w:rsid w:val="00251273"/>
    <w:rsid w:val="002512B6"/>
    <w:rsid w:val="002512C3"/>
    <w:rsid w:val="002514A4"/>
    <w:rsid w:val="002517BB"/>
    <w:rsid w:val="00251A46"/>
    <w:rsid w:val="00251A85"/>
    <w:rsid w:val="00251BF6"/>
    <w:rsid w:val="00251C0E"/>
    <w:rsid w:val="00251C8B"/>
    <w:rsid w:val="00252098"/>
    <w:rsid w:val="0025244A"/>
    <w:rsid w:val="00252554"/>
    <w:rsid w:val="0025264C"/>
    <w:rsid w:val="00252714"/>
    <w:rsid w:val="00252978"/>
    <w:rsid w:val="00252A98"/>
    <w:rsid w:val="00252B47"/>
    <w:rsid w:val="00252C17"/>
    <w:rsid w:val="00252DF8"/>
    <w:rsid w:val="00252E18"/>
    <w:rsid w:val="00252FB7"/>
    <w:rsid w:val="00253038"/>
    <w:rsid w:val="002533D6"/>
    <w:rsid w:val="002533EB"/>
    <w:rsid w:val="0025345C"/>
    <w:rsid w:val="00253489"/>
    <w:rsid w:val="00253591"/>
    <w:rsid w:val="002536AD"/>
    <w:rsid w:val="00253CAF"/>
    <w:rsid w:val="00253D65"/>
    <w:rsid w:val="00253DAD"/>
    <w:rsid w:val="00253E7B"/>
    <w:rsid w:val="00253EE9"/>
    <w:rsid w:val="00254098"/>
    <w:rsid w:val="002540C1"/>
    <w:rsid w:val="002540E1"/>
    <w:rsid w:val="00254104"/>
    <w:rsid w:val="002541D9"/>
    <w:rsid w:val="002541E7"/>
    <w:rsid w:val="00254219"/>
    <w:rsid w:val="00254294"/>
    <w:rsid w:val="00254369"/>
    <w:rsid w:val="00254370"/>
    <w:rsid w:val="0025488B"/>
    <w:rsid w:val="0025488F"/>
    <w:rsid w:val="00254C87"/>
    <w:rsid w:val="00254DD0"/>
    <w:rsid w:val="00254DF2"/>
    <w:rsid w:val="00254E75"/>
    <w:rsid w:val="00255224"/>
    <w:rsid w:val="00255228"/>
    <w:rsid w:val="00255254"/>
    <w:rsid w:val="002552A7"/>
    <w:rsid w:val="00255394"/>
    <w:rsid w:val="00255414"/>
    <w:rsid w:val="002557DF"/>
    <w:rsid w:val="002558DD"/>
    <w:rsid w:val="002559D9"/>
    <w:rsid w:val="00255AF3"/>
    <w:rsid w:val="00255B2B"/>
    <w:rsid w:val="00255B45"/>
    <w:rsid w:val="00255B68"/>
    <w:rsid w:val="00255BD6"/>
    <w:rsid w:val="00255CFE"/>
    <w:rsid w:val="00255EF1"/>
    <w:rsid w:val="00255F20"/>
    <w:rsid w:val="00255FA1"/>
    <w:rsid w:val="002562A4"/>
    <w:rsid w:val="00256459"/>
    <w:rsid w:val="00256737"/>
    <w:rsid w:val="00256831"/>
    <w:rsid w:val="002569C5"/>
    <w:rsid w:val="00256A06"/>
    <w:rsid w:val="00256B6D"/>
    <w:rsid w:val="00256CC9"/>
    <w:rsid w:val="00257011"/>
    <w:rsid w:val="00257161"/>
    <w:rsid w:val="002571DE"/>
    <w:rsid w:val="00257216"/>
    <w:rsid w:val="0025744F"/>
    <w:rsid w:val="002577EE"/>
    <w:rsid w:val="00257872"/>
    <w:rsid w:val="00257A12"/>
    <w:rsid w:val="00257B04"/>
    <w:rsid w:val="00257D4D"/>
    <w:rsid w:val="00257DA2"/>
    <w:rsid w:val="00257EBD"/>
    <w:rsid w:val="00260052"/>
    <w:rsid w:val="002600A2"/>
    <w:rsid w:val="002600E9"/>
    <w:rsid w:val="002602E2"/>
    <w:rsid w:val="002602E8"/>
    <w:rsid w:val="0026045A"/>
    <w:rsid w:val="002604E2"/>
    <w:rsid w:val="002605C5"/>
    <w:rsid w:val="0026060F"/>
    <w:rsid w:val="0026080D"/>
    <w:rsid w:val="00260915"/>
    <w:rsid w:val="0026092A"/>
    <w:rsid w:val="00260A6A"/>
    <w:rsid w:val="00260CBF"/>
    <w:rsid w:val="00260E41"/>
    <w:rsid w:val="00260F79"/>
    <w:rsid w:val="0026104D"/>
    <w:rsid w:val="002610AC"/>
    <w:rsid w:val="002611B8"/>
    <w:rsid w:val="0026129A"/>
    <w:rsid w:val="002612BC"/>
    <w:rsid w:val="0026154A"/>
    <w:rsid w:val="0026164D"/>
    <w:rsid w:val="00261760"/>
    <w:rsid w:val="0026177C"/>
    <w:rsid w:val="00261843"/>
    <w:rsid w:val="0026188E"/>
    <w:rsid w:val="002618BA"/>
    <w:rsid w:val="002618F0"/>
    <w:rsid w:val="00261AC4"/>
    <w:rsid w:val="00261AD8"/>
    <w:rsid w:val="00261B34"/>
    <w:rsid w:val="00261C91"/>
    <w:rsid w:val="00261CFA"/>
    <w:rsid w:val="00261DBC"/>
    <w:rsid w:val="00261E8B"/>
    <w:rsid w:val="002620EB"/>
    <w:rsid w:val="00262140"/>
    <w:rsid w:val="00262143"/>
    <w:rsid w:val="002621B2"/>
    <w:rsid w:val="002623F4"/>
    <w:rsid w:val="002624BB"/>
    <w:rsid w:val="00262526"/>
    <w:rsid w:val="00262538"/>
    <w:rsid w:val="0026257B"/>
    <w:rsid w:val="00262658"/>
    <w:rsid w:val="0026268A"/>
    <w:rsid w:val="002627E4"/>
    <w:rsid w:val="00262A80"/>
    <w:rsid w:val="00262C55"/>
    <w:rsid w:val="00262D7A"/>
    <w:rsid w:val="00262DC9"/>
    <w:rsid w:val="0026301D"/>
    <w:rsid w:val="00263028"/>
    <w:rsid w:val="00263127"/>
    <w:rsid w:val="00263152"/>
    <w:rsid w:val="002631CE"/>
    <w:rsid w:val="002632D5"/>
    <w:rsid w:val="00263375"/>
    <w:rsid w:val="0026338D"/>
    <w:rsid w:val="00263402"/>
    <w:rsid w:val="00263434"/>
    <w:rsid w:val="002634F8"/>
    <w:rsid w:val="00263526"/>
    <w:rsid w:val="0026359C"/>
    <w:rsid w:val="0026361A"/>
    <w:rsid w:val="0026378D"/>
    <w:rsid w:val="002637F8"/>
    <w:rsid w:val="00263BCF"/>
    <w:rsid w:val="00263CEC"/>
    <w:rsid w:val="00263ED6"/>
    <w:rsid w:val="002640E2"/>
    <w:rsid w:val="00264162"/>
    <w:rsid w:val="0026420D"/>
    <w:rsid w:val="00264356"/>
    <w:rsid w:val="0026445D"/>
    <w:rsid w:val="002644AB"/>
    <w:rsid w:val="00264699"/>
    <w:rsid w:val="0026475D"/>
    <w:rsid w:val="00264D45"/>
    <w:rsid w:val="00264DAD"/>
    <w:rsid w:val="00264DD6"/>
    <w:rsid w:val="00264E1E"/>
    <w:rsid w:val="0026509A"/>
    <w:rsid w:val="002650EF"/>
    <w:rsid w:val="0026530A"/>
    <w:rsid w:val="002653BF"/>
    <w:rsid w:val="00265527"/>
    <w:rsid w:val="00265831"/>
    <w:rsid w:val="0026598D"/>
    <w:rsid w:val="002659EA"/>
    <w:rsid w:val="00265B68"/>
    <w:rsid w:val="00265BC3"/>
    <w:rsid w:val="00265C4C"/>
    <w:rsid w:val="00265D59"/>
    <w:rsid w:val="00265E40"/>
    <w:rsid w:val="00265FC8"/>
    <w:rsid w:val="00266052"/>
    <w:rsid w:val="00266078"/>
    <w:rsid w:val="00266390"/>
    <w:rsid w:val="002664D3"/>
    <w:rsid w:val="002664DB"/>
    <w:rsid w:val="00266536"/>
    <w:rsid w:val="0026677D"/>
    <w:rsid w:val="002669FB"/>
    <w:rsid w:val="00266ADE"/>
    <w:rsid w:val="00266ADF"/>
    <w:rsid w:val="00266E48"/>
    <w:rsid w:val="00266E5B"/>
    <w:rsid w:val="00266E7A"/>
    <w:rsid w:val="00266F3E"/>
    <w:rsid w:val="00266FCD"/>
    <w:rsid w:val="0026706C"/>
    <w:rsid w:val="002670AD"/>
    <w:rsid w:val="0026740E"/>
    <w:rsid w:val="00267441"/>
    <w:rsid w:val="002674D1"/>
    <w:rsid w:val="002675A2"/>
    <w:rsid w:val="002676BA"/>
    <w:rsid w:val="0026770C"/>
    <w:rsid w:val="0026773D"/>
    <w:rsid w:val="00267772"/>
    <w:rsid w:val="002677D5"/>
    <w:rsid w:val="0026790A"/>
    <w:rsid w:val="00267A1A"/>
    <w:rsid w:val="00267B1F"/>
    <w:rsid w:val="00267B60"/>
    <w:rsid w:val="00267B80"/>
    <w:rsid w:val="00267CC2"/>
    <w:rsid w:val="00267D99"/>
    <w:rsid w:val="0027012F"/>
    <w:rsid w:val="00270222"/>
    <w:rsid w:val="00270853"/>
    <w:rsid w:val="0027089B"/>
    <w:rsid w:val="002708E9"/>
    <w:rsid w:val="002709DA"/>
    <w:rsid w:val="00270A63"/>
    <w:rsid w:val="00270AC2"/>
    <w:rsid w:val="00270B6B"/>
    <w:rsid w:val="00270BC8"/>
    <w:rsid w:val="00270C4C"/>
    <w:rsid w:val="00270C92"/>
    <w:rsid w:val="00270CB0"/>
    <w:rsid w:val="00270D51"/>
    <w:rsid w:val="00270D6D"/>
    <w:rsid w:val="00270E21"/>
    <w:rsid w:val="00270F12"/>
    <w:rsid w:val="00271029"/>
    <w:rsid w:val="0027127D"/>
    <w:rsid w:val="0027128B"/>
    <w:rsid w:val="002712D9"/>
    <w:rsid w:val="00271304"/>
    <w:rsid w:val="00271355"/>
    <w:rsid w:val="00271362"/>
    <w:rsid w:val="0027156B"/>
    <w:rsid w:val="0027171A"/>
    <w:rsid w:val="00271A7B"/>
    <w:rsid w:val="00271C42"/>
    <w:rsid w:val="00271D36"/>
    <w:rsid w:val="00271E41"/>
    <w:rsid w:val="00271F52"/>
    <w:rsid w:val="00271FE9"/>
    <w:rsid w:val="00272070"/>
    <w:rsid w:val="0027208C"/>
    <w:rsid w:val="0027258D"/>
    <w:rsid w:val="002725AD"/>
    <w:rsid w:val="002726E8"/>
    <w:rsid w:val="002727B7"/>
    <w:rsid w:val="00272972"/>
    <w:rsid w:val="00272985"/>
    <w:rsid w:val="002729F7"/>
    <w:rsid w:val="00272A3A"/>
    <w:rsid w:val="00272B0E"/>
    <w:rsid w:val="00272B8F"/>
    <w:rsid w:val="00272C4D"/>
    <w:rsid w:val="00272DBB"/>
    <w:rsid w:val="00272DCB"/>
    <w:rsid w:val="00272EA5"/>
    <w:rsid w:val="00272FA3"/>
    <w:rsid w:val="00273038"/>
    <w:rsid w:val="00273122"/>
    <w:rsid w:val="00273430"/>
    <w:rsid w:val="00273672"/>
    <w:rsid w:val="002737A1"/>
    <w:rsid w:val="002737C9"/>
    <w:rsid w:val="00273863"/>
    <w:rsid w:val="002738A8"/>
    <w:rsid w:val="00273A73"/>
    <w:rsid w:val="00273AF1"/>
    <w:rsid w:val="00273B64"/>
    <w:rsid w:val="00273C85"/>
    <w:rsid w:val="00273D2F"/>
    <w:rsid w:val="002742F3"/>
    <w:rsid w:val="0027438F"/>
    <w:rsid w:val="002743F3"/>
    <w:rsid w:val="00274415"/>
    <w:rsid w:val="00274586"/>
    <w:rsid w:val="00274699"/>
    <w:rsid w:val="0027471A"/>
    <w:rsid w:val="00274882"/>
    <w:rsid w:val="0027495A"/>
    <w:rsid w:val="002749D6"/>
    <w:rsid w:val="00274A88"/>
    <w:rsid w:val="00274BA8"/>
    <w:rsid w:val="00274CB7"/>
    <w:rsid w:val="00275259"/>
    <w:rsid w:val="00275678"/>
    <w:rsid w:val="00275772"/>
    <w:rsid w:val="002759BB"/>
    <w:rsid w:val="00275A88"/>
    <w:rsid w:val="00275D03"/>
    <w:rsid w:val="00275EC8"/>
    <w:rsid w:val="0027604E"/>
    <w:rsid w:val="00276152"/>
    <w:rsid w:val="002761DA"/>
    <w:rsid w:val="002761DC"/>
    <w:rsid w:val="00276425"/>
    <w:rsid w:val="002765E3"/>
    <w:rsid w:val="0027661F"/>
    <w:rsid w:val="00276809"/>
    <w:rsid w:val="00276A82"/>
    <w:rsid w:val="00276B80"/>
    <w:rsid w:val="00276BAD"/>
    <w:rsid w:val="00276C12"/>
    <w:rsid w:val="00276C32"/>
    <w:rsid w:val="00276C67"/>
    <w:rsid w:val="00276FEF"/>
    <w:rsid w:val="00277201"/>
    <w:rsid w:val="002772B3"/>
    <w:rsid w:val="002772BF"/>
    <w:rsid w:val="0027748F"/>
    <w:rsid w:val="002774A2"/>
    <w:rsid w:val="00277767"/>
    <w:rsid w:val="0027783A"/>
    <w:rsid w:val="002778D5"/>
    <w:rsid w:val="0027794B"/>
    <w:rsid w:val="00277A4A"/>
    <w:rsid w:val="00277B33"/>
    <w:rsid w:val="00277C69"/>
    <w:rsid w:val="0027D7B0"/>
    <w:rsid w:val="00280048"/>
    <w:rsid w:val="002800B8"/>
    <w:rsid w:val="0028012A"/>
    <w:rsid w:val="002802DB"/>
    <w:rsid w:val="002803AC"/>
    <w:rsid w:val="00280449"/>
    <w:rsid w:val="00280527"/>
    <w:rsid w:val="00280876"/>
    <w:rsid w:val="002808AE"/>
    <w:rsid w:val="00280902"/>
    <w:rsid w:val="00280A5D"/>
    <w:rsid w:val="00280AF6"/>
    <w:rsid w:val="00280CA7"/>
    <w:rsid w:val="00281179"/>
    <w:rsid w:val="0028117B"/>
    <w:rsid w:val="00281213"/>
    <w:rsid w:val="0028125E"/>
    <w:rsid w:val="0028130A"/>
    <w:rsid w:val="00281408"/>
    <w:rsid w:val="0028147A"/>
    <w:rsid w:val="00281522"/>
    <w:rsid w:val="002815DD"/>
    <w:rsid w:val="002815FC"/>
    <w:rsid w:val="0028162C"/>
    <w:rsid w:val="0028179D"/>
    <w:rsid w:val="00281821"/>
    <w:rsid w:val="00281AA4"/>
    <w:rsid w:val="00281CCE"/>
    <w:rsid w:val="00281E3A"/>
    <w:rsid w:val="00281F22"/>
    <w:rsid w:val="00281F23"/>
    <w:rsid w:val="00282037"/>
    <w:rsid w:val="002821AE"/>
    <w:rsid w:val="002822B6"/>
    <w:rsid w:val="002823C7"/>
    <w:rsid w:val="00282470"/>
    <w:rsid w:val="0028256D"/>
    <w:rsid w:val="00282717"/>
    <w:rsid w:val="00282835"/>
    <w:rsid w:val="002828BD"/>
    <w:rsid w:val="002828C9"/>
    <w:rsid w:val="0028292A"/>
    <w:rsid w:val="00282CB6"/>
    <w:rsid w:val="00282D28"/>
    <w:rsid w:val="00282E78"/>
    <w:rsid w:val="00283232"/>
    <w:rsid w:val="002832C0"/>
    <w:rsid w:val="002833B5"/>
    <w:rsid w:val="002834D5"/>
    <w:rsid w:val="002836B7"/>
    <w:rsid w:val="00283869"/>
    <w:rsid w:val="00283A68"/>
    <w:rsid w:val="00283B84"/>
    <w:rsid w:val="00283BC4"/>
    <w:rsid w:val="00283BD8"/>
    <w:rsid w:val="00283CC0"/>
    <w:rsid w:val="00283DA4"/>
    <w:rsid w:val="00283E12"/>
    <w:rsid w:val="00283F75"/>
    <w:rsid w:val="00283F7C"/>
    <w:rsid w:val="00283FD4"/>
    <w:rsid w:val="0028405B"/>
    <w:rsid w:val="0028414F"/>
    <w:rsid w:val="00284363"/>
    <w:rsid w:val="00284466"/>
    <w:rsid w:val="00284691"/>
    <w:rsid w:val="002846CA"/>
    <w:rsid w:val="00284878"/>
    <w:rsid w:val="00284A7C"/>
    <w:rsid w:val="00284B32"/>
    <w:rsid w:val="00284B65"/>
    <w:rsid w:val="00284B6F"/>
    <w:rsid w:val="00284B7A"/>
    <w:rsid w:val="00284BEF"/>
    <w:rsid w:val="00284D14"/>
    <w:rsid w:val="00284DE6"/>
    <w:rsid w:val="002850DA"/>
    <w:rsid w:val="002851B1"/>
    <w:rsid w:val="0028526D"/>
    <w:rsid w:val="002852F7"/>
    <w:rsid w:val="002854DB"/>
    <w:rsid w:val="00285604"/>
    <w:rsid w:val="002856C2"/>
    <w:rsid w:val="00285A14"/>
    <w:rsid w:val="00285BEE"/>
    <w:rsid w:val="00285C03"/>
    <w:rsid w:val="00285D7D"/>
    <w:rsid w:val="00285DF8"/>
    <w:rsid w:val="00285F2C"/>
    <w:rsid w:val="00285FEF"/>
    <w:rsid w:val="00286098"/>
    <w:rsid w:val="002860B7"/>
    <w:rsid w:val="00286190"/>
    <w:rsid w:val="00286349"/>
    <w:rsid w:val="0028635F"/>
    <w:rsid w:val="002865D9"/>
    <w:rsid w:val="002865F4"/>
    <w:rsid w:val="00286612"/>
    <w:rsid w:val="00286776"/>
    <w:rsid w:val="00286887"/>
    <w:rsid w:val="002868AA"/>
    <w:rsid w:val="00286993"/>
    <w:rsid w:val="00286AB6"/>
    <w:rsid w:val="00286BD4"/>
    <w:rsid w:val="00286C54"/>
    <w:rsid w:val="00286C91"/>
    <w:rsid w:val="00286D0B"/>
    <w:rsid w:val="00286D0D"/>
    <w:rsid w:val="0028700B"/>
    <w:rsid w:val="0028702F"/>
    <w:rsid w:val="00287107"/>
    <w:rsid w:val="002871A6"/>
    <w:rsid w:val="0028721C"/>
    <w:rsid w:val="0028748E"/>
    <w:rsid w:val="0028752C"/>
    <w:rsid w:val="00287608"/>
    <w:rsid w:val="00287883"/>
    <w:rsid w:val="00287976"/>
    <w:rsid w:val="002879AD"/>
    <w:rsid w:val="002879D5"/>
    <w:rsid w:val="002879F2"/>
    <w:rsid w:val="00287B3B"/>
    <w:rsid w:val="00287C22"/>
    <w:rsid w:val="00287EEF"/>
    <w:rsid w:val="00287F30"/>
    <w:rsid w:val="002901FB"/>
    <w:rsid w:val="00290608"/>
    <w:rsid w:val="00290631"/>
    <w:rsid w:val="0029066C"/>
    <w:rsid w:val="0029077A"/>
    <w:rsid w:val="0029079D"/>
    <w:rsid w:val="002909CE"/>
    <w:rsid w:val="00290BCA"/>
    <w:rsid w:val="00290D37"/>
    <w:rsid w:val="002911CB"/>
    <w:rsid w:val="002912AD"/>
    <w:rsid w:val="002912FD"/>
    <w:rsid w:val="002912FF"/>
    <w:rsid w:val="002915A8"/>
    <w:rsid w:val="00291656"/>
    <w:rsid w:val="002916AD"/>
    <w:rsid w:val="00291813"/>
    <w:rsid w:val="00291814"/>
    <w:rsid w:val="002918F4"/>
    <w:rsid w:val="00291985"/>
    <w:rsid w:val="00291A62"/>
    <w:rsid w:val="00291AE4"/>
    <w:rsid w:val="00291AFE"/>
    <w:rsid w:val="00291CDC"/>
    <w:rsid w:val="00292085"/>
    <w:rsid w:val="00292116"/>
    <w:rsid w:val="00292415"/>
    <w:rsid w:val="002924B2"/>
    <w:rsid w:val="0029272A"/>
    <w:rsid w:val="00292982"/>
    <w:rsid w:val="00292A72"/>
    <w:rsid w:val="00292ACF"/>
    <w:rsid w:val="00292D1C"/>
    <w:rsid w:val="00292DAD"/>
    <w:rsid w:val="00292E48"/>
    <w:rsid w:val="00292FF2"/>
    <w:rsid w:val="0029332F"/>
    <w:rsid w:val="0029337C"/>
    <w:rsid w:val="002933FB"/>
    <w:rsid w:val="002934A3"/>
    <w:rsid w:val="00293514"/>
    <w:rsid w:val="00293678"/>
    <w:rsid w:val="00293775"/>
    <w:rsid w:val="00293A9D"/>
    <w:rsid w:val="00293BAE"/>
    <w:rsid w:val="00293E3C"/>
    <w:rsid w:val="00293F9A"/>
    <w:rsid w:val="00294029"/>
    <w:rsid w:val="002940C4"/>
    <w:rsid w:val="00294122"/>
    <w:rsid w:val="00294191"/>
    <w:rsid w:val="0029425D"/>
    <w:rsid w:val="002942AA"/>
    <w:rsid w:val="002944EB"/>
    <w:rsid w:val="00294725"/>
    <w:rsid w:val="0029472D"/>
    <w:rsid w:val="00294750"/>
    <w:rsid w:val="002948B0"/>
    <w:rsid w:val="002948DE"/>
    <w:rsid w:val="00294991"/>
    <w:rsid w:val="002949A5"/>
    <w:rsid w:val="00294BB4"/>
    <w:rsid w:val="00294C1A"/>
    <w:rsid w:val="00294DD0"/>
    <w:rsid w:val="00294ED4"/>
    <w:rsid w:val="00294F1F"/>
    <w:rsid w:val="00295068"/>
    <w:rsid w:val="0029519F"/>
    <w:rsid w:val="00295321"/>
    <w:rsid w:val="0029533F"/>
    <w:rsid w:val="002953B4"/>
    <w:rsid w:val="002955D2"/>
    <w:rsid w:val="0029574A"/>
    <w:rsid w:val="00295878"/>
    <w:rsid w:val="0029588E"/>
    <w:rsid w:val="00295A6A"/>
    <w:rsid w:val="00295BEC"/>
    <w:rsid w:val="00295C0A"/>
    <w:rsid w:val="00295C65"/>
    <w:rsid w:val="00295C68"/>
    <w:rsid w:val="00296018"/>
    <w:rsid w:val="00296144"/>
    <w:rsid w:val="002961BE"/>
    <w:rsid w:val="0029629D"/>
    <w:rsid w:val="00296567"/>
    <w:rsid w:val="00296672"/>
    <w:rsid w:val="00296751"/>
    <w:rsid w:val="002967F9"/>
    <w:rsid w:val="002968BD"/>
    <w:rsid w:val="00296BCE"/>
    <w:rsid w:val="00296CCF"/>
    <w:rsid w:val="00296DBE"/>
    <w:rsid w:val="00296DD2"/>
    <w:rsid w:val="00296E65"/>
    <w:rsid w:val="00297251"/>
    <w:rsid w:val="00297258"/>
    <w:rsid w:val="0029738A"/>
    <w:rsid w:val="0029742B"/>
    <w:rsid w:val="00297437"/>
    <w:rsid w:val="00297549"/>
    <w:rsid w:val="00297770"/>
    <w:rsid w:val="002977B2"/>
    <w:rsid w:val="002978CA"/>
    <w:rsid w:val="00297B65"/>
    <w:rsid w:val="00297CB2"/>
    <w:rsid w:val="00297F72"/>
    <w:rsid w:val="00297FDB"/>
    <w:rsid w:val="002A00A5"/>
    <w:rsid w:val="002A0437"/>
    <w:rsid w:val="002A04EE"/>
    <w:rsid w:val="002A0546"/>
    <w:rsid w:val="002A0689"/>
    <w:rsid w:val="002A08FD"/>
    <w:rsid w:val="002A093B"/>
    <w:rsid w:val="002A098F"/>
    <w:rsid w:val="002A0A45"/>
    <w:rsid w:val="002A1269"/>
    <w:rsid w:val="002A1643"/>
    <w:rsid w:val="002A1791"/>
    <w:rsid w:val="002A19A9"/>
    <w:rsid w:val="002A1C0C"/>
    <w:rsid w:val="002A1C94"/>
    <w:rsid w:val="002A1F0A"/>
    <w:rsid w:val="002A2166"/>
    <w:rsid w:val="002A22F9"/>
    <w:rsid w:val="002A2480"/>
    <w:rsid w:val="002A24B5"/>
    <w:rsid w:val="002A25A0"/>
    <w:rsid w:val="002A26E3"/>
    <w:rsid w:val="002A27ED"/>
    <w:rsid w:val="002A2CCF"/>
    <w:rsid w:val="002A2E06"/>
    <w:rsid w:val="002A2E78"/>
    <w:rsid w:val="002A310A"/>
    <w:rsid w:val="002A3113"/>
    <w:rsid w:val="002A31FA"/>
    <w:rsid w:val="002A324D"/>
    <w:rsid w:val="002A325A"/>
    <w:rsid w:val="002A32ED"/>
    <w:rsid w:val="002A33B0"/>
    <w:rsid w:val="002A34E2"/>
    <w:rsid w:val="002A3539"/>
    <w:rsid w:val="002A3561"/>
    <w:rsid w:val="002A363F"/>
    <w:rsid w:val="002A3B02"/>
    <w:rsid w:val="002A3C2B"/>
    <w:rsid w:val="002A3F06"/>
    <w:rsid w:val="002A4040"/>
    <w:rsid w:val="002A4152"/>
    <w:rsid w:val="002A42ED"/>
    <w:rsid w:val="002A4300"/>
    <w:rsid w:val="002A4346"/>
    <w:rsid w:val="002A4487"/>
    <w:rsid w:val="002A461C"/>
    <w:rsid w:val="002A46DD"/>
    <w:rsid w:val="002A475C"/>
    <w:rsid w:val="002A484B"/>
    <w:rsid w:val="002A4985"/>
    <w:rsid w:val="002A4BE9"/>
    <w:rsid w:val="002A5279"/>
    <w:rsid w:val="002A5299"/>
    <w:rsid w:val="002A5707"/>
    <w:rsid w:val="002A5818"/>
    <w:rsid w:val="002A5845"/>
    <w:rsid w:val="002A586B"/>
    <w:rsid w:val="002A587C"/>
    <w:rsid w:val="002A58C2"/>
    <w:rsid w:val="002A5BD2"/>
    <w:rsid w:val="002A5D6D"/>
    <w:rsid w:val="002A5DCD"/>
    <w:rsid w:val="002A5E16"/>
    <w:rsid w:val="002A62EE"/>
    <w:rsid w:val="002A6303"/>
    <w:rsid w:val="002A6617"/>
    <w:rsid w:val="002A66ED"/>
    <w:rsid w:val="002A678A"/>
    <w:rsid w:val="002A679C"/>
    <w:rsid w:val="002A67D3"/>
    <w:rsid w:val="002A68A7"/>
    <w:rsid w:val="002A68BD"/>
    <w:rsid w:val="002A6959"/>
    <w:rsid w:val="002A695E"/>
    <w:rsid w:val="002A6AF5"/>
    <w:rsid w:val="002A6D40"/>
    <w:rsid w:val="002A6D8E"/>
    <w:rsid w:val="002A6DE4"/>
    <w:rsid w:val="002A6E4A"/>
    <w:rsid w:val="002A6E7D"/>
    <w:rsid w:val="002A74E6"/>
    <w:rsid w:val="002A75D5"/>
    <w:rsid w:val="002A76CA"/>
    <w:rsid w:val="002A79BE"/>
    <w:rsid w:val="002A79C5"/>
    <w:rsid w:val="002A7AFE"/>
    <w:rsid w:val="002A7B10"/>
    <w:rsid w:val="002A7D5B"/>
    <w:rsid w:val="002A7D8A"/>
    <w:rsid w:val="002A7F6A"/>
    <w:rsid w:val="002A7F9D"/>
    <w:rsid w:val="002B01EA"/>
    <w:rsid w:val="002B0410"/>
    <w:rsid w:val="002B0547"/>
    <w:rsid w:val="002B0671"/>
    <w:rsid w:val="002B0756"/>
    <w:rsid w:val="002B0771"/>
    <w:rsid w:val="002B0935"/>
    <w:rsid w:val="002B09EB"/>
    <w:rsid w:val="002B0CFB"/>
    <w:rsid w:val="002B0D27"/>
    <w:rsid w:val="002B0D4D"/>
    <w:rsid w:val="002B0D62"/>
    <w:rsid w:val="002B0EF6"/>
    <w:rsid w:val="002B0F27"/>
    <w:rsid w:val="002B1056"/>
    <w:rsid w:val="002B10FE"/>
    <w:rsid w:val="002B12B3"/>
    <w:rsid w:val="002B139C"/>
    <w:rsid w:val="002B1430"/>
    <w:rsid w:val="002B1661"/>
    <w:rsid w:val="002B16C5"/>
    <w:rsid w:val="002B182B"/>
    <w:rsid w:val="002B18F2"/>
    <w:rsid w:val="002B1964"/>
    <w:rsid w:val="002B19C3"/>
    <w:rsid w:val="002B1D36"/>
    <w:rsid w:val="002B1D49"/>
    <w:rsid w:val="002B1D73"/>
    <w:rsid w:val="002B1EEA"/>
    <w:rsid w:val="002B1F47"/>
    <w:rsid w:val="002B1F4A"/>
    <w:rsid w:val="002B2039"/>
    <w:rsid w:val="002B21EB"/>
    <w:rsid w:val="002B227A"/>
    <w:rsid w:val="002B2383"/>
    <w:rsid w:val="002B2466"/>
    <w:rsid w:val="002B2477"/>
    <w:rsid w:val="002B24F2"/>
    <w:rsid w:val="002B251A"/>
    <w:rsid w:val="002B265E"/>
    <w:rsid w:val="002B2697"/>
    <w:rsid w:val="002B278E"/>
    <w:rsid w:val="002B29CE"/>
    <w:rsid w:val="002B2A33"/>
    <w:rsid w:val="002B2A58"/>
    <w:rsid w:val="002B2A92"/>
    <w:rsid w:val="002B2C09"/>
    <w:rsid w:val="002B2C43"/>
    <w:rsid w:val="002B2DA9"/>
    <w:rsid w:val="002B2DED"/>
    <w:rsid w:val="002B2F85"/>
    <w:rsid w:val="002B3061"/>
    <w:rsid w:val="002B30AF"/>
    <w:rsid w:val="002B3128"/>
    <w:rsid w:val="002B3141"/>
    <w:rsid w:val="002B31EE"/>
    <w:rsid w:val="002B3415"/>
    <w:rsid w:val="002B342C"/>
    <w:rsid w:val="002B3449"/>
    <w:rsid w:val="002B34A8"/>
    <w:rsid w:val="002B354F"/>
    <w:rsid w:val="002B35AA"/>
    <w:rsid w:val="002B389D"/>
    <w:rsid w:val="002B3A2B"/>
    <w:rsid w:val="002B3A30"/>
    <w:rsid w:val="002B3A99"/>
    <w:rsid w:val="002B3B03"/>
    <w:rsid w:val="002B3C0E"/>
    <w:rsid w:val="002B3C31"/>
    <w:rsid w:val="002B3CC8"/>
    <w:rsid w:val="002B3E0B"/>
    <w:rsid w:val="002B3E1C"/>
    <w:rsid w:val="002B3EDA"/>
    <w:rsid w:val="002B3F0D"/>
    <w:rsid w:val="002B3F63"/>
    <w:rsid w:val="002B402B"/>
    <w:rsid w:val="002B463E"/>
    <w:rsid w:val="002B4698"/>
    <w:rsid w:val="002B47E8"/>
    <w:rsid w:val="002B47FE"/>
    <w:rsid w:val="002B4822"/>
    <w:rsid w:val="002B48F5"/>
    <w:rsid w:val="002B490A"/>
    <w:rsid w:val="002B49E0"/>
    <w:rsid w:val="002B4B94"/>
    <w:rsid w:val="002B4BE1"/>
    <w:rsid w:val="002B5041"/>
    <w:rsid w:val="002B51CC"/>
    <w:rsid w:val="002B51D4"/>
    <w:rsid w:val="002B5299"/>
    <w:rsid w:val="002B52E8"/>
    <w:rsid w:val="002B53EC"/>
    <w:rsid w:val="002B54ED"/>
    <w:rsid w:val="002B5549"/>
    <w:rsid w:val="002B5618"/>
    <w:rsid w:val="002B58A0"/>
    <w:rsid w:val="002B5999"/>
    <w:rsid w:val="002B5AE6"/>
    <w:rsid w:val="002B5BA4"/>
    <w:rsid w:val="002B5BAD"/>
    <w:rsid w:val="002B5C08"/>
    <w:rsid w:val="002B5EB3"/>
    <w:rsid w:val="002B5ED4"/>
    <w:rsid w:val="002B6103"/>
    <w:rsid w:val="002B6126"/>
    <w:rsid w:val="002B621A"/>
    <w:rsid w:val="002B622A"/>
    <w:rsid w:val="002B6260"/>
    <w:rsid w:val="002B6279"/>
    <w:rsid w:val="002B627C"/>
    <w:rsid w:val="002B635F"/>
    <w:rsid w:val="002B63AB"/>
    <w:rsid w:val="002B63D4"/>
    <w:rsid w:val="002B64BB"/>
    <w:rsid w:val="002B662D"/>
    <w:rsid w:val="002B667E"/>
    <w:rsid w:val="002B66D6"/>
    <w:rsid w:val="002B6863"/>
    <w:rsid w:val="002B6924"/>
    <w:rsid w:val="002B6970"/>
    <w:rsid w:val="002B6AC6"/>
    <w:rsid w:val="002B6B8D"/>
    <w:rsid w:val="002B6C0A"/>
    <w:rsid w:val="002B6C99"/>
    <w:rsid w:val="002B6F86"/>
    <w:rsid w:val="002B6FB4"/>
    <w:rsid w:val="002B7091"/>
    <w:rsid w:val="002B72BE"/>
    <w:rsid w:val="002B7448"/>
    <w:rsid w:val="002B75A0"/>
    <w:rsid w:val="002B778D"/>
    <w:rsid w:val="002B79D0"/>
    <w:rsid w:val="002B7AB8"/>
    <w:rsid w:val="002B7CE8"/>
    <w:rsid w:val="002B7F5F"/>
    <w:rsid w:val="002C0041"/>
    <w:rsid w:val="002C006E"/>
    <w:rsid w:val="002C01EB"/>
    <w:rsid w:val="002C0330"/>
    <w:rsid w:val="002C0716"/>
    <w:rsid w:val="002C0749"/>
    <w:rsid w:val="002C07F4"/>
    <w:rsid w:val="002C0838"/>
    <w:rsid w:val="002C091E"/>
    <w:rsid w:val="002C09E5"/>
    <w:rsid w:val="002C0A7D"/>
    <w:rsid w:val="002C0AF1"/>
    <w:rsid w:val="002C0BB8"/>
    <w:rsid w:val="002C0CA8"/>
    <w:rsid w:val="002C0CB3"/>
    <w:rsid w:val="002C0E3A"/>
    <w:rsid w:val="002C0E8B"/>
    <w:rsid w:val="002C0ED4"/>
    <w:rsid w:val="002C1081"/>
    <w:rsid w:val="002C1123"/>
    <w:rsid w:val="002C1150"/>
    <w:rsid w:val="002C11D7"/>
    <w:rsid w:val="002C11E9"/>
    <w:rsid w:val="002C1207"/>
    <w:rsid w:val="002C12B9"/>
    <w:rsid w:val="002C12BC"/>
    <w:rsid w:val="002C12C2"/>
    <w:rsid w:val="002C12CA"/>
    <w:rsid w:val="002C146E"/>
    <w:rsid w:val="002C14B9"/>
    <w:rsid w:val="002C1578"/>
    <w:rsid w:val="002C1C10"/>
    <w:rsid w:val="002C1DCF"/>
    <w:rsid w:val="002C1EA8"/>
    <w:rsid w:val="002C1F74"/>
    <w:rsid w:val="002C1FB8"/>
    <w:rsid w:val="002C2050"/>
    <w:rsid w:val="002C2087"/>
    <w:rsid w:val="002C211E"/>
    <w:rsid w:val="002C2144"/>
    <w:rsid w:val="002C222E"/>
    <w:rsid w:val="002C2372"/>
    <w:rsid w:val="002C2562"/>
    <w:rsid w:val="002C2959"/>
    <w:rsid w:val="002C297C"/>
    <w:rsid w:val="002C2986"/>
    <w:rsid w:val="002C2AD1"/>
    <w:rsid w:val="002C2B5C"/>
    <w:rsid w:val="002C2BE1"/>
    <w:rsid w:val="002C2CD4"/>
    <w:rsid w:val="002C2DD1"/>
    <w:rsid w:val="002C2DD2"/>
    <w:rsid w:val="002C2E8B"/>
    <w:rsid w:val="002C30EF"/>
    <w:rsid w:val="002C326B"/>
    <w:rsid w:val="002C335A"/>
    <w:rsid w:val="002C33F5"/>
    <w:rsid w:val="002C350C"/>
    <w:rsid w:val="002C363C"/>
    <w:rsid w:val="002C3644"/>
    <w:rsid w:val="002C36CD"/>
    <w:rsid w:val="002C3700"/>
    <w:rsid w:val="002C370A"/>
    <w:rsid w:val="002C382A"/>
    <w:rsid w:val="002C3889"/>
    <w:rsid w:val="002C38D4"/>
    <w:rsid w:val="002C3942"/>
    <w:rsid w:val="002C39B0"/>
    <w:rsid w:val="002C39F3"/>
    <w:rsid w:val="002C3B1D"/>
    <w:rsid w:val="002C3CC0"/>
    <w:rsid w:val="002C3D0B"/>
    <w:rsid w:val="002C3F0A"/>
    <w:rsid w:val="002C4038"/>
    <w:rsid w:val="002C4075"/>
    <w:rsid w:val="002C41F4"/>
    <w:rsid w:val="002C42FF"/>
    <w:rsid w:val="002C435A"/>
    <w:rsid w:val="002C43B8"/>
    <w:rsid w:val="002C43CF"/>
    <w:rsid w:val="002C43E0"/>
    <w:rsid w:val="002C440B"/>
    <w:rsid w:val="002C4475"/>
    <w:rsid w:val="002C447D"/>
    <w:rsid w:val="002C44BD"/>
    <w:rsid w:val="002C4568"/>
    <w:rsid w:val="002C4653"/>
    <w:rsid w:val="002C4816"/>
    <w:rsid w:val="002C493F"/>
    <w:rsid w:val="002C4B70"/>
    <w:rsid w:val="002C4BB5"/>
    <w:rsid w:val="002C4BF8"/>
    <w:rsid w:val="002C4C51"/>
    <w:rsid w:val="002C4D88"/>
    <w:rsid w:val="002C4DEE"/>
    <w:rsid w:val="002C500D"/>
    <w:rsid w:val="002C50DE"/>
    <w:rsid w:val="002C5198"/>
    <w:rsid w:val="002C51CB"/>
    <w:rsid w:val="002C51FE"/>
    <w:rsid w:val="002C52D2"/>
    <w:rsid w:val="002C5318"/>
    <w:rsid w:val="002C534A"/>
    <w:rsid w:val="002C544C"/>
    <w:rsid w:val="002C54FD"/>
    <w:rsid w:val="002C566B"/>
    <w:rsid w:val="002C5672"/>
    <w:rsid w:val="002C568E"/>
    <w:rsid w:val="002C57C2"/>
    <w:rsid w:val="002C584B"/>
    <w:rsid w:val="002C58D1"/>
    <w:rsid w:val="002C5ACA"/>
    <w:rsid w:val="002C5C35"/>
    <w:rsid w:val="002C5C4B"/>
    <w:rsid w:val="002C5D66"/>
    <w:rsid w:val="002C5F8B"/>
    <w:rsid w:val="002C613A"/>
    <w:rsid w:val="002C6158"/>
    <w:rsid w:val="002C61A4"/>
    <w:rsid w:val="002C63B8"/>
    <w:rsid w:val="002C640D"/>
    <w:rsid w:val="002C6554"/>
    <w:rsid w:val="002C66F1"/>
    <w:rsid w:val="002C6755"/>
    <w:rsid w:val="002C67C0"/>
    <w:rsid w:val="002C6820"/>
    <w:rsid w:val="002C68D8"/>
    <w:rsid w:val="002C69AE"/>
    <w:rsid w:val="002C69C6"/>
    <w:rsid w:val="002C6A99"/>
    <w:rsid w:val="002C6B46"/>
    <w:rsid w:val="002C6DF5"/>
    <w:rsid w:val="002C6E3E"/>
    <w:rsid w:val="002C6EBD"/>
    <w:rsid w:val="002C6F16"/>
    <w:rsid w:val="002C7090"/>
    <w:rsid w:val="002C7248"/>
    <w:rsid w:val="002C7454"/>
    <w:rsid w:val="002C74C5"/>
    <w:rsid w:val="002C7540"/>
    <w:rsid w:val="002C755F"/>
    <w:rsid w:val="002C7604"/>
    <w:rsid w:val="002C7664"/>
    <w:rsid w:val="002C7A81"/>
    <w:rsid w:val="002C7CFD"/>
    <w:rsid w:val="002C7E11"/>
    <w:rsid w:val="002C7E68"/>
    <w:rsid w:val="002C7ECA"/>
    <w:rsid w:val="002D001D"/>
    <w:rsid w:val="002D0034"/>
    <w:rsid w:val="002D0154"/>
    <w:rsid w:val="002D02C3"/>
    <w:rsid w:val="002D032E"/>
    <w:rsid w:val="002D03FF"/>
    <w:rsid w:val="002D04C9"/>
    <w:rsid w:val="002D0519"/>
    <w:rsid w:val="002D069A"/>
    <w:rsid w:val="002D077F"/>
    <w:rsid w:val="002D0AC1"/>
    <w:rsid w:val="002D0BF0"/>
    <w:rsid w:val="002D0D4F"/>
    <w:rsid w:val="002D11D3"/>
    <w:rsid w:val="002D1201"/>
    <w:rsid w:val="002D1236"/>
    <w:rsid w:val="002D12EF"/>
    <w:rsid w:val="002D1345"/>
    <w:rsid w:val="002D137C"/>
    <w:rsid w:val="002D163A"/>
    <w:rsid w:val="002D170A"/>
    <w:rsid w:val="002D178F"/>
    <w:rsid w:val="002D1952"/>
    <w:rsid w:val="002D19FB"/>
    <w:rsid w:val="002D1A8D"/>
    <w:rsid w:val="002D1AC9"/>
    <w:rsid w:val="002D1B03"/>
    <w:rsid w:val="002D1C78"/>
    <w:rsid w:val="002D1DC1"/>
    <w:rsid w:val="002D2026"/>
    <w:rsid w:val="002D212C"/>
    <w:rsid w:val="002D263B"/>
    <w:rsid w:val="002D273B"/>
    <w:rsid w:val="002D2902"/>
    <w:rsid w:val="002D2AD2"/>
    <w:rsid w:val="002D2AE8"/>
    <w:rsid w:val="002D2C43"/>
    <w:rsid w:val="002D2D4C"/>
    <w:rsid w:val="002D2D5F"/>
    <w:rsid w:val="002D2E1E"/>
    <w:rsid w:val="002D2E49"/>
    <w:rsid w:val="002D2F17"/>
    <w:rsid w:val="002D30CC"/>
    <w:rsid w:val="002D31E4"/>
    <w:rsid w:val="002D34E6"/>
    <w:rsid w:val="002D38F6"/>
    <w:rsid w:val="002D3922"/>
    <w:rsid w:val="002D3929"/>
    <w:rsid w:val="002D395A"/>
    <w:rsid w:val="002D3E44"/>
    <w:rsid w:val="002D3EBE"/>
    <w:rsid w:val="002D3EDE"/>
    <w:rsid w:val="002D4044"/>
    <w:rsid w:val="002D408A"/>
    <w:rsid w:val="002D4172"/>
    <w:rsid w:val="002D431A"/>
    <w:rsid w:val="002D43E7"/>
    <w:rsid w:val="002D4607"/>
    <w:rsid w:val="002D460E"/>
    <w:rsid w:val="002D467C"/>
    <w:rsid w:val="002D468C"/>
    <w:rsid w:val="002D46F1"/>
    <w:rsid w:val="002D4772"/>
    <w:rsid w:val="002D478F"/>
    <w:rsid w:val="002D4835"/>
    <w:rsid w:val="002D4A49"/>
    <w:rsid w:val="002D4AC1"/>
    <w:rsid w:val="002D4AE6"/>
    <w:rsid w:val="002D4B1C"/>
    <w:rsid w:val="002D4BC6"/>
    <w:rsid w:val="002D4D3B"/>
    <w:rsid w:val="002D4D82"/>
    <w:rsid w:val="002D4E03"/>
    <w:rsid w:val="002D4F65"/>
    <w:rsid w:val="002D50BF"/>
    <w:rsid w:val="002D510F"/>
    <w:rsid w:val="002D53DD"/>
    <w:rsid w:val="002D5454"/>
    <w:rsid w:val="002D5545"/>
    <w:rsid w:val="002D559C"/>
    <w:rsid w:val="002D5663"/>
    <w:rsid w:val="002D570F"/>
    <w:rsid w:val="002D58BC"/>
    <w:rsid w:val="002D5AA8"/>
    <w:rsid w:val="002D5AE9"/>
    <w:rsid w:val="002D5BF6"/>
    <w:rsid w:val="002D5D4F"/>
    <w:rsid w:val="002D5D6D"/>
    <w:rsid w:val="002D5EA3"/>
    <w:rsid w:val="002D5EC2"/>
    <w:rsid w:val="002D5FEC"/>
    <w:rsid w:val="002D609A"/>
    <w:rsid w:val="002D619F"/>
    <w:rsid w:val="002D6250"/>
    <w:rsid w:val="002D62F4"/>
    <w:rsid w:val="002D62FB"/>
    <w:rsid w:val="002D6348"/>
    <w:rsid w:val="002D639C"/>
    <w:rsid w:val="002D659C"/>
    <w:rsid w:val="002D65AC"/>
    <w:rsid w:val="002D65FC"/>
    <w:rsid w:val="002D6733"/>
    <w:rsid w:val="002D6882"/>
    <w:rsid w:val="002D68BC"/>
    <w:rsid w:val="002D68CF"/>
    <w:rsid w:val="002D68F0"/>
    <w:rsid w:val="002D6929"/>
    <w:rsid w:val="002D6952"/>
    <w:rsid w:val="002D69BE"/>
    <w:rsid w:val="002D6A47"/>
    <w:rsid w:val="002D6A6A"/>
    <w:rsid w:val="002D6ADC"/>
    <w:rsid w:val="002D6AE3"/>
    <w:rsid w:val="002D6CB9"/>
    <w:rsid w:val="002D6E90"/>
    <w:rsid w:val="002D735C"/>
    <w:rsid w:val="002D743E"/>
    <w:rsid w:val="002D745E"/>
    <w:rsid w:val="002D7587"/>
    <w:rsid w:val="002D75F7"/>
    <w:rsid w:val="002D76AF"/>
    <w:rsid w:val="002D7767"/>
    <w:rsid w:val="002D784F"/>
    <w:rsid w:val="002D797C"/>
    <w:rsid w:val="002D7984"/>
    <w:rsid w:val="002D79CB"/>
    <w:rsid w:val="002D7AE5"/>
    <w:rsid w:val="002D7CE6"/>
    <w:rsid w:val="002D7D4C"/>
    <w:rsid w:val="002D7DF2"/>
    <w:rsid w:val="002D7F3E"/>
    <w:rsid w:val="002E0002"/>
    <w:rsid w:val="002E00C2"/>
    <w:rsid w:val="002E0261"/>
    <w:rsid w:val="002E03E6"/>
    <w:rsid w:val="002E04E3"/>
    <w:rsid w:val="002E04EC"/>
    <w:rsid w:val="002E057B"/>
    <w:rsid w:val="002E059D"/>
    <w:rsid w:val="002E07E0"/>
    <w:rsid w:val="002E0A7A"/>
    <w:rsid w:val="002E0C52"/>
    <w:rsid w:val="002E0CE4"/>
    <w:rsid w:val="002E0D8B"/>
    <w:rsid w:val="002E1048"/>
    <w:rsid w:val="002E120E"/>
    <w:rsid w:val="002E1233"/>
    <w:rsid w:val="002E12A5"/>
    <w:rsid w:val="002E135B"/>
    <w:rsid w:val="002E1408"/>
    <w:rsid w:val="002E162B"/>
    <w:rsid w:val="002E16BE"/>
    <w:rsid w:val="002E16C0"/>
    <w:rsid w:val="002E1724"/>
    <w:rsid w:val="002E1776"/>
    <w:rsid w:val="002E17FC"/>
    <w:rsid w:val="002E181B"/>
    <w:rsid w:val="002E18C1"/>
    <w:rsid w:val="002E1905"/>
    <w:rsid w:val="002E1944"/>
    <w:rsid w:val="002E1B3C"/>
    <w:rsid w:val="002E1BCC"/>
    <w:rsid w:val="002E1C69"/>
    <w:rsid w:val="002E1D10"/>
    <w:rsid w:val="002E1D5E"/>
    <w:rsid w:val="002E1DE2"/>
    <w:rsid w:val="002E2025"/>
    <w:rsid w:val="002E21B5"/>
    <w:rsid w:val="002E23BC"/>
    <w:rsid w:val="002E24D2"/>
    <w:rsid w:val="002E26B0"/>
    <w:rsid w:val="002E26D4"/>
    <w:rsid w:val="002E2A88"/>
    <w:rsid w:val="002E2D6D"/>
    <w:rsid w:val="002E2E7B"/>
    <w:rsid w:val="002E2F15"/>
    <w:rsid w:val="002E2F81"/>
    <w:rsid w:val="002E305D"/>
    <w:rsid w:val="002E318C"/>
    <w:rsid w:val="002E32D5"/>
    <w:rsid w:val="002E32E3"/>
    <w:rsid w:val="002E3429"/>
    <w:rsid w:val="002E34FF"/>
    <w:rsid w:val="002E362D"/>
    <w:rsid w:val="002E37C6"/>
    <w:rsid w:val="002E37FE"/>
    <w:rsid w:val="002E3809"/>
    <w:rsid w:val="002E38AC"/>
    <w:rsid w:val="002E399D"/>
    <w:rsid w:val="002E3B76"/>
    <w:rsid w:val="002E3C9E"/>
    <w:rsid w:val="002E3C9F"/>
    <w:rsid w:val="002E3D94"/>
    <w:rsid w:val="002E3FB3"/>
    <w:rsid w:val="002E40AE"/>
    <w:rsid w:val="002E40BD"/>
    <w:rsid w:val="002E41D4"/>
    <w:rsid w:val="002E4221"/>
    <w:rsid w:val="002E42A2"/>
    <w:rsid w:val="002E4385"/>
    <w:rsid w:val="002E442B"/>
    <w:rsid w:val="002E4514"/>
    <w:rsid w:val="002E4579"/>
    <w:rsid w:val="002E47D0"/>
    <w:rsid w:val="002E486A"/>
    <w:rsid w:val="002E4B14"/>
    <w:rsid w:val="002E4B4E"/>
    <w:rsid w:val="002E4B88"/>
    <w:rsid w:val="002E4D90"/>
    <w:rsid w:val="002E4DEA"/>
    <w:rsid w:val="002E4E1D"/>
    <w:rsid w:val="002E4FBA"/>
    <w:rsid w:val="002E4FC0"/>
    <w:rsid w:val="002E5056"/>
    <w:rsid w:val="002E51D0"/>
    <w:rsid w:val="002E525E"/>
    <w:rsid w:val="002E5398"/>
    <w:rsid w:val="002E53B2"/>
    <w:rsid w:val="002E544B"/>
    <w:rsid w:val="002E54E8"/>
    <w:rsid w:val="002E5507"/>
    <w:rsid w:val="002E5685"/>
    <w:rsid w:val="002E5688"/>
    <w:rsid w:val="002E569B"/>
    <w:rsid w:val="002E5960"/>
    <w:rsid w:val="002E5A53"/>
    <w:rsid w:val="002E5C2E"/>
    <w:rsid w:val="002E5C68"/>
    <w:rsid w:val="002E5CB5"/>
    <w:rsid w:val="002E5EFB"/>
    <w:rsid w:val="002E5F01"/>
    <w:rsid w:val="002E5F37"/>
    <w:rsid w:val="002E5FBA"/>
    <w:rsid w:val="002E5FE3"/>
    <w:rsid w:val="002E5FE6"/>
    <w:rsid w:val="002E61F6"/>
    <w:rsid w:val="002E6583"/>
    <w:rsid w:val="002E6599"/>
    <w:rsid w:val="002E66B3"/>
    <w:rsid w:val="002E66CE"/>
    <w:rsid w:val="002E66ED"/>
    <w:rsid w:val="002E697C"/>
    <w:rsid w:val="002E6A9A"/>
    <w:rsid w:val="002E6AAC"/>
    <w:rsid w:val="002E6AB9"/>
    <w:rsid w:val="002E6B71"/>
    <w:rsid w:val="002E6C13"/>
    <w:rsid w:val="002E6CB9"/>
    <w:rsid w:val="002E6DB6"/>
    <w:rsid w:val="002E6DCA"/>
    <w:rsid w:val="002E6F68"/>
    <w:rsid w:val="002E739E"/>
    <w:rsid w:val="002E73DD"/>
    <w:rsid w:val="002E74F8"/>
    <w:rsid w:val="002E76F8"/>
    <w:rsid w:val="002E77A5"/>
    <w:rsid w:val="002E77BA"/>
    <w:rsid w:val="002E7A7C"/>
    <w:rsid w:val="002E7B28"/>
    <w:rsid w:val="002E7B33"/>
    <w:rsid w:val="002E7C93"/>
    <w:rsid w:val="002E7D29"/>
    <w:rsid w:val="002E7E39"/>
    <w:rsid w:val="002E7F4E"/>
    <w:rsid w:val="002E7F75"/>
    <w:rsid w:val="002F019D"/>
    <w:rsid w:val="002F01E0"/>
    <w:rsid w:val="002F022C"/>
    <w:rsid w:val="002F028F"/>
    <w:rsid w:val="002F03CB"/>
    <w:rsid w:val="002F03CC"/>
    <w:rsid w:val="002F049C"/>
    <w:rsid w:val="002F059D"/>
    <w:rsid w:val="002F05A7"/>
    <w:rsid w:val="002F05DF"/>
    <w:rsid w:val="002F0694"/>
    <w:rsid w:val="002F06E9"/>
    <w:rsid w:val="002F0885"/>
    <w:rsid w:val="002F094B"/>
    <w:rsid w:val="002F09C8"/>
    <w:rsid w:val="002F0C6B"/>
    <w:rsid w:val="002F0CD7"/>
    <w:rsid w:val="002F0E35"/>
    <w:rsid w:val="002F0EFA"/>
    <w:rsid w:val="002F0F9A"/>
    <w:rsid w:val="002F0FEA"/>
    <w:rsid w:val="002F10A7"/>
    <w:rsid w:val="002F12AD"/>
    <w:rsid w:val="002F12FE"/>
    <w:rsid w:val="002F1384"/>
    <w:rsid w:val="002F13B5"/>
    <w:rsid w:val="002F13C8"/>
    <w:rsid w:val="002F14FB"/>
    <w:rsid w:val="002F164A"/>
    <w:rsid w:val="002F1A0B"/>
    <w:rsid w:val="002F1AC1"/>
    <w:rsid w:val="002F1AF0"/>
    <w:rsid w:val="002F1B32"/>
    <w:rsid w:val="002F1D78"/>
    <w:rsid w:val="002F1DA1"/>
    <w:rsid w:val="002F1F04"/>
    <w:rsid w:val="002F1FD0"/>
    <w:rsid w:val="002F225E"/>
    <w:rsid w:val="002F2267"/>
    <w:rsid w:val="002F2431"/>
    <w:rsid w:val="002F24F8"/>
    <w:rsid w:val="002F250B"/>
    <w:rsid w:val="002F2602"/>
    <w:rsid w:val="002F26C4"/>
    <w:rsid w:val="002F2901"/>
    <w:rsid w:val="002F2973"/>
    <w:rsid w:val="002F2984"/>
    <w:rsid w:val="002F2A49"/>
    <w:rsid w:val="002F2A60"/>
    <w:rsid w:val="002F2B16"/>
    <w:rsid w:val="002F2D15"/>
    <w:rsid w:val="002F2E71"/>
    <w:rsid w:val="002F2F4D"/>
    <w:rsid w:val="002F31F7"/>
    <w:rsid w:val="002F33D0"/>
    <w:rsid w:val="002F3689"/>
    <w:rsid w:val="002F36B9"/>
    <w:rsid w:val="002F36F9"/>
    <w:rsid w:val="002F371E"/>
    <w:rsid w:val="002F3E5B"/>
    <w:rsid w:val="002F3E92"/>
    <w:rsid w:val="002F3F81"/>
    <w:rsid w:val="002F41BB"/>
    <w:rsid w:val="002F4234"/>
    <w:rsid w:val="002F42EF"/>
    <w:rsid w:val="002F43D9"/>
    <w:rsid w:val="002F45D5"/>
    <w:rsid w:val="002F4651"/>
    <w:rsid w:val="002F46BB"/>
    <w:rsid w:val="002F46BE"/>
    <w:rsid w:val="002F4764"/>
    <w:rsid w:val="002F483C"/>
    <w:rsid w:val="002F4859"/>
    <w:rsid w:val="002F491C"/>
    <w:rsid w:val="002F4981"/>
    <w:rsid w:val="002F4A2F"/>
    <w:rsid w:val="002F4A5F"/>
    <w:rsid w:val="002F4BE7"/>
    <w:rsid w:val="002F4E49"/>
    <w:rsid w:val="002F4E58"/>
    <w:rsid w:val="002F4E8C"/>
    <w:rsid w:val="002F4F3A"/>
    <w:rsid w:val="002F4F62"/>
    <w:rsid w:val="002F4FC7"/>
    <w:rsid w:val="002F50C5"/>
    <w:rsid w:val="002F51FB"/>
    <w:rsid w:val="002F535E"/>
    <w:rsid w:val="002F57C9"/>
    <w:rsid w:val="002F5959"/>
    <w:rsid w:val="002F5A33"/>
    <w:rsid w:val="002F5A43"/>
    <w:rsid w:val="002F5A74"/>
    <w:rsid w:val="002F5B0B"/>
    <w:rsid w:val="002F5CD5"/>
    <w:rsid w:val="002F5D0D"/>
    <w:rsid w:val="002F5D6D"/>
    <w:rsid w:val="002F5D8E"/>
    <w:rsid w:val="002F5DAC"/>
    <w:rsid w:val="002F6060"/>
    <w:rsid w:val="002F6117"/>
    <w:rsid w:val="002F6432"/>
    <w:rsid w:val="002F66AC"/>
    <w:rsid w:val="002F68CD"/>
    <w:rsid w:val="002F6A3B"/>
    <w:rsid w:val="002F6BE7"/>
    <w:rsid w:val="002F6CE8"/>
    <w:rsid w:val="002F6D1D"/>
    <w:rsid w:val="002F6D61"/>
    <w:rsid w:val="002F6E04"/>
    <w:rsid w:val="002F6E49"/>
    <w:rsid w:val="002F6EB0"/>
    <w:rsid w:val="002F702F"/>
    <w:rsid w:val="002F7076"/>
    <w:rsid w:val="002F70B1"/>
    <w:rsid w:val="002F7159"/>
    <w:rsid w:val="002F73E7"/>
    <w:rsid w:val="002F7626"/>
    <w:rsid w:val="002F780D"/>
    <w:rsid w:val="002F7843"/>
    <w:rsid w:val="002F7941"/>
    <w:rsid w:val="002F7A3E"/>
    <w:rsid w:val="002F7A87"/>
    <w:rsid w:val="002F7B34"/>
    <w:rsid w:val="0030008A"/>
    <w:rsid w:val="003000BD"/>
    <w:rsid w:val="00300143"/>
    <w:rsid w:val="00300247"/>
    <w:rsid w:val="0030031A"/>
    <w:rsid w:val="00300397"/>
    <w:rsid w:val="003003FD"/>
    <w:rsid w:val="00300432"/>
    <w:rsid w:val="0030088B"/>
    <w:rsid w:val="00300A08"/>
    <w:rsid w:val="00300AC7"/>
    <w:rsid w:val="00300D68"/>
    <w:rsid w:val="00300FE4"/>
    <w:rsid w:val="00301272"/>
    <w:rsid w:val="0030148D"/>
    <w:rsid w:val="0030155E"/>
    <w:rsid w:val="00301647"/>
    <w:rsid w:val="0030176A"/>
    <w:rsid w:val="0030188C"/>
    <w:rsid w:val="00301A0F"/>
    <w:rsid w:val="00301AC6"/>
    <w:rsid w:val="00301AEB"/>
    <w:rsid w:val="00301C07"/>
    <w:rsid w:val="00301CDE"/>
    <w:rsid w:val="00301DB0"/>
    <w:rsid w:val="0030203F"/>
    <w:rsid w:val="003020BE"/>
    <w:rsid w:val="003021BB"/>
    <w:rsid w:val="003022C1"/>
    <w:rsid w:val="003024F3"/>
    <w:rsid w:val="00302529"/>
    <w:rsid w:val="00302530"/>
    <w:rsid w:val="00302589"/>
    <w:rsid w:val="00302621"/>
    <w:rsid w:val="003026EB"/>
    <w:rsid w:val="00302762"/>
    <w:rsid w:val="00302AD0"/>
    <w:rsid w:val="00302BD5"/>
    <w:rsid w:val="00302C91"/>
    <w:rsid w:val="00302CE8"/>
    <w:rsid w:val="00302E64"/>
    <w:rsid w:val="00302E72"/>
    <w:rsid w:val="00303125"/>
    <w:rsid w:val="00303135"/>
    <w:rsid w:val="003033AC"/>
    <w:rsid w:val="0030343F"/>
    <w:rsid w:val="003037AB"/>
    <w:rsid w:val="003037B9"/>
    <w:rsid w:val="003037EB"/>
    <w:rsid w:val="003038D7"/>
    <w:rsid w:val="0030396D"/>
    <w:rsid w:val="00303978"/>
    <w:rsid w:val="003039DE"/>
    <w:rsid w:val="00303A9A"/>
    <w:rsid w:val="00303B1E"/>
    <w:rsid w:val="00303BBF"/>
    <w:rsid w:val="00303CB2"/>
    <w:rsid w:val="00304196"/>
    <w:rsid w:val="003041A3"/>
    <w:rsid w:val="003041BB"/>
    <w:rsid w:val="00304331"/>
    <w:rsid w:val="0030435B"/>
    <w:rsid w:val="0030470A"/>
    <w:rsid w:val="00304796"/>
    <w:rsid w:val="00304866"/>
    <w:rsid w:val="00304BBA"/>
    <w:rsid w:val="00304DFA"/>
    <w:rsid w:val="00305365"/>
    <w:rsid w:val="003053B6"/>
    <w:rsid w:val="003053F7"/>
    <w:rsid w:val="00305511"/>
    <w:rsid w:val="00305710"/>
    <w:rsid w:val="00305784"/>
    <w:rsid w:val="00305A3A"/>
    <w:rsid w:val="00305B48"/>
    <w:rsid w:val="00305B49"/>
    <w:rsid w:val="00305C25"/>
    <w:rsid w:val="00305D49"/>
    <w:rsid w:val="00305D4B"/>
    <w:rsid w:val="00305EDA"/>
    <w:rsid w:val="00306005"/>
    <w:rsid w:val="003061E3"/>
    <w:rsid w:val="003062D3"/>
    <w:rsid w:val="00306611"/>
    <w:rsid w:val="00306702"/>
    <w:rsid w:val="0030671D"/>
    <w:rsid w:val="0030671E"/>
    <w:rsid w:val="00306756"/>
    <w:rsid w:val="003067C2"/>
    <w:rsid w:val="003067E7"/>
    <w:rsid w:val="003068AB"/>
    <w:rsid w:val="00306A52"/>
    <w:rsid w:val="00306A68"/>
    <w:rsid w:val="00306A88"/>
    <w:rsid w:val="00306ADC"/>
    <w:rsid w:val="00306B1C"/>
    <w:rsid w:val="00306B1E"/>
    <w:rsid w:val="00306BAC"/>
    <w:rsid w:val="00306BB2"/>
    <w:rsid w:val="00306C80"/>
    <w:rsid w:val="00306D7D"/>
    <w:rsid w:val="00306E8D"/>
    <w:rsid w:val="00306EC4"/>
    <w:rsid w:val="00306EDB"/>
    <w:rsid w:val="00306FBA"/>
    <w:rsid w:val="00306FD8"/>
    <w:rsid w:val="0030726C"/>
    <w:rsid w:val="003072F6"/>
    <w:rsid w:val="00307574"/>
    <w:rsid w:val="003075CE"/>
    <w:rsid w:val="00307781"/>
    <w:rsid w:val="003077D8"/>
    <w:rsid w:val="00307C57"/>
    <w:rsid w:val="00310377"/>
    <w:rsid w:val="003104A8"/>
    <w:rsid w:val="0031069A"/>
    <w:rsid w:val="003106C4"/>
    <w:rsid w:val="00310763"/>
    <w:rsid w:val="00310845"/>
    <w:rsid w:val="00310851"/>
    <w:rsid w:val="00310926"/>
    <w:rsid w:val="003109AF"/>
    <w:rsid w:val="00310A53"/>
    <w:rsid w:val="00310B10"/>
    <w:rsid w:val="00310C10"/>
    <w:rsid w:val="00310C4C"/>
    <w:rsid w:val="00310C69"/>
    <w:rsid w:val="00310D51"/>
    <w:rsid w:val="00310F82"/>
    <w:rsid w:val="003110E8"/>
    <w:rsid w:val="003111BA"/>
    <w:rsid w:val="00311267"/>
    <w:rsid w:val="0031126B"/>
    <w:rsid w:val="003113D0"/>
    <w:rsid w:val="003113D6"/>
    <w:rsid w:val="00311578"/>
    <w:rsid w:val="003115E7"/>
    <w:rsid w:val="003116E8"/>
    <w:rsid w:val="00311714"/>
    <w:rsid w:val="003117CF"/>
    <w:rsid w:val="00311A5F"/>
    <w:rsid w:val="00311D2E"/>
    <w:rsid w:val="00311D62"/>
    <w:rsid w:val="00311E92"/>
    <w:rsid w:val="00311EE1"/>
    <w:rsid w:val="00311EFB"/>
    <w:rsid w:val="00312072"/>
    <w:rsid w:val="003121F0"/>
    <w:rsid w:val="00312208"/>
    <w:rsid w:val="00312409"/>
    <w:rsid w:val="0031242F"/>
    <w:rsid w:val="0031244A"/>
    <w:rsid w:val="00312641"/>
    <w:rsid w:val="003126BB"/>
    <w:rsid w:val="0031290E"/>
    <w:rsid w:val="0031295C"/>
    <w:rsid w:val="00312B65"/>
    <w:rsid w:val="00312CD1"/>
    <w:rsid w:val="00312E10"/>
    <w:rsid w:val="00312EB2"/>
    <w:rsid w:val="00312F62"/>
    <w:rsid w:val="00312FB5"/>
    <w:rsid w:val="0031303F"/>
    <w:rsid w:val="003133D1"/>
    <w:rsid w:val="00313611"/>
    <w:rsid w:val="00313663"/>
    <w:rsid w:val="00313673"/>
    <w:rsid w:val="003138C4"/>
    <w:rsid w:val="00313918"/>
    <w:rsid w:val="00313A62"/>
    <w:rsid w:val="00313AD0"/>
    <w:rsid w:val="00313BFF"/>
    <w:rsid w:val="00313D03"/>
    <w:rsid w:val="00313E0A"/>
    <w:rsid w:val="00313E4A"/>
    <w:rsid w:val="00313ECD"/>
    <w:rsid w:val="00314034"/>
    <w:rsid w:val="00314065"/>
    <w:rsid w:val="00314239"/>
    <w:rsid w:val="00314479"/>
    <w:rsid w:val="0031451C"/>
    <w:rsid w:val="00314521"/>
    <w:rsid w:val="0031454D"/>
    <w:rsid w:val="00314648"/>
    <w:rsid w:val="0031474A"/>
    <w:rsid w:val="003147BA"/>
    <w:rsid w:val="003147CA"/>
    <w:rsid w:val="003149F0"/>
    <w:rsid w:val="00314A1E"/>
    <w:rsid w:val="00314BC0"/>
    <w:rsid w:val="00314D53"/>
    <w:rsid w:val="00314E6B"/>
    <w:rsid w:val="00314F74"/>
    <w:rsid w:val="00314FC6"/>
    <w:rsid w:val="0031502B"/>
    <w:rsid w:val="0031516F"/>
    <w:rsid w:val="0031524E"/>
    <w:rsid w:val="00315295"/>
    <w:rsid w:val="0031536A"/>
    <w:rsid w:val="00315575"/>
    <w:rsid w:val="003155D5"/>
    <w:rsid w:val="003157F4"/>
    <w:rsid w:val="0031588F"/>
    <w:rsid w:val="003158F6"/>
    <w:rsid w:val="00315BB6"/>
    <w:rsid w:val="00315CA5"/>
    <w:rsid w:val="00315DE5"/>
    <w:rsid w:val="0031606A"/>
    <w:rsid w:val="003160B1"/>
    <w:rsid w:val="0031614C"/>
    <w:rsid w:val="003162A2"/>
    <w:rsid w:val="003163DA"/>
    <w:rsid w:val="003165CF"/>
    <w:rsid w:val="003165DD"/>
    <w:rsid w:val="00316645"/>
    <w:rsid w:val="003166CB"/>
    <w:rsid w:val="003169AB"/>
    <w:rsid w:val="00316AA7"/>
    <w:rsid w:val="00316AD5"/>
    <w:rsid w:val="00316B5E"/>
    <w:rsid w:val="00316BA3"/>
    <w:rsid w:val="00316D80"/>
    <w:rsid w:val="003171FA"/>
    <w:rsid w:val="003172BB"/>
    <w:rsid w:val="0031740D"/>
    <w:rsid w:val="00317492"/>
    <w:rsid w:val="003174B9"/>
    <w:rsid w:val="0031779B"/>
    <w:rsid w:val="0031781C"/>
    <w:rsid w:val="003178AC"/>
    <w:rsid w:val="00317C83"/>
    <w:rsid w:val="00317CA1"/>
    <w:rsid w:val="00317CE0"/>
    <w:rsid w:val="00317D29"/>
    <w:rsid w:val="00317E0B"/>
    <w:rsid w:val="00317F01"/>
    <w:rsid w:val="003200E4"/>
    <w:rsid w:val="00320297"/>
    <w:rsid w:val="003205B5"/>
    <w:rsid w:val="003206C0"/>
    <w:rsid w:val="0032071B"/>
    <w:rsid w:val="00320A0D"/>
    <w:rsid w:val="00320A15"/>
    <w:rsid w:val="00320B5E"/>
    <w:rsid w:val="00320C96"/>
    <w:rsid w:val="00320D98"/>
    <w:rsid w:val="00320E4E"/>
    <w:rsid w:val="003210E8"/>
    <w:rsid w:val="00321148"/>
    <w:rsid w:val="0032119C"/>
    <w:rsid w:val="0032120B"/>
    <w:rsid w:val="00321215"/>
    <w:rsid w:val="00321404"/>
    <w:rsid w:val="00321433"/>
    <w:rsid w:val="00321532"/>
    <w:rsid w:val="0032179C"/>
    <w:rsid w:val="003221C4"/>
    <w:rsid w:val="0032238F"/>
    <w:rsid w:val="00322622"/>
    <w:rsid w:val="003229F8"/>
    <w:rsid w:val="00322A1D"/>
    <w:rsid w:val="00322A2D"/>
    <w:rsid w:val="00322CE3"/>
    <w:rsid w:val="00322DBD"/>
    <w:rsid w:val="0032301E"/>
    <w:rsid w:val="00323231"/>
    <w:rsid w:val="003232B1"/>
    <w:rsid w:val="003232EA"/>
    <w:rsid w:val="00323667"/>
    <w:rsid w:val="0032385B"/>
    <w:rsid w:val="003238ED"/>
    <w:rsid w:val="00323B29"/>
    <w:rsid w:val="00323B45"/>
    <w:rsid w:val="00323C3A"/>
    <w:rsid w:val="00323CC7"/>
    <w:rsid w:val="00323E04"/>
    <w:rsid w:val="00323EA3"/>
    <w:rsid w:val="0032401D"/>
    <w:rsid w:val="003240AC"/>
    <w:rsid w:val="003240EB"/>
    <w:rsid w:val="003242F8"/>
    <w:rsid w:val="00324388"/>
    <w:rsid w:val="003246A2"/>
    <w:rsid w:val="003246E3"/>
    <w:rsid w:val="003248E2"/>
    <w:rsid w:val="00324955"/>
    <w:rsid w:val="00324996"/>
    <w:rsid w:val="003249A3"/>
    <w:rsid w:val="00324B50"/>
    <w:rsid w:val="00324B63"/>
    <w:rsid w:val="00324B8D"/>
    <w:rsid w:val="00324C96"/>
    <w:rsid w:val="00324CF2"/>
    <w:rsid w:val="00324DD6"/>
    <w:rsid w:val="00324E0F"/>
    <w:rsid w:val="00324E19"/>
    <w:rsid w:val="003251CA"/>
    <w:rsid w:val="0032526C"/>
    <w:rsid w:val="003252F7"/>
    <w:rsid w:val="00325361"/>
    <w:rsid w:val="003253D3"/>
    <w:rsid w:val="003255C8"/>
    <w:rsid w:val="00325639"/>
    <w:rsid w:val="003259BD"/>
    <w:rsid w:val="003259DB"/>
    <w:rsid w:val="00325B50"/>
    <w:rsid w:val="00325C7B"/>
    <w:rsid w:val="00325CCD"/>
    <w:rsid w:val="00325D37"/>
    <w:rsid w:val="00325E7B"/>
    <w:rsid w:val="00325EF8"/>
    <w:rsid w:val="00326052"/>
    <w:rsid w:val="00326055"/>
    <w:rsid w:val="00326100"/>
    <w:rsid w:val="00326106"/>
    <w:rsid w:val="0032616B"/>
    <w:rsid w:val="00326407"/>
    <w:rsid w:val="003264CD"/>
    <w:rsid w:val="003265A7"/>
    <w:rsid w:val="003265D4"/>
    <w:rsid w:val="003267D9"/>
    <w:rsid w:val="003268B7"/>
    <w:rsid w:val="0032694A"/>
    <w:rsid w:val="00326A29"/>
    <w:rsid w:val="00326AD5"/>
    <w:rsid w:val="00326B4E"/>
    <w:rsid w:val="00326B70"/>
    <w:rsid w:val="00326C4D"/>
    <w:rsid w:val="00326CD0"/>
    <w:rsid w:val="00326DEE"/>
    <w:rsid w:val="00326ED4"/>
    <w:rsid w:val="00326F25"/>
    <w:rsid w:val="00326F8A"/>
    <w:rsid w:val="003271B4"/>
    <w:rsid w:val="0032737C"/>
    <w:rsid w:val="00327469"/>
    <w:rsid w:val="003274B9"/>
    <w:rsid w:val="0032755E"/>
    <w:rsid w:val="003275BD"/>
    <w:rsid w:val="00327919"/>
    <w:rsid w:val="00327B44"/>
    <w:rsid w:val="00327B5D"/>
    <w:rsid w:val="00327BE8"/>
    <w:rsid w:val="00327C44"/>
    <w:rsid w:val="00327C70"/>
    <w:rsid w:val="00327CEE"/>
    <w:rsid w:val="00327D36"/>
    <w:rsid w:val="00327D5A"/>
    <w:rsid w:val="00327E4E"/>
    <w:rsid w:val="00327F00"/>
    <w:rsid w:val="003300DA"/>
    <w:rsid w:val="003301BC"/>
    <w:rsid w:val="00330246"/>
    <w:rsid w:val="00330258"/>
    <w:rsid w:val="00330283"/>
    <w:rsid w:val="003303EF"/>
    <w:rsid w:val="00330650"/>
    <w:rsid w:val="0033069F"/>
    <w:rsid w:val="00330A22"/>
    <w:rsid w:val="00330AD6"/>
    <w:rsid w:val="00330F29"/>
    <w:rsid w:val="00330F50"/>
    <w:rsid w:val="00330FA2"/>
    <w:rsid w:val="00330FD6"/>
    <w:rsid w:val="00331055"/>
    <w:rsid w:val="00331139"/>
    <w:rsid w:val="003311FA"/>
    <w:rsid w:val="00331346"/>
    <w:rsid w:val="003317B4"/>
    <w:rsid w:val="00331A3A"/>
    <w:rsid w:val="00331A61"/>
    <w:rsid w:val="00331B1D"/>
    <w:rsid w:val="00331C0D"/>
    <w:rsid w:val="00331C2D"/>
    <w:rsid w:val="00331C7A"/>
    <w:rsid w:val="00331D50"/>
    <w:rsid w:val="00331FB4"/>
    <w:rsid w:val="00332032"/>
    <w:rsid w:val="00332089"/>
    <w:rsid w:val="003322F8"/>
    <w:rsid w:val="003322FF"/>
    <w:rsid w:val="00332346"/>
    <w:rsid w:val="00332835"/>
    <w:rsid w:val="00332842"/>
    <w:rsid w:val="003329C9"/>
    <w:rsid w:val="00332A44"/>
    <w:rsid w:val="00332AAB"/>
    <w:rsid w:val="00332B90"/>
    <w:rsid w:val="00332BB2"/>
    <w:rsid w:val="00332C1C"/>
    <w:rsid w:val="00332D93"/>
    <w:rsid w:val="003330F1"/>
    <w:rsid w:val="00333138"/>
    <w:rsid w:val="00333237"/>
    <w:rsid w:val="00333277"/>
    <w:rsid w:val="0033344A"/>
    <w:rsid w:val="00333A0E"/>
    <w:rsid w:val="00333A6A"/>
    <w:rsid w:val="00333B7A"/>
    <w:rsid w:val="00333C7E"/>
    <w:rsid w:val="00333CFE"/>
    <w:rsid w:val="00333D0A"/>
    <w:rsid w:val="00334055"/>
    <w:rsid w:val="0033411F"/>
    <w:rsid w:val="003342C3"/>
    <w:rsid w:val="0033434D"/>
    <w:rsid w:val="003344EA"/>
    <w:rsid w:val="00334640"/>
    <w:rsid w:val="003347C3"/>
    <w:rsid w:val="00334804"/>
    <w:rsid w:val="0033493D"/>
    <w:rsid w:val="003349E9"/>
    <w:rsid w:val="00334B44"/>
    <w:rsid w:val="00334C13"/>
    <w:rsid w:val="00334C51"/>
    <w:rsid w:val="00334CF0"/>
    <w:rsid w:val="00334E6B"/>
    <w:rsid w:val="00334E9A"/>
    <w:rsid w:val="00335001"/>
    <w:rsid w:val="0033514F"/>
    <w:rsid w:val="003351B8"/>
    <w:rsid w:val="0033525C"/>
    <w:rsid w:val="003356FC"/>
    <w:rsid w:val="00335705"/>
    <w:rsid w:val="00335858"/>
    <w:rsid w:val="0033587D"/>
    <w:rsid w:val="00335AA0"/>
    <w:rsid w:val="00335B38"/>
    <w:rsid w:val="00335CF1"/>
    <w:rsid w:val="00335DA5"/>
    <w:rsid w:val="00335DD4"/>
    <w:rsid w:val="00335FA1"/>
    <w:rsid w:val="00335FF3"/>
    <w:rsid w:val="00336089"/>
    <w:rsid w:val="00336093"/>
    <w:rsid w:val="00336312"/>
    <w:rsid w:val="003363FF"/>
    <w:rsid w:val="00336633"/>
    <w:rsid w:val="003369EA"/>
    <w:rsid w:val="003369EF"/>
    <w:rsid w:val="00336AD7"/>
    <w:rsid w:val="00336B1B"/>
    <w:rsid w:val="00336CA8"/>
    <w:rsid w:val="00336D16"/>
    <w:rsid w:val="00336D2B"/>
    <w:rsid w:val="00336DA0"/>
    <w:rsid w:val="00336E4F"/>
    <w:rsid w:val="00336E9A"/>
    <w:rsid w:val="00336EE1"/>
    <w:rsid w:val="00336F28"/>
    <w:rsid w:val="00337077"/>
    <w:rsid w:val="003373F5"/>
    <w:rsid w:val="003374CA"/>
    <w:rsid w:val="00337641"/>
    <w:rsid w:val="0033774C"/>
    <w:rsid w:val="0033781E"/>
    <w:rsid w:val="00337971"/>
    <w:rsid w:val="00337A7A"/>
    <w:rsid w:val="00337A9D"/>
    <w:rsid w:val="00337C46"/>
    <w:rsid w:val="00337D4D"/>
    <w:rsid w:val="00337DA7"/>
    <w:rsid w:val="00337DFD"/>
    <w:rsid w:val="00337E5A"/>
    <w:rsid w:val="00337F3A"/>
    <w:rsid w:val="00337F9E"/>
    <w:rsid w:val="00340214"/>
    <w:rsid w:val="003402DE"/>
    <w:rsid w:val="00340341"/>
    <w:rsid w:val="0034047F"/>
    <w:rsid w:val="00340509"/>
    <w:rsid w:val="0034054D"/>
    <w:rsid w:val="0034057B"/>
    <w:rsid w:val="003405CC"/>
    <w:rsid w:val="0034067E"/>
    <w:rsid w:val="00340742"/>
    <w:rsid w:val="0034096F"/>
    <w:rsid w:val="00340BBB"/>
    <w:rsid w:val="00340BD1"/>
    <w:rsid w:val="00340C51"/>
    <w:rsid w:val="00340E03"/>
    <w:rsid w:val="00340E2B"/>
    <w:rsid w:val="00340E55"/>
    <w:rsid w:val="00340EC9"/>
    <w:rsid w:val="00340F01"/>
    <w:rsid w:val="00340FC1"/>
    <w:rsid w:val="00340FC2"/>
    <w:rsid w:val="0034135D"/>
    <w:rsid w:val="00341445"/>
    <w:rsid w:val="00341639"/>
    <w:rsid w:val="003416D4"/>
    <w:rsid w:val="0034178C"/>
    <w:rsid w:val="003419FF"/>
    <w:rsid w:val="00341A2E"/>
    <w:rsid w:val="00341AAB"/>
    <w:rsid w:val="00341C51"/>
    <w:rsid w:val="00341CEE"/>
    <w:rsid w:val="00341E4A"/>
    <w:rsid w:val="00341F2B"/>
    <w:rsid w:val="00341F76"/>
    <w:rsid w:val="0034201E"/>
    <w:rsid w:val="00342211"/>
    <w:rsid w:val="00342401"/>
    <w:rsid w:val="003424E7"/>
    <w:rsid w:val="00342513"/>
    <w:rsid w:val="0034276C"/>
    <w:rsid w:val="003427BA"/>
    <w:rsid w:val="0034282A"/>
    <w:rsid w:val="0034283C"/>
    <w:rsid w:val="003428A7"/>
    <w:rsid w:val="003428DE"/>
    <w:rsid w:val="003429D5"/>
    <w:rsid w:val="00342A76"/>
    <w:rsid w:val="00342B9C"/>
    <w:rsid w:val="00342BA3"/>
    <w:rsid w:val="00342E72"/>
    <w:rsid w:val="00343251"/>
    <w:rsid w:val="0034326C"/>
    <w:rsid w:val="003435C6"/>
    <w:rsid w:val="0034369A"/>
    <w:rsid w:val="00343705"/>
    <w:rsid w:val="00343868"/>
    <w:rsid w:val="00343908"/>
    <w:rsid w:val="003439AA"/>
    <w:rsid w:val="00343BE8"/>
    <w:rsid w:val="00343DF4"/>
    <w:rsid w:val="00343F00"/>
    <w:rsid w:val="00343F12"/>
    <w:rsid w:val="00343FBD"/>
    <w:rsid w:val="00344503"/>
    <w:rsid w:val="00344510"/>
    <w:rsid w:val="0034488C"/>
    <w:rsid w:val="003448CC"/>
    <w:rsid w:val="00344B53"/>
    <w:rsid w:val="00344BAE"/>
    <w:rsid w:val="00344C4B"/>
    <w:rsid w:val="00344CEC"/>
    <w:rsid w:val="00344F6D"/>
    <w:rsid w:val="00345062"/>
    <w:rsid w:val="00345069"/>
    <w:rsid w:val="003453C0"/>
    <w:rsid w:val="003454D8"/>
    <w:rsid w:val="003455A7"/>
    <w:rsid w:val="003457A2"/>
    <w:rsid w:val="003458AD"/>
    <w:rsid w:val="0034597D"/>
    <w:rsid w:val="00345BE0"/>
    <w:rsid w:val="00345D89"/>
    <w:rsid w:val="00345FF3"/>
    <w:rsid w:val="003460A8"/>
    <w:rsid w:val="0034625B"/>
    <w:rsid w:val="003463BE"/>
    <w:rsid w:val="00346435"/>
    <w:rsid w:val="00346459"/>
    <w:rsid w:val="00346731"/>
    <w:rsid w:val="003467E7"/>
    <w:rsid w:val="003468BF"/>
    <w:rsid w:val="00346AD7"/>
    <w:rsid w:val="00346B90"/>
    <w:rsid w:val="00346C1F"/>
    <w:rsid w:val="00346E62"/>
    <w:rsid w:val="00346FDA"/>
    <w:rsid w:val="003471D1"/>
    <w:rsid w:val="0034731A"/>
    <w:rsid w:val="00347333"/>
    <w:rsid w:val="00347367"/>
    <w:rsid w:val="003473EA"/>
    <w:rsid w:val="0034748A"/>
    <w:rsid w:val="00347781"/>
    <w:rsid w:val="00347982"/>
    <w:rsid w:val="003479F3"/>
    <w:rsid w:val="00347A55"/>
    <w:rsid w:val="00347D7F"/>
    <w:rsid w:val="00347DFC"/>
    <w:rsid w:val="00347E11"/>
    <w:rsid w:val="00347E89"/>
    <w:rsid w:val="0035000C"/>
    <w:rsid w:val="0035011B"/>
    <w:rsid w:val="00350262"/>
    <w:rsid w:val="003502A2"/>
    <w:rsid w:val="003502A4"/>
    <w:rsid w:val="003504A1"/>
    <w:rsid w:val="003504AF"/>
    <w:rsid w:val="003505DF"/>
    <w:rsid w:val="00350673"/>
    <w:rsid w:val="00350934"/>
    <w:rsid w:val="0035093D"/>
    <w:rsid w:val="00350B2B"/>
    <w:rsid w:val="00350BAE"/>
    <w:rsid w:val="00350C84"/>
    <w:rsid w:val="00350D74"/>
    <w:rsid w:val="00350DF0"/>
    <w:rsid w:val="00350FF2"/>
    <w:rsid w:val="00351073"/>
    <w:rsid w:val="00351171"/>
    <w:rsid w:val="003514E2"/>
    <w:rsid w:val="0035173B"/>
    <w:rsid w:val="00351A45"/>
    <w:rsid w:val="00351A91"/>
    <w:rsid w:val="00351D32"/>
    <w:rsid w:val="00351ED8"/>
    <w:rsid w:val="00351F07"/>
    <w:rsid w:val="0035202E"/>
    <w:rsid w:val="0035207A"/>
    <w:rsid w:val="00352100"/>
    <w:rsid w:val="00352284"/>
    <w:rsid w:val="0035228A"/>
    <w:rsid w:val="00352377"/>
    <w:rsid w:val="003527D0"/>
    <w:rsid w:val="003528B6"/>
    <w:rsid w:val="003529BF"/>
    <w:rsid w:val="003529E7"/>
    <w:rsid w:val="00352B15"/>
    <w:rsid w:val="00352BF0"/>
    <w:rsid w:val="00352CB9"/>
    <w:rsid w:val="00352CE0"/>
    <w:rsid w:val="00352D46"/>
    <w:rsid w:val="00352E29"/>
    <w:rsid w:val="00352EF2"/>
    <w:rsid w:val="00353155"/>
    <w:rsid w:val="0035326B"/>
    <w:rsid w:val="003532A1"/>
    <w:rsid w:val="00353549"/>
    <w:rsid w:val="003535F8"/>
    <w:rsid w:val="003536E7"/>
    <w:rsid w:val="00353912"/>
    <w:rsid w:val="00353965"/>
    <w:rsid w:val="00353989"/>
    <w:rsid w:val="00353B89"/>
    <w:rsid w:val="00353C26"/>
    <w:rsid w:val="00353C2C"/>
    <w:rsid w:val="00353C57"/>
    <w:rsid w:val="00353D77"/>
    <w:rsid w:val="00353DA9"/>
    <w:rsid w:val="00353E4C"/>
    <w:rsid w:val="00354152"/>
    <w:rsid w:val="00354205"/>
    <w:rsid w:val="0035420B"/>
    <w:rsid w:val="0035432B"/>
    <w:rsid w:val="003543C6"/>
    <w:rsid w:val="003545A4"/>
    <w:rsid w:val="00354706"/>
    <w:rsid w:val="003547F8"/>
    <w:rsid w:val="003547FD"/>
    <w:rsid w:val="0035491B"/>
    <w:rsid w:val="00354A74"/>
    <w:rsid w:val="00354A9F"/>
    <w:rsid w:val="00354C1C"/>
    <w:rsid w:val="00354CE4"/>
    <w:rsid w:val="00354EB4"/>
    <w:rsid w:val="003550C1"/>
    <w:rsid w:val="003551B4"/>
    <w:rsid w:val="00355230"/>
    <w:rsid w:val="00355244"/>
    <w:rsid w:val="00355396"/>
    <w:rsid w:val="0035539E"/>
    <w:rsid w:val="003553FA"/>
    <w:rsid w:val="00355478"/>
    <w:rsid w:val="00355546"/>
    <w:rsid w:val="003556C4"/>
    <w:rsid w:val="0035572C"/>
    <w:rsid w:val="00355E2D"/>
    <w:rsid w:val="00356029"/>
    <w:rsid w:val="003560F3"/>
    <w:rsid w:val="003561AC"/>
    <w:rsid w:val="00356264"/>
    <w:rsid w:val="0035643A"/>
    <w:rsid w:val="0035647E"/>
    <w:rsid w:val="00356623"/>
    <w:rsid w:val="0035664C"/>
    <w:rsid w:val="00356787"/>
    <w:rsid w:val="003567EB"/>
    <w:rsid w:val="0035680E"/>
    <w:rsid w:val="003568C0"/>
    <w:rsid w:val="00356A79"/>
    <w:rsid w:val="00356B2B"/>
    <w:rsid w:val="00356B6C"/>
    <w:rsid w:val="00356BB5"/>
    <w:rsid w:val="00356BE3"/>
    <w:rsid w:val="00356CD9"/>
    <w:rsid w:val="00356D83"/>
    <w:rsid w:val="00356DA3"/>
    <w:rsid w:val="00356EFF"/>
    <w:rsid w:val="0035700F"/>
    <w:rsid w:val="00357057"/>
    <w:rsid w:val="0035748A"/>
    <w:rsid w:val="0035757D"/>
    <w:rsid w:val="00357604"/>
    <w:rsid w:val="0035760E"/>
    <w:rsid w:val="003578A9"/>
    <w:rsid w:val="003578D1"/>
    <w:rsid w:val="003579B3"/>
    <w:rsid w:val="00357C6D"/>
    <w:rsid w:val="00357C9A"/>
    <w:rsid w:val="00357EDD"/>
    <w:rsid w:val="00357F45"/>
    <w:rsid w:val="0036006D"/>
    <w:rsid w:val="003600EB"/>
    <w:rsid w:val="0036013E"/>
    <w:rsid w:val="00360193"/>
    <w:rsid w:val="00360477"/>
    <w:rsid w:val="003604E5"/>
    <w:rsid w:val="003607D3"/>
    <w:rsid w:val="003608BB"/>
    <w:rsid w:val="003608CA"/>
    <w:rsid w:val="00360B6D"/>
    <w:rsid w:val="00360B80"/>
    <w:rsid w:val="00360BDD"/>
    <w:rsid w:val="00360BF1"/>
    <w:rsid w:val="00360C46"/>
    <w:rsid w:val="00360C73"/>
    <w:rsid w:val="00360C98"/>
    <w:rsid w:val="00360D48"/>
    <w:rsid w:val="003610BD"/>
    <w:rsid w:val="00361258"/>
    <w:rsid w:val="00361266"/>
    <w:rsid w:val="00361511"/>
    <w:rsid w:val="0036187E"/>
    <w:rsid w:val="00361960"/>
    <w:rsid w:val="0036197A"/>
    <w:rsid w:val="00361A2A"/>
    <w:rsid w:val="00361BAE"/>
    <w:rsid w:val="00361E12"/>
    <w:rsid w:val="00361E5C"/>
    <w:rsid w:val="00361FCE"/>
    <w:rsid w:val="003622A1"/>
    <w:rsid w:val="00362319"/>
    <w:rsid w:val="003623B6"/>
    <w:rsid w:val="003626D4"/>
    <w:rsid w:val="0036275A"/>
    <w:rsid w:val="003628B9"/>
    <w:rsid w:val="003628C9"/>
    <w:rsid w:val="00362964"/>
    <w:rsid w:val="00362B3D"/>
    <w:rsid w:val="00362B53"/>
    <w:rsid w:val="00362BD1"/>
    <w:rsid w:val="00362C26"/>
    <w:rsid w:val="00362D41"/>
    <w:rsid w:val="00362F31"/>
    <w:rsid w:val="00363060"/>
    <w:rsid w:val="00363063"/>
    <w:rsid w:val="003630AE"/>
    <w:rsid w:val="00363181"/>
    <w:rsid w:val="003632FB"/>
    <w:rsid w:val="00363345"/>
    <w:rsid w:val="003633D1"/>
    <w:rsid w:val="003633D9"/>
    <w:rsid w:val="003635BE"/>
    <w:rsid w:val="003636FD"/>
    <w:rsid w:val="0036385C"/>
    <w:rsid w:val="0036390E"/>
    <w:rsid w:val="00363B07"/>
    <w:rsid w:val="00363C65"/>
    <w:rsid w:val="00363C89"/>
    <w:rsid w:val="00363C9C"/>
    <w:rsid w:val="00363CBE"/>
    <w:rsid w:val="00363D6C"/>
    <w:rsid w:val="00363D74"/>
    <w:rsid w:val="00363E00"/>
    <w:rsid w:val="00363E62"/>
    <w:rsid w:val="00363F4D"/>
    <w:rsid w:val="00363FF5"/>
    <w:rsid w:val="0036411E"/>
    <w:rsid w:val="00364337"/>
    <w:rsid w:val="0036434A"/>
    <w:rsid w:val="003645D1"/>
    <w:rsid w:val="003646DB"/>
    <w:rsid w:val="00364754"/>
    <w:rsid w:val="0036476E"/>
    <w:rsid w:val="003647A9"/>
    <w:rsid w:val="0036493E"/>
    <w:rsid w:val="00364976"/>
    <w:rsid w:val="00364A71"/>
    <w:rsid w:val="00364B6D"/>
    <w:rsid w:val="00364B78"/>
    <w:rsid w:val="00364DA5"/>
    <w:rsid w:val="00364DAC"/>
    <w:rsid w:val="00364E44"/>
    <w:rsid w:val="00364EF0"/>
    <w:rsid w:val="00364EFF"/>
    <w:rsid w:val="00364F6E"/>
    <w:rsid w:val="0036502A"/>
    <w:rsid w:val="003650A0"/>
    <w:rsid w:val="00365131"/>
    <w:rsid w:val="0036513F"/>
    <w:rsid w:val="00365172"/>
    <w:rsid w:val="00365267"/>
    <w:rsid w:val="00365291"/>
    <w:rsid w:val="003653ED"/>
    <w:rsid w:val="0036543E"/>
    <w:rsid w:val="00365459"/>
    <w:rsid w:val="003654ED"/>
    <w:rsid w:val="00365535"/>
    <w:rsid w:val="00365569"/>
    <w:rsid w:val="0036584B"/>
    <w:rsid w:val="00365BF7"/>
    <w:rsid w:val="00365E8E"/>
    <w:rsid w:val="00365F45"/>
    <w:rsid w:val="0036609D"/>
    <w:rsid w:val="00366365"/>
    <w:rsid w:val="003665FA"/>
    <w:rsid w:val="0036666E"/>
    <w:rsid w:val="003666A9"/>
    <w:rsid w:val="003666CB"/>
    <w:rsid w:val="0036690A"/>
    <w:rsid w:val="00366958"/>
    <w:rsid w:val="00366A3E"/>
    <w:rsid w:val="00366B6A"/>
    <w:rsid w:val="00366D45"/>
    <w:rsid w:val="00366E8C"/>
    <w:rsid w:val="00367130"/>
    <w:rsid w:val="003672CC"/>
    <w:rsid w:val="003673B9"/>
    <w:rsid w:val="003673EC"/>
    <w:rsid w:val="0036743C"/>
    <w:rsid w:val="00367521"/>
    <w:rsid w:val="00367626"/>
    <w:rsid w:val="003676AA"/>
    <w:rsid w:val="003676DF"/>
    <w:rsid w:val="00367A15"/>
    <w:rsid w:val="00367A7A"/>
    <w:rsid w:val="00367A82"/>
    <w:rsid w:val="00367AE9"/>
    <w:rsid w:val="00367B84"/>
    <w:rsid w:val="00367B9A"/>
    <w:rsid w:val="00367C78"/>
    <w:rsid w:val="00367DD9"/>
    <w:rsid w:val="00370162"/>
    <w:rsid w:val="003702F7"/>
    <w:rsid w:val="00370776"/>
    <w:rsid w:val="003707FF"/>
    <w:rsid w:val="00370906"/>
    <w:rsid w:val="003709C4"/>
    <w:rsid w:val="00370A2B"/>
    <w:rsid w:val="00370A92"/>
    <w:rsid w:val="00370ADD"/>
    <w:rsid w:val="00370B80"/>
    <w:rsid w:val="00370E54"/>
    <w:rsid w:val="00370F18"/>
    <w:rsid w:val="00371494"/>
    <w:rsid w:val="00371674"/>
    <w:rsid w:val="003716A8"/>
    <w:rsid w:val="003718DA"/>
    <w:rsid w:val="0037191A"/>
    <w:rsid w:val="003719AA"/>
    <w:rsid w:val="00371AC9"/>
    <w:rsid w:val="00371B33"/>
    <w:rsid w:val="00371BE0"/>
    <w:rsid w:val="00371DBB"/>
    <w:rsid w:val="00371E51"/>
    <w:rsid w:val="00371F35"/>
    <w:rsid w:val="00371F41"/>
    <w:rsid w:val="003721D1"/>
    <w:rsid w:val="00372271"/>
    <w:rsid w:val="00372325"/>
    <w:rsid w:val="0037238D"/>
    <w:rsid w:val="003723F9"/>
    <w:rsid w:val="00372689"/>
    <w:rsid w:val="00372705"/>
    <w:rsid w:val="00372801"/>
    <w:rsid w:val="00372869"/>
    <w:rsid w:val="00372DE6"/>
    <w:rsid w:val="00372ECE"/>
    <w:rsid w:val="00372FA6"/>
    <w:rsid w:val="00373015"/>
    <w:rsid w:val="0037306B"/>
    <w:rsid w:val="0037313B"/>
    <w:rsid w:val="003731C8"/>
    <w:rsid w:val="003733B8"/>
    <w:rsid w:val="003734E0"/>
    <w:rsid w:val="003736A2"/>
    <w:rsid w:val="00373728"/>
    <w:rsid w:val="0037375B"/>
    <w:rsid w:val="00373863"/>
    <w:rsid w:val="003738C4"/>
    <w:rsid w:val="003738E0"/>
    <w:rsid w:val="003739A0"/>
    <w:rsid w:val="00373A01"/>
    <w:rsid w:val="00373AB1"/>
    <w:rsid w:val="00373BAB"/>
    <w:rsid w:val="00373C56"/>
    <w:rsid w:val="00373D1F"/>
    <w:rsid w:val="00373D88"/>
    <w:rsid w:val="00373DDA"/>
    <w:rsid w:val="00374065"/>
    <w:rsid w:val="0037408A"/>
    <w:rsid w:val="003740C3"/>
    <w:rsid w:val="00374153"/>
    <w:rsid w:val="00374324"/>
    <w:rsid w:val="00374389"/>
    <w:rsid w:val="003743C3"/>
    <w:rsid w:val="003743FA"/>
    <w:rsid w:val="003744B7"/>
    <w:rsid w:val="00374630"/>
    <w:rsid w:val="003747C7"/>
    <w:rsid w:val="003749EE"/>
    <w:rsid w:val="00374A55"/>
    <w:rsid w:val="00374C69"/>
    <w:rsid w:val="00374D67"/>
    <w:rsid w:val="00374D79"/>
    <w:rsid w:val="00374D8C"/>
    <w:rsid w:val="00374E8A"/>
    <w:rsid w:val="00374F58"/>
    <w:rsid w:val="00374FD0"/>
    <w:rsid w:val="0037553D"/>
    <w:rsid w:val="00375888"/>
    <w:rsid w:val="003759F3"/>
    <w:rsid w:val="00375AA9"/>
    <w:rsid w:val="00375BBB"/>
    <w:rsid w:val="00375C8C"/>
    <w:rsid w:val="00375CA9"/>
    <w:rsid w:val="00375DB1"/>
    <w:rsid w:val="00375E45"/>
    <w:rsid w:val="00375FBB"/>
    <w:rsid w:val="0037600E"/>
    <w:rsid w:val="003763F3"/>
    <w:rsid w:val="003765B4"/>
    <w:rsid w:val="003766D8"/>
    <w:rsid w:val="0037676D"/>
    <w:rsid w:val="003768DB"/>
    <w:rsid w:val="0037696B"/>
    <w:rsid w:val="00376CB9"/>
    <w:rsid w:val="00376D14"/>
    <w:rsid w:val="00376F9D"/>
    <w:rsid w:val="003771BB"/>
    <w:rsid w:val="00377233"/>
    <w:rsid w:val="0037727C"/>
    <w:rsid w:val="003773D0"/>
    <w:rsid w:val="003773E0"/>
    <w:rsid w:val="003773EE"/>
    <w:rsid w:val="00377403"/>
    <w:rsid w:val="0037743C"/>
    <w:rsid w:val="0037751E"/>
    <w:rsid w:val="00377841"/>
    <w:rsid w:val="003779E0"/>
    <w:rsid w:val="00377A4D"/>
    <w:rsid w:val="00377BD9"/>
    <w:rsid w:val="00377C6A"/>
    <w:rsid w:val="00377C9D"/>
    <w:rsid w:val="00377DB4"/>
    <w:rsid w:val="00377EC5"/>
    <w:rsid w:val="00380229"/>
    <w:rsid w:val="0038030E"/>
    <w:rsid w:val="003804A0"/>
    <w:rsid w:val="003804B8"/>
    <w:rsid w:val="00380710"/>
    <w:rsid w:val="0038080F"/>
    <w:rsid w:val="003808A6"/>
    <w:rsid w:val="00380A93"/>
    <w:rsid w:val="00380B6E"/>
    <w:rsid w:val="00380BFC"/>
    <w:rsid w:val="00380CED"/>
    <w:rsid w:val="00380D19"/>
    <w:rsid w:val="00380D2C"/>
    <w:rsid w:val="00380D5A"/>
    <w:rsid w:val="00380E36"/>
    <w:rsid w:val="00380FEF"/>
    <w:rsid w:val="0038102F"/>
    <w:rsid w:val="00381063"/>
    <w:rsid w:val="0038112B"/>
    <w:rsid w:val="0038114D"/>
    <w:rsid w:val="0038116F"/>
    <w:rsid w:val="00381295"/>
    <w:rsid w:val="00381370"/>
    <w:rsid w:val="00381444"/>
    <w:rsid w:val="003815E1"/>
    <w:rsid w:val="0038181E"/>
    <w:rsid w:val="00381A71"/>
    <w:rsid w:val="00381A9C"/>
    <w:rsid w:val="00381DF6"/>
    <w:rsid w:val="00381E46"/>
    <w:rsid w:val="00381FEF"/>
    <w:rsid w:val="00382003"/>
    <w:rsid w:val="0038214C"/>
    <w:rsid w:val="00382265"/>
    <w:rsid w:val="00382292"/>
    <w:rsid w:val="00382354"/>
    <w:rsid w:val="00382449"/>
    <w:rsid w:val="00382493"/>
    <w:rsid w:val="00382501"/>
    <w:rsid w:val="003825CE"/>
    <w:rsid w:val="00382762"/>
    <w:rsid w:val="00382844"/>
    <w:rsid w:val="00382873"/>
    <w:rsid w:val="00382A2B"/>
    <w:rsid w:val="00382C33"/>
    <w:rsid w:val="00382CA8"/>
    <w:rsid w:val="00382E8A"/>
    <w:rsid w:val="00382FEF"/>
    <w:rsid w:val="003830E6"/>
    <w:rsid w:val="0038348E"/>
    <w:rsid w:val="00383560"/>
    <w:rsid w:val="00383591"/>
    <w:rsid w:val="00383649"/>
    <w:rsid w:val="00383728"/>
    <w:rsid w:val="003837CA"/>
    <w:rsid w:val="00383894"/>
    <w:rsid w:val="00383B7D"/>
    <w:rsid w:val="00383E4D"/>
    <w:rsid w:val="00383ED6"/>
    <w:rsid w:val="00383F1B"/>
    <w:rsid w:val="00383FF5"/>
    <w:rsid w:val="003840AB"/>
    <w:rsid w:val="00384195"/>
    <w:rsid w:val="00384438"/>
    <w:rsid w:val="00384523"/>
    <w:rsid w:val="0038455C"/>
    <w:rsid w:val="003845FB"/>
    <w:rsid w:val="00384623"/>
    <w:rsid w:val="003849C9"/>
    <w:rsid w:val="00384A33"/>
    <w:rsid w:val="00384A50"/>
    <w:rsid w:val="00384AC6"/>
    <w:rsid w:val="00384B83"/>
    <w:rsid w:val="00384D18"/>
    <w:rsid w:val="00384E2B"/>
    <w:rsid w:val="00385504"/>
    <w:rsid w:val="00385568"/>
    <w:rsid w:val="003855DE"/>
    <w:rsid w:val="0038560D"/>
    <w:rsid w:val="0038575A"/>
    <w:rsid w:val="0038579D"/>
    <w:rsid w:val="0038585B"/>
    <w:rsid w:val="0038587B"/>
    <w:rsid w:val="0038594B"/>
    <w:rsid w:val="003859FE"/>
    <w:rsid w:val="00385BEE"/>
    <w:rsid w:val="00385D3F"/>
    <w:rsid w:val="00385D42"/>
    <w:rsid w:val="00385EBA"/>
    <w:rsid w:val="00385F4B"/>
    <w:rsid w:val="00386204"/>
    <w:rsid w:val="0038625B"/>
    <w:rsid w:val="003862B7"/>
    <w:rsid w:val="0038630B"/>
    <w:rsid w:val="00386491"/>
    <w:rsid w:val="00386584"/>
    <w:rsid w:val="003865E4"/>
    <w:rsid w:val="00386833"/>
    <w:rsid w:val="00386957"/>
    <w:rsid w:val="00386967"/>
    <w:rsid w:val="00386A6E"/>
    <w:rsid w:val="00386BDF"/>
    <w:rsid w:val="00386C55"/>
    <w:rsid w:val="00387007"/>
    <w:rsid w:val="0038701C"/>
    <w:rsid w:val="003871B0"/>
    <w:rsid w:val="00387263"/>
    <w:rsid w:val="003872AF"/>
    <w:rsid w:val="003873CC"/>
    <w:rsid w:val="003873D7"/>
    <w:rsid w:val="00387409"/>
    <w:rsid w:val="003877AB"/>
    <w:rsid w:val="00387800"/>
    <w:rsid w:val="0038796D"/>
    <w:rsid w:val="00387A51"/>
    <w:rsid w:val="00387B04"/>
    <w:rsid w:val="00387B10"/>
    <w:rsid w:val="00387DBA"/>
    <w:rsid w:val="00387E1A"/>
    <w:rsid w:val="00387FCA"/>
    <w:rsid w:val="00387FF6"/>
    <w:rsid w:val="00390017"/>
    <w:rsid w:val="00390041"/>
    <w:rsid w:val="00390193"/>
    <w:rsid w:val="00390338"/>
    <w:rsid w:val="0039050D"/>
    <w:rsid w:val="0039079E"/>
    <w:rsid w:val="00390920"/>
    <w:rsid w:val="0039094A"/>
    <w:rsid w:val="00390B03"/>
    <w:rsid w:val="00390B0B"/>
    <w:rsid w:val="00390B49"/>
    <w:rsid w:val="00390BE0"/>
    <w:rsid w:val="00390C78"/>
    <w:rsid w:val="00390D39"/>
    <w:rsid w:val="00390D41"/>
    <w:rsid w:val="0039101F"/>
    <w:rsid w:val="0039108F"/>
    <w:rsid w:val="003910EA"/>
    <w:rsid w:val="003913C3"/>
    <w:rsid w:val="003914F4"/>
    <w:rsid w:val="00391701"/>
    <w:rsid w:val="003918DB"/>
    <w:rsid w:val="00391906"/>
    <w:rsid w:val="0039191F"/>
    <w:rsid w:val="00391B2A"/>
    <w:rsid w:val="00391B8F"/>
    <w:rsid w:val="00391BF3"/>
    <w:rsid w:val="00391E15"/>
    <w:rsid w:val="003920C0"/>
    <w:rsid w:val="003923F5"/>
    <w:rsid w:val="00392409"/>
    <w:rsid w:val="003925E0"/>
    <w:rsid w:val="0039281E"/>
    <w:rsid w:val="0039282E"/>
    <w:rsid w:val="003928FF"/>
    <w:rsid w:val="00392952"/>
    <w:rsid w:val="00392998"/>
    <w:rsid w:val="003929DA"/>
    <w:rsid w:val="00392C3E"/>
    <w:rsid w:val="00392D04"/>
    <w:rsid w:val="00392D38"/>
    <w:rsid w:val="00392DA7"/>
    <w:rsid w:val="00392F22"/>
    <w:rsid w:val="00392FC7"/>
    <w:rsid w:val="003930A4"/>
    <w:rsid w:val="00393349"/>
    <w:rsid w:val="0039334F"/>
    <w:rsid w:val="0039335A"/>
    <w:rsid w:val="00393496"/>
    <w:rsid w:val="003934AD"/>
    <w:rsid w:val="003936D6"/>
    <w:rsid w:val="00393A89"/>
    <w:rsid w:val="00393ACA"/>
    <w:rsid w:val="00393B2A"/>
    <w:rsid w:val="00393BB2"/>
    <w:rsid w:val="00393C06"/>
    <w:rsid w:val="00393E2A"/>
    <w:rsid w:val="00394023"/>
    <w:rsid w:val="003941AA"/>
    <w:rsid w:val="003941E7"/>
    <w:rsid w:val="0039451C"/>
    <w:rsid w:val="003946A9"/>
    <w:rsid w:val="0039488B"/>
    <w:rsid w:val="003948C4"/>
    <w:rsid w:val="00394974"/>
    <w:rsid w:val="00394A9F"/>
    <w:rsid w:val="00394B9F"/>
    <w:rsid w:val="00394DAB"/>
    <w:rsid w:val="00394E36"/>
    <w:rsid w:val="00394F21"/>
    <w:rsid w:val="003950D6"/>
    <w:rsid w:val="0039554C"/>
    <w:rsid w:val="003957B4"/>
    <w:rsid w:val="00395A47"/>
    <w:rsid w:val="00395AD9"/>
    <w:rsid w:val="00395B00"/>
    <w:rsid w:val="00395B08"/>
    <w:rsid w:val="00395B73"/>
    <w:rsid w:val="00395C69"/>
    <w:rsid w:val="00395DD0"/>
    <w:rsid w:val="00395F15"/>
    <w:rsid w:val="0039611C"/>
    <w:rsid w:val="003961B2"/>
    <w:rsid w:val="00396208"/>
    <w:rsid w:val="00396240"/>
    <w:rsid w:val="0039633B"/>
    <w:rsid w:val="0039636D"/>
    <w:rsid w:val="003964D0"/>
    <w:rsid w:val="00396588"/>
    <w:rsid w:val="00396667"/>
    <w:rsid w:val="0039672D"/>
    <w:rsid w:val="0039678C"/>
    <w:rsid w:val="0039682A"/>
    <w:rsid w:val="00396839"/>
    <w:rsid w:val="00396A68"/>
    <w:rsid w:val="00396A6A"/>
    <w:rsid w:val="00396B9B"/>
    <w:rsid w:val="00396BE6"/>
    <w:rsid w:val="00396C3B"/>
    <w:rsid w:val="00396C8F"/>
    <w:rsid w:val="00396C9C"/>
    <w:rsid w:val="00396CB7"/>
    <w:rsid w:val="00396CD7"/>
    <w:rsid w:val="00396CD9"/>
    <w:rsid w:val="003972D1"/>
    <w:rsid w:val="003973F9"/>
    <w:rsid w:val="003974A3"/>
    <w:rsid w:val="003974F6"/>
    <w:rsid w:val="003975BB"/>
    <w:rsid w:val="00397606"/>
    <w:rsid w:val="00397677"/>
    <w:rsid w:val="003976E1"/>
    <w:rsid w:val="0039774C"/>
    <w:rsid w:val="0039778C"/>
    <w:rsid w:val="003977B7"/>
    <w:rsid w:val="003979C3"/>
    <w:rsid w:val="00397B04"/>
    <w:rsid w:val="00397B8B"/>
    <w:rsid w:val="00397D80"/>
    <w:rsid w:val="00397E09"/>
    <w:rsid w:val="00397E42"/>
    <w:rsid w:val="00397F73"/>
    <w:rsid w:val="00397F9E"/>
    <w:rsid w:val="003A0224"/>
    <w:rsid w:val="003A049A"/>
    <w:rsid w:val="003A068D"/>
    <w:rsid w:val="003A06A6"/>
    <w:rsid w:val="003A07FB"/>
    <w:rsid w:val="003A0852"/>
    <w:rsid w:val="003A0899"/>
    <w:rsid w:val="003A097E"/>
    <w:rsid w:val="003A0A87"/>
    <w:rsid w:val="003A0ADB"/>
    <w:rsid w:val="003A0B01"/>
    <w:rsid w:val="003A0DE1"/>
    <w:rsid w:val="003A0FEC"/>
    <w:rsid w:val="003A1106"/>
    <w:rsid w:val="003A1288"/>
    <w:rsid w:val="003A12FD"/>
    <w:rsid w:val="003A14A5"/>
    <w:rsid w:val="003A1558"/>
    <w:rsid w:val="003A15A4"/>
    <w:rsid w:val="003A190A"/>
    <w:rsid w:val="003A19A8"/>
    <w:rsid w:val="003A1A86"/>
    <w:rsid w:val="003A1B1C"/>
    <w:rsid w:val="003A1C78"/>
    <w:rsid w:val="003A1D52"/>
    <w:rsid w:val="003A1D5D"/>
    <w:rsid w:val="003A1E36"/>
    <w:rsid w:val="003A1EB2"/>
    <w:rsid w:val="003A1F56"/>
    <w:rsid w:val="003A2041"/>
    <w:rsid w:val="003A23CE"/>
    <w:rsid w:val="003A24E0"/>
    <w:rsid w:val="003A2794"/>
    <w:rsid w:val="003A27C2"/>
    <w:rsid w:val="003A285F"/>
    <w:rsid w:val="003A2A91"/>
    <w:rsid w:val="003A2BFB"/>
    <w:rsid w:val="003A2CCC"/>
    <w:rsid w:val="003A2E86"/>
    <w:rsid w:val="003A2EF2"/>
    <w:rsid w:val="003A31A1"/>
    <w:rsid w:val="003A332C"/>
    <w:rsid w:val="003A34CC"/>
    <w:rsid w:val="003A3590"/>
    <w:rsid w:val="003A35EC"/>
    <w:rsid w:val="003A3634"/>
    <w:rsid w:val="003A3784"/>
    <w:rsid w:val="003A37BC"/>
    <w:rsid w:val="003A37E6"/>
    <w:rsid w:val="003A37EA"/>
    <w:rsid w:val="003A3816"/>
    <w:rsid w:val="003A38B6"/>
    <w:rsid w:val="003A3A76"/>
    <w:rsid w:val="003A3AAA"/>
    <w:rsid w:val="003A3C41"/>
    <w:rsid w:val="003A3D8C"/>
    <w:rsid w:val="003A3E79"/>
    <w:rsid w:val="003A4426"/>
    <w:rsid w:val="003A4438"/>
    <w:rsid w:val="003A4603"/>
    <w:rsid w:val="003A4634"/>
    <w:rsid w:val="003A46B5"/>
    <w:rsid w:val="003A4789"/>
    <w:rsid w:val="003A47EA"/>
    <w:rsid w:val="003A485D"/>
    <w:rsid w:val="003A4890"/>
    <w:rsid w:val="003A49D8"/>
    <w:rsid w:val="003A4A02"/>
    <w:rsid w:val="003A4A4C"/>
    <w:rsid w:val="003A4AF6"/>
    <w:rsid w:val="003A4B9E"/>
    <w:rsid w:val="003A4BF4"/>
    <w:rsid w:val="003A4CF8"/>
    <w:rsid w:val="003A4D00"/>
    <w:rsid w:val="003A4D66"/>
    <w:rsid w:val="003A4FFC"/>
    <w:rsid w:val="003A5067"/>
    <w:rsid w:val="003A5196"/>
    <w:rsid w:val="003A5236"/>
    <w:rsid w:val="003A530B"/>
    <w:rsid w:val="003A57E7"/>
    <w:rsid w:val="003A58ED"/>
    <w:rsid w:val="003A5A1B"/>
    <w:rsid w:val="003A5A20"/>
    <w:rsid w:val="003A5A4A"/>
    <w:rsid w:val="003A5A86"/>
    <w:rsid w:val="003A5B8B"/>
    <w:rsid w:val="003A5CE6"/>
    <w:rsid w:val="003A5D4E"/>
    <w:rsid w:val="003A5D6F"/>
    <w:rsid w:val="003A5E34"/>
    <w:rsid w:val="003A5F65"/>
    <w:rsid w:val="003A62FF"/>
    <w:rsid w:val="003A63CF"/>
    <w:rsid w:val="003A64DB"/>
    <w:rsid w:val="003A665E"/>
    <w:rsid w:val="003A667F"/>
    <w:rsid w:val="003A67F4"/>
    <w:rsid w:val="003A6889"/>
    <w:rsid w:val="003A68E8"/>
    <w:rsid w:val="003A6958"/>
    <w:rsid w:val="003A69EF"/>
    <w:rsid w:val="003A6A5E"/>
    <w:rsid w:val="003A6BA4"/>
    <w:rsid w:val="003A6C42"/>
    <w:rsid w:val="003A6D55"/>
    <w:rsid w:val="003A6E9C"/>
    <w:rsid w:val="003A6F12"/>
    <w:rsid w:val="003A70CA"/>
    <w:rsid w:val="003A722F"/>
    <w:rsid w:val="003A7396"/>
    <w:rsid w:val="003A754A"/>
    <w:rsid w:val="003A7555"/>
    <w:rsid w:val="003A76A7"/>
    <w:rsid w:val="003A772A"/>
    <w:rsid w:val="003A7880"/>
    <w:rsid w:val="003A788A"/>
    <w:rsid w:val="003A7A1E"/>
    <w:rsid w:val="003A7B0B"/>
    <w:rsid w:val="003A7B71"/>
    <w:rsid w:val="003A7BC7"/>
    <w:rsid w:val="003A7DF9"/>
    <w:rsid w:val="003A7F80"/>
    <w:rsid w:val="003B018F"/>
    <w:rsid w:val="003B01E0"/>
    <w:rsid w:val="003B0229"/>
    <w:rsid w:val="003B026D"/>
    <w:rsid w:val="003B032E"/>
    <w:rsid w:val="003B0339"/>
    <w:rsid w:val="003B03A1"/>
    <w:rsid w:val="003B04A2"/>
    <w:rsid w:val="003B05E2"/>
    <w:rsid w:val="003B060F"/>
    <w:rsid w:val="003B0639"/>
    <w:rsid w:val="003B06A6"/>
    <w:rsid w:val="003B071D"/>
    <w:rsid w:val="003B08FC"/>
    <w:rsid w:val="003B09B2"/>
    <w:rsid w:val="003B0A2C"/>
    <w:rsid w:val="003B0BF5"/>
    <w:rsid w:val="003B0D0F"/>
    <w:rsid w:val="003B0D7F"/>
    <w:rsid w:val="003B0EA1"/>
    <w:rsid w:val="003B109E"/>
    <w:rsid w:val="003B1210"/>
    <w:rsid w:val="003B1369"/>
    <w:rsid w:val="003B1614"/>
    <w:rsid w:val="003B16D2"/>
    <w:rsid w:val="003B1775"/>
    <w:rsid w:val="003B1C4C"/>
    <w:rsid w:val="003B1D74"/>
    <w:rsid w:val="003B1D8D"/>
    <w:rsid w:val="003B1F86"/>
    <w:rsid w:val="003B1FBF"/>
    <w:rsid w:val="003B204A"/>
    <w:rsid w:val="003B2137"/>
    <w:rsid w:val="003B232F"/>
    <w:rsid w:val="003B245B"/>
    <w:rsid w:val="003B2556"/>
    <w:rsid w:val="003B262E"/>
    <w:rsid w:val="003B2633"/>
    <w:rsid w:val="003B26DE"/>
    <w:rsid w:val="003B2778"/>
    <w:rsid w:val="003B279A"/>
    <w:rsid w:val="003B28A8"/>
    <w:rsid w:val="003B29D1"/>
    <w:rsid w:val="003B2AFC"/>
    <w:rsid w:val="003B2DF6"/>
    <w:rsid w:val="003B2E65"/>
    <w:rsid w:val="003B2E8E"/>
    <w:rsid w:val="003B2EB1"/>
    <w:rsid w:val="003B2F01"/>
    <w:rsid w:val="003B3112"/>
    <w:rsid w:val="003B317D"/>
    <w:rsid w:val="003B3270"/>
    <w:rsid w:val="003B330B"/>
    <w:rsid w:val="003B336D"/>
    <w:rsid w:val="003B340E"/>
    <w:rsid w:val="003B3420"/>
    <w:rsid w:val="003B3440"/>
    <w:rsid w:val="003B3521"/>
    <w:rsid w:val="003B357B"/>
    <w:rsid w:val="003B383C"/>
    <w:rsid w:val="003B3842"/>
    <w:rsid w:val="003B38A9"/>
    <w:rsid w:val="003B3C31"/>
    <w:rsid w:val="003B3D63"/>
    <w:rsid w:val="003B3D72"/>
    <w:rsid w:val="003B3DE9"/>
    <w:rsid w:val="003B418A"/>
    <w:rsid w:val="003B4368"/>
    <w:rsid w:val="003B4375"/>
    <w:rsid w:val="003B43F4"/>
    <w:rsid w:val="003B43FD"/>
    <w:rsid w:val="003B4417"/>
    <w:rsid w:val="003B4650"/>
    <w:rsid w:val="003B47F8"/>
    <w:rsid w:val="003B49DC"/>
    <w:rsid w:val="003B4DA4"/>
    <w:rsid w:val="003B4E67"/>
    <w:rsid w:val="003B4FC2"/>
    <w:rsid w:val="003B50B4"/>
    <w:rsid w:val="003B51D9"/>
    <w:rsid w:val="003B51FD"/>
    <w:rsid w:val="003B5340"/>
    <w:rsid w:val="003B5359"/>
    <w:rsid w:val="003B5779"/>
    <w:rsid w:val="003B5792"/>
    <w:rsid w:val="003B57B7"/>
    <w:rsid w:val="003B5A1B"/>
    <w:rsid w:val="003B5B2B"/>
    <w:rsid w:val="003B5C89"/>
    <w:rsid w:val="003B5D18"/>
    <w:rsid w:val="003B5E1D"/>
    <w:rsid w:val="003B5E7F"/>
    <w:rsid w:val="003B607D"/>
    <w:rsid w:val="003B6085"/>
    <w:rsid w:val="003B629C"/>
    <w:rsid w:val="003B62E0"/>
    <w:rsid w:val="003B6759"/>
    <w:rsid w:val="003B6767"/>
    <w:rsid w:val="003B68D0"/>
    <w:rsid w:val="003B68D5"/>
    <w:rsid w:val="003B697F"/>
    <w:rsid w:val="003B6985"/>
    <w:rsid w:val="003B6A99"/>
    <w:rsid w:val="003B6B18"/>
    <w:rsid w:val="003B6CBB"/>
    <w:rsid w:val="003B6EBA"/>
    <w:rsid w:val="003B6F8D"/>
    <w:rsid w:val="003B7116"/>
    <w:rsid w:val="003B7165"/>
    <w:rsid w:val="003B717D"/>
    <w:rsid w:val="003B724A"/>
    <w:rsid w:val="003B7283"/>
    <w:rsid w:val="003B731C"/>
    <w:rsid w:val="003B73BB"/>
    <w:rsid w:val="003B73D9"/>
    <w:rsid w:val="003B7404"/>
    <w:rsid w:val="003B7439"/>
    <w:rsid w:val="003B74ED"/>
    <w:rsid w:val="003B79C2"/>
    <w:rsid w:val="003B7A6A"/>
    <w:rsid w:val="003B7B57"/>
    <w:rsid w:val="003B7D7E"/>
    <w:rsid w:val="003B7DED"/>
    <w:rsid w:val="003B7DF0"/>
    <w:rsid w:val="003B7E37"/>
    <w:rsid w:val="003B7E50"/>
    <w:rsid w:val="003C0041"/>
    <w:rsid w:val="003C0057"/>
    <w:rsid w:val="003C00BB"/>
    <w:rsid w:val="003C01A8"/>
    <w:rsid w:val="003C039B"/>
    <w:rsid w:val="003C03B3"/>
    <w:rsid w:val="003C03FD"/>
    <w:rsid w:val="003C0424"/>
    <w:rsid w:val="003C0521"/>
    <w:rsid w:val="003C05B9"/>
    <w:rsid w:val="003C07CB"/>
    <w:rsid w:val="003C0862"/>
    <w:rsid w:val="003C09BA"/>
    <w:rsid w:val="003C09D7"/>
    <w:rsid w:val="003C0AE7"/>
    <w:rsid w:val="003C0B94"/>
    <w:rsid w:val="003C0BFE"/>
    <w:rsid w:val="003C0CFA"/>
    <w:rsid w:val="003C0D22"/>
    <w:rsid w:val="003C0D98"/>
    <w:rsid w:val="003C0DE8"/>
    <w:rsid w:val="003C0EE9"/>
    <w:rsid w:val="003C0FE7"/>
    <w:rsid w:val="003C1028"/>
    <w:rsid w:val="003C10FC"/>
    <w:rsid w:val="003C11B3"/>
    <w:rsid w:val="003C13BC"/>
    <w:rsid w:val="003C13E1"/>
    <w:rsid w:val="003C1467"/>
    <w:rsid w:val="003C15A6"/>
    <w:rsid w:val="003C1678"/>
    <w:rsid w:val="003C1755"/>
    <w:rsid w:val="003C177B"/>
    <w:rsid w:val="003C186A"/>
    <w:rsid w:val="003C1BC4"/>
    <w:rsid w:val="003C1DC7"/>
    <w:rsid w:val="003C2055"/>
    <w:rsid w:val="003C20AA"/>
    <w:rsid w:val="003C25B2"/>
    <w:rsid w:val="003C25DA"/>
    <w:rsid w:val="003C26DA"/>
    <w:rsid w:val="003C26DF"/>
    <w:rsid w:val="003C283F"/>
    <w:rsid w:val="003C2880"/>
    <w:rsid w:val="003C289B"/>
    <w:rsid w:val="003C2AD3"/>
    <w:rsid w:val="003C2B6C"/>
    <w:rsid w:val="003C2CBE"/>
    <w:rsid w:val="003C2D39"/>
    <w:rsid w:val="003C2D8A"/>
    <w:rsid w:val="003C2EE4"/>
    <w:rsid w:val="003C321B"/>
    <w:rsid w:val="003C330B"/>
    <w:rsid w:val="003C338A"/>
    <w:rsid w:val="003C3515"/>
    <w:rsid w:val="003C363A"/>
    <w:rsid w:val="003C363F"/>
    <w:rsid w:val="003C385C"/>
    <w:rsid w:val="003C3939"/>
    <w:rsid w:val="003C3AD7"/>
    <w:rsid w:val="003C3B82"/>
    <w:rsid w:val="003C3C83"/>
    <w:rsid w:val="003C3E94"/>
    <w:rsid w:val="003C3F6A"/>
    <w:rsid w:val="003C3FA0"/>
    <w:rsid w:val="003C4099"/>
    <w:rsid w:val="003C4141"/>
    <w:rsid w:val="003C4274"/>
    <w:rsid w:val="003C43A8"/>
    <w:rsid w:val="003C451D"/>
    <w:rsid w:val="003C45BF"/>
    <w:rsid w:val="003C45C0"/>
    <w:rsid w:val="003C45F2"/>
    <w:rsid w:val="003C478A"/>
    <w:rsid w:val="003C4928"/>
    <w:rsid w:val="003C499C"/>
    <w:rsid w:val="003C49FA"/>
    <w:rsid w:val="003C4C38"/>
    <w:rsid w:val="003C4D7C"/>
    <w:rsid w:val="003C4DDD"/>
    <w:rsid w:val="003C4F81"/>
    <w:rsid w:val="003C505E"/>
    <w:rsid w:val="003C507D"/>
    <w:rsid w:val="003C5187"/>
    <w:rsid w:val="003C528A"/>
    <w:rsid w:val="003C52F4"/>
    <w:rsid w:val="003C531A"/>
    <w:rsid w:val="003C538C"/>
    <w:rsid w:val="003C53A8"/>
    <w:rsid w:val="003C5404"/>
    <w:rsid w:val="003C543A"/>
    <w:rsid w:val="003C5635"/>
    <w:rsid w:val="003C5737"/>
    <w:rsid w:val="003C57F7"/>
    <w:rsid w:val="003C5C06"/>
    <w:rsid w:val="003C5CA8"/>
    <w:rsid w:val="003C5D1C"/>
    <w:rsid w:val="003C5D5B"/>
    <w:rsid w:val="003C5E38"/>
    <w:rsid w:val="003C5F75"/>
    <w:rsid w:val="003C5FE4"/>
    <w:rsid w:val="003C60D7"/>
    <w:rsid w:val="003C6195"/>
    <w:rsid w:val="003C6226"/>
    <w:rsid w:val="003C6382"/>
    <w:rsid w:val="003C64F7"/>
    <w:rsid w:val="003C64FC"/>
    <w:rsid w:val="003C65D2"/>
    <w:rsid w:val="003C675B"/>
    <w:rsid w:val="003C6834"/>
    <w:rsid w:val="003C6835"/>
    <w:rsid w:val="003C6878"/>
    <w:rsid w:val="003C6C49"/>
    <w:rsid w:val="003C6CB1"/>
    <w:rsid w:val="003C6CF6"/>
    <w:rsid w:val="003C6F6E"/>
    <w:rsid w:val="003C7410"/>
    <w:rsid w:val="003C74A4"/>
    <w:rsid w:val="003C74F9"/>
    <w:rsid w:val="003C7863"/>
    <w:rsid w:val="003C7C7C"/>
    <w:rsid w:val="003C7DB9"/>
    <w:rsid w:val="003C7E3F"/>
    <w:rsid w:val="003C7EEC"/>
    <w:rsid w:val="003C7EF8"/>
    <w:rsid w:val="003C7FD2"/>
    <w:rsid w:val="003D0156"/>
    <w:rsid w:val="003D02AA"/>
    <w:rsid w:val="003D02F6"/>
    <w:rsid w:val="003D0340"/>
    <w:rsid w:val="003D0368"/>
    <w:rsid w:val="003D063B"/>
    <w:rsid w:val="003D0666"/>
    <w:rsid w:val="003D06DA"/>
    <w:rsid w:val="003D0721"/>
    <w:rsid w:val="003D0807"/>
    <w:rsid w:val="003D0920"/>
    <w:rsid w:val="003D0936"/>
    <w:rsid w:val="003D0A12"/>
    <w:rsid w:val="003D0A63"/>
    <w:rsid w:val="003D0B1D"/>
    <w:rsid w:val="003D0BBA"/>
    <w:rsid w:val="003D0C90"/>
    <w:rsid w:val="003D0DF2"/>
    <w:rsid w:val="003D0E8F"/>
    <w:rsid w:val="003D0EBD"/>
    <w:rsid w:val="003D0F29"/>
    <w:rsid w:val="003D103E"/>
    <w:rsid w:val="003D1316"/>
    <w:rsid w:val="003D13CC"/>
    <w:rsid w:val="003D13EA"/>
    <w:rsid w:val="003D1413"/>
    <w:rsid w:val="003D141D"/>
    <w:rsid w:val="003D1421"/>
    <w:rsid w:val="003D16DD"/>
    <w:rsid w:val="003D195A"/>
    <w:rsid w:val="003D1BDA"/>
    <w:rsid w:val="003D1C16"/>
    <w:rsid w:val="003D1CAD"/>
    <w:rsid w:val="003D1D53"/>
    <w:rsid w:val="003D1F08"/>
    <w:rsid w:val="003D1FAB"/>
    <w:rsid w:val="003D210A"/>
    <w:rsid w:val="003D2158"/>
    <w:rsid w:val="003D22D2"/>
    <w:rsid w:val="003D269A"/>
    <w:rsid w:val="003D26A3"/>
    <w:rsid w:val="003D27B6"/>
    <w:rsid w:val="003D2A59"/>
    <w:rsid w:val="003D2AB5"/>
    <w:rsid w:val="003D2B1A"/>
    <w:rsid w:val="003D2C89"/>
    <w:rsid w:val="003D2DAC"/>
    <w:rsid w:val="003D2E10"/>
    <w:rsid w:val="003D2F0A"/>
    <w:rsid w:val="003D2FB6"/>
    <w:rsid w:val="003D2FC3"/>
    <w:rsid w:val="003D311C"/>
    <w:rsid w:val="003D3261"/>
    <w:rsid w:val="003D32D9"/>
    <w:rsid w:val="003D32F2"/>
    <w:rsid w:val="003D3466"/>
    <w:rsid w:val="003D347F"/>
    <w:rsid w:val="003D34D0"/>
    <w:rsid w:val="003D34D5"/>
    <w:rsid w:val="003D3833"/>
    <w:rsid w:val="003D3844"/>
    <w:rsid w:val="003D38F8"/>
    <w:rsid w:val="003D3A29"/>
    <w:rsid w:val="003D3A58"/>
    <w:rsid w:val="003D3A5E"/>
    <w:rsid w:val="003D3AB6"/>
    <w:rsid w:val="003D3B55"/>
    <w:rsid w:val="003D3D6C"/>
    <w:rsid w:val="003D3EE9"/>
    <w:rsid w:val="003D40A5"/>
    <w:rsid w:val="003D41A4"/>
    <w:rsid w:val="003D4251"/>
    <w:rsid w:val="003D44BD"/>
    <w:rsid w:val="003D46B0"/>
    <w:rsid w:val="003D4714"/>
    <w:rsid w:val="003D48A3"/>
    <w:rsid w:val="003D48E3"/>
    <w:rsid w:val="003D4977"/>
    <w:rsid w:val="003D4A67"/>
    <w:rsid w:val="003D4AF4"/>
    <w:rsid w:val="003D4B11"/>
    <w:rsid w:val="003D4B64"/>
    <w:rsid w:val="003D4C3C"/>
    <w:rsid w:val="003D4CC4"/>
    <w:rsid w:val="003D4E0A"/>
    <w:rsid w:val="003D4EE9"/>
    <w:rsid w:val="003D4FF5"/>
    <w:rsid w:val="003D51DA"/>
    <w:rsid w:val="003D5363"/>
    <w:rsid w:val="003D5798"/>
    <w:rsid w:val="003D57CB"/>
    <w:rsid w:val="003D5B0A"/>
    <w:rsid w:val="003D5BDD"/>
    <w:rsid w:val="003D5C62"/>
    <w:rsid w:val="003D5DB3"/>
    <w:rsid w:val="003D5ECC"/>
    <w:rsid w:val="003D5F16"/>
    <w:rsid w:val="003D60E6"/>
    <w:rsid w:val="003D64BA"/>
    <w:rsid w:val="003D64BD"/>
    <w:rsid w:val="003D6584"/>
    <w:rsid w:val="003D662F"/>
    <w:rsid w:val="003D6739"/>
    <w:rsid w:val="003D678C"/>
    <w:rsid w:val="003D67C6"/>
    <w:rsid w:val="003D6885"/>
    <w:rsid w:val="003D69EE"/>
    <w:rsid w:val="003D6AEC"/>
    <w:rsid w:val="003D6AF8"/>
    <w:rsid w:val="003D6FEA"/>
    <w:rsid w:val="003D7063"/>
    <w:rsid w:val="003D71A3"/>
    <w:rsid w:val="003D7256"/>
    <w:rsid w:val="003D7325"/>
    <w:rsid w:val="003D7516"/>
    <w:rsid w:val="003D7546"/>
    <w:rsid w:val="003D758F"/>
    <w:rsid w:val="003D7631"/>
    <w:rsid w:val="003D769E"/>
    <w:rsid w:val="003D76C2"/>
    <w:rsid w:val="003D7756"/>
    <w:rsid w:val="003D7822"/>
    <w:rsid w:val="003D7840"/>
    <w:rsid w:val="003D7D71"/>
    <w:rsid w:val="003D7DDC"/>
    <w:rsid w:val="003D7E1F"/>
    <w:rsid w:val="003D7ECB"/>
    <w:rsid w:val="003D7EED"/>
    <w:rsid w:val="003E00BB"/>
    <w:rsid w:val="003E01BD"/>
    <w:rsid w:val="003E0313"/>
    <w:rsid w:val="003E0373"/>
    <w:rsid w:val="003E03BA"/>
    <w:rsid w:val="003E03BF"/>
    <w:rsid w:val="003E047B"/>
    <w:rsid w:val="003E08E5"/>
    <w:rsid w:val="003E09DF"/>
    <w:rsid w:val="003E0B79"/>
    <w:rsid w:val="003E0B88"/>
    <w:rsid w:val="003E0BD3"/>
    <w:rsid w:val="003E0CB6"/>
    <w:rsid w:val="003E0D2F"/>
    <w:rsid w:val="003E0DBA"/>
    <w:rsid w:val="003E0DBD"/>
    <w:rsid w:val="003E0E71"/>
    <w:rsid w:val="003E0ED0"/>
    <w:rsid w:val="003E0F5B"/>
    <w:rsid w:val="003E0F5F"/>
    <w:rsid w:val="003E10F3"/>
    <w:rsid w:val="003E1319"/>
    <w:rsid w:val="003E134E"/>
    <w:rsid w:val="003E1496"/>
    <w:rsid w:val="003E14F7"/>
    <w:rsid w:val="003E15ED"/>
    <w:rsid w:val="003E175A"/>
    <w:rsid w:val="003E17C2"/>
    <w:rsid w:val="003E1B0C"/>
    <w:rsid w:val="003E1C3E"/>
    <w:rsid w:val="003E1CAC"/>
    <w:rsid w:val="003E1E7B"/>
    <w:rsid w:val="003E1E7F"/>
    <w:rsid w:val="003E1F9C"/>
    <w:rsid w:val="003E201D"/>
    <w:rsid w:val="003E20B9"/>
    <w:rsid w:val="003E2221"/>
    <w:rsid w:val="003E23A2"/>
    <w:rsid w:val="003E2726"/>
    <w:rsid w:val="003E2909"/>
    <w:rsid w:val="003E2A72"/>
    <w:rsid w:val="003E2A7D"/>
    <w:rsid w:val="003E2D6C"/>
    <w:rsid w:val="003E2DDD"/>
    <w:rsid w:val="003E3014"/>
    <w:rsid w:val="003E30CE"/>
    <w:rsid w:val="003E32CC"/>
    <w:rsid w:val="003E338E"/>
    <w:rsid w:val="003E3420"/>
    <w:rsid w:val="003E347C"/>
    <w:rsid w:val="003E3577"/>
    <w:rsid w:val="003E36A9"/>
    <w:rsid w:val="003E38B4"/>
    <w:rsid w:val="003E39E9"/>
    <w:rsid w:val="003E3A78"/>
    <w:rsid w:val="003E3A7B"/>
    <w:rsid w:val="003E3A7E"/>
    <w:rsid w:val="003E3A87"/>
    <w:rsid w:val="003E3B96"/>
    <w:rsid w:val="003E3D8A"/>
    <w:rsid w:val="003E4306"/>
    <w:rsid w:val="003E45E4"/>
    <w:rsid w:val="003E4665"/>
    <w:rsid w:val="003E47E2"/>
    <w:rsid w:val="003E4807"/>
    <w:rsid w:val="003E4B18"/>
    <w:rsid w:val="003E4B90"/>
    <w:rsid w:val="003E4DF3"/>
    <w:rsid w:val="003E5020"/>
    <w:rsid w:val="003E50D3"/>
    <w:rsid w:val="003E5136"/>
    <w:rsid w:val="003E522E"/>
    <w:rsid w:val="003E5361"/>
    <w:rsid w:val="003E5433"/>
    <w:rsid w:val="003E54E3"/>
    <w:rsid w:val="003E55DA"/>
    <w:rsid w:val="003E57A0"/>
    <w:rsid w:val="003E57B8"/>
    <w:rsid w:val="003E57FE"/>
    <w:rsid w:val="003E589D"/>
    <w:rsid w:val="003E58BE"/>
    <w:rsid w:val="003E59D5"/>
    <w:rsid w:val="003E5CD2"/>
    <w:rsid w:val="003E5E9D"/>
    <w:rsid w:val="003E60D5"/>
    <w:rsid w:val="003E612C"/>
    <w:rsid w:val="003E6295"/>
    <w:rsid w:val="003E6583"/>
    <w:rsid w:val="003E68E2"/>
    <w:rsid w:val="003E6A7F"/>
    <w:rsid w:val="003E6B8E"/>
    <w:rsid w:val="003E6C7D"/>
    <w:rsid w:val="003E6CC3"/>
    <w:rsid w:val="003E6CE8"/>
    <w:rsid w:val="003E6D4C"/>
    <w:rsid w:val="003E6D9A"/>
    <w:rsid w:val="003E6E12"/>
    <w:rsid w:val="003E6F2C"/>
    <w:rsid w:val="003E70AF"/>
    <w:rsid w:val="003E7180"/>
    <w:rsid w:val="003E7253"/>
    <w:rsid w:val="003E7345"/>
    <w:rsid w:val="003E74B3"/>
    <w:rsid w:val="003E753F"/>
    <w:rsid w:val="003E7618"/>
    <w:rsid w:val="003E76B0"/>
    <w:rsid w:val="003E770C"/>
    <w:rsid w:val="003E775D"/>
    <w:rsid w:val="003E779E"/>
    <w:rsid w:val="003E77C5"/>
    <w:rsid w:val="003E7819"/>
    <w:rsid w:val="003E78FD"/>
    <w:rsid w:val="003E798D"/>
    <w:rsid w:val="003E7A3A"/>
    <w:rsid w:val="003E7A61"/>
    <w:rsid w:val="003E7A9A"/>
    <w:rsid w:val="003E7B46"/>
    <w:rsid w:val="003E7BCC"/>
    <w:rsid w:val="003E7EA6"/>
    <w:rsid w:val="003E7EEE"/>
    <w:rsid w:val="003F0226"/>
    <w:rsid w:val="003F06D4"/>
    <w:rsid w:val="003F0786"/>
    <w:rsid w:val="003F078B"/>
    <w:rsid w:val="003F07C4"/>
    <w:rsid w:val="003F083D"/>
    <w:rsid w:val="003F0913"/>
    <w:rsid w:val="003F0955"/>
    <w:rsid w:val="003F0A88"/>
    <w:rsid w:val="003F0A8F"/>
    <w:rsid w:val="003F0B8C"/>
    <w:rsid w:val="003F0BDB"/>
    <w:rsid w:val="003F0CFA"/>
    <w:rsid w:val="003F0E74"/>
    <w:rsid w:val="003F0E9F"/>
    <w:rsid w:val="003F0F13"/>
    <w:rsid w:val="003F0FC3"/>
    <w:rsid w:val="003F109D"/>
    <w:rsid w:val="003F137C"/>
    <w:rsid w:val="003F13BC"/>
    <w:rsid w:val="003F1498"/>
    <w:rsid w:val="003F1546"/>
    <w:rsid w:val="003F188A"/>
    <w:rsid w:val="003F195C"/>
    <w:rsid w:val="003F1C5F"/>
    <w:rsid w:val="003F1D2C"/>
    <w:rsid w:val="003F1D54"/>
    <w:rsid w:val="003F1FCE"/>
    <w:rsid w:val="003F2093"/>
    <w:rsid w:val="003F22EA"/>
    <w:rsid w:val="003F2445"/>
    <w:rsid w:val="003F2503"/>
    <w:rsid w:val="003F251A"/>
    <w:rsid w:val="003F2656"/>
    <w:rsid w:val="003F289E"/>
    <w:rsid w:val="003F2980"/>
    <w:rsid w:val="003F29F5"/>
    <w:rsid w:val="003F2A10"/>
    <w:rsid w:val="003F2AD5"/>
    <w:rsid w:val="003F2D13"/>
    <w:rsid w:val="003F2D22"/>
    <w:rsid w:val="003F312E"/>
    <w:rsid w:val="003F31F7"/>
    <w:rsid w:val="003F3320"/>
    <w:rsid w:val="003F339E"/>
    <w:rsid w:val="003F340A"/>
    <w:rsid w:val="003F345C"/>
    <w:rsid w:val="003F34C7"/>
    <w:rsid w:val="003F351C"/>
    <w:rsid w:val="003F35AA"/>
    <w:rsid w:val="003F35C1"/>
    <w:rsid w:val="003F35FB"/>
    <w:rsid w:val="003F376F"/>
    <w:rsid w:val="003F390C"/>
    <w:rsid w:val="003F3986"/>
    <w:rsid w:val="003F399D"/>
    <w:rsid w:val="003F3A70"/>
    <w:rsid w:val="003F3C32"/>
    <w:rsid w:val="003F3EF0"/>
    <w:rsid w:val="003F4096"/>
    <w:rsid w:val="003F40D2"/>
    <w:rsid w:val="003F4113"/>
    <w:rsid w:val="003F413B"/>
    <w:rsid w:val="003F430E"/>
    <w:rsid w:val="003F43D5"/>
    <w:rsid w:val="003F43F5"/>
    <w:rsid w:val="003F4458"/>
    <w:rsid w:val="003F45C7"/>
    <w:rsid w:val="003F469E"/>
    <w:rsid w:val="003F48C3"/>
    <w:rsid w:val="003F48D1"/>
    <w:rsid w:val="003F4A3E"/>
    <w:rsid w:val="003F4A4B"/>
    <w:rsid w:val="003F4AC3"/>
    <w:rsid w:val="003F4B0E"/>
    <w:rsid w:val="003F4BE3"/>
    <w:rsid w:val="003F4D6C"/>
    <w:rsid w:val="003F4DAC"/>
    <w:rsid w:val="003F4E64"/>
    <w:rsid w:val="003F4F51"/>
    <w:rsid w:val="003F4F54"/>
    <w:rsid w:val="003F50DF"/>
    <w:rsid w:val="003F544E"/>
    <w:rsid w:val="003F54C8"/>
    <w:rsid w:val="003F5504"/>
    <w:rsid w:val="003F5660"/>
    <w:rsid w:val="003F5B03"/>
    <w:rsid w:val="003F5C35"/>
    <w:rsid w:val="003F5C61"/>
    <w:rsid w:val="003F5D11"/>
    <w:rsid w:val="003F5D36"/>
    <w:rsid w:val="003F5EE6"/>
    <w:rsid w:val="003F65A9"/>
    <w:rsid w:val="003F6677"/>
    <w:rsid w:val="003F66BF"/>
    <w:rsid w:val="003F67E4"/>
    <w:rsid w:val="003F67E9"/>
    <w:rsid w:val="003F68C2"/>
    <w:rsid w:val="003F693C"/>
    <w:rsid w:val="003F6978"/>
    <w:rsid w:val="003F6A87"/>
    <w:rsid w:val="003F6B58"/>
    <w:rsid w:val="003F6C55"/>
    <w:rsid w:val="003F6CEE"/>
    <w:rsid w:val="003F6D45"/>
    <w:rsid w:val="003F6D4C"/>
    <w:rsid w:val="003F6D84"/>
    <w:rsid w:val="003F6E2A"/>
    <w:rsid w:val="003F6EFF"/>
    <w:rsid w:val="003F7036"/>
    <w:rsid w:val="003F7107"/>
    <w:rsid w:val="003F7169"/>
    <w:rsid w:val="003F72E9"/>
    <w:rsid w:val="003F7538"/>
    <w:rsid w:val="003F75CA"/>
    <w:rsid w:val="003F768C"/>
    <w:rsid w:val="003F7843"/>
    <w:rsid w:val="003F789F"/>
    <w:rsid w:val="003F79DD"/>
    <w:rsid w:val="003F7AD3"/>
    <w:rsid w:val="003F7B57"/>
    <w:rsid w:val="003F7C33"/>
    <w:rsid w:val="003F7E1A"/>
    <w:rsid w:val="003F7F16"/>
    <w:rsid w:val="004001FA"/>
    <w:rsid w:val="004002B8"/>
    <w:rsid w:val="00400317"/>
    <w:rsid w:val="004003FB"/>
    <w:rsid w:val="004006F1"/>
    <w:rsid w:val="0040076F"/>
    <w:rsid w:val="00400822"/>
    <w:rsid w:val="00400855"/>
    <w:rsid w:val="00400AD4"/>
    <w:rsid w:val="00400E77"/>
    <w:rsid w:val="00400E89"/>
    <w:rsid w:val="0040104E"/>
    <w:rsid w:val="0040117B"/>
    <w:rsid w:val="004012A7"/>
    <w:rsid w:val="004012F7"/>
    <w:rsid w:val="004013AF"/>
    <w:rsid w:val="004014F9"/>
    <w:rsid w:val="004015A1"/>
    <w:rsid w:val="004015BC"/>
    <w:rsid w:val="004015F0"/>
    <w:rsid w:val="0040163E"/>
    <w:rsid w:val="00401660"/>
    <w:rsid w:val="004017EF"/>
    <w:rsid w:val="0040183D"/>
    <w:rsid w:val="004018ED"/>
    <w:rsid w:val="004018F9"/>
    <w:rsid w:val="00401968"/>
    <w:rsid w:val="00401B0E"/>
    <w:rsid w:val="00401BB7"/>
    <w:rsid w:val="00401BCB"/>
    <w:rsid w:val="00401D1D"/>
    <w:rsid w:val="00401D6E"/>
    <w:rsid w:val="00401EEE"/>
    <w:rsid w:val="00401F48"/>
    <w:rsid w:val="0040210B"/>
    <w:rsid w:val="00402113"/>
    <w:rsid w:val="00402350"/>
    <w:rsid w:val="004023D7"/>
    <w:rsid w:val="0040245A"/>
    <w:rsid w:val="004024A8"/>
    <w:rsid w:val="004024B1"/>
    <w:rsid w:val="004024BC"/>
    <w:rsid w:val="0040254C"/>
    <w:rsid w:val="00402599"/>
    <w:rsid w:val="004026B9"/>
    <w:rsid w:val="004027D2"/>
    <w:rsid w:val="004028F5"/>
    <w:rsid w:val="00402942"/>
    <w:rsid w:val="004029A6"/>
    <w:rsid w:val="00402A00"/>
    <w:rsid w:val="00402B80"/>
    <w:rsid w:val="00402BFB"/>
    <w:rsid w:val="00402D73"/>
    <w:rsid w:val="00402DBA"/>
    <w:rsid w:val="00402EEB"/>
    <w:rsid w:val="00402F6A"/>
    <w:rsid w:val="00402F82"/>
    <w:rsid w:val="00403126"/>
    <w:rsid w:val="0040316E"/>
    <w:rsid w:val="004031CE"/>
    <w:rsid w:val="00403410"/>
    <w:rsid w:val="00403430"/>
    <w:rsid w:val="0040344F"/>
    <w:rsid w:val="00403488"/>
    <w:rsid w:val="004035D5"/>
    <w:rsid w:val="00403738"/>
    <w:rsid w:val="00403774"/>
    <w:rsid w:val="004038B1"/>
    <w:rsid w:val="00403A28"/>
    <w:rsid w:val="00403A35"/>
    <w:rsid w:val="00403AB6"/>
    <w:rsid w:val="00403D78"/>
    <w:rsid w:val="00403E35"/>
    <w:rsid w:val="00403E51"/>
    <w:rsid w:val="00403E80"/>
    <w:rsid w:val="004040A0"/>
    <w:rsid w:val="004040DD"/>
    <w:rsid w:val="004042F2"/>
    <w:rsid w:val="0040435D"/>
    <w:rsid w:val="0040438A"/>
    <w:rsid w:val="004045C6"/>
    <w:rsid w:val="00404609"/>
    <w:rsid w:val="00404734"/>
    <w:rsid w:val="00404736"/>
    <w:rsid w:val="004048B3"/>
    <w:rsid w:val="00404A36"/>
    <w:rsid w:val="00404A49"/>
    <w:rsid w:val="00404C31"/>
    <w:rsid w:val="00404ED2"/>
    <w:rsid w:val="00404F45"/>
    <w:rsid w:val="00405014"/>
    <w:rsid w:val="004050AA"/>
    <w:rsid w:val="00405102"/>
    <w:rsid w:val="0040512C"/>
    <w:rsid w:val="004051E0"/>
    <w:rsid w:val="0040539F"/>
    <w:rsid w:val="0040541D"/>
    <w:rsid w:val="0040541F"/>
    <w:rsid w:val="004054D0"/>
    <w:rsid w:val="004054F1"/>
    <w:rsid w:val="0040595A"/>
    <w:rsid w:val="004059E4"/>
    <w:rsid w:val="00405AF5"/>
    <w:rsid w:val="00405BB2"/>
    <w:rsid w:val="00405C92"/>
    <w:rsid w:val="00405CD6"/>
    <w:rsid w:val="00405E38"/>
    <w:rsid w:val="00405E69"/>
    <w:rsid w:val="00405EC0"/>
    <w:rsid w:val="00405F9C"/>
    <w:rsid w:val="00405F9D"/>
    <w:rsid w:val="00406154"/>
    <w:rsid w:val="00406215"/>
    <w:rsid w:val="0040631D"/>
    <w:rsid w:val="004064D8"/>
    <w:rsid w:val="00406543"/>
    <w:rsid w:val="00406572"/>
    <w:rsid w:val="00406576"/>
    <w:rsid w:val="00406623"/>
    <w:rsid w:val="0040666A"/>
    <w:rsid w:val="004066A5"/>
    <w:rsid w:val="0040692C"/>
    <w:rsid w:val="00406A6C"/>
    <w:rsid w:val="00406CFF"/>
    <w:rsid w:val="00406D5F"/>
    <w:rsid w:val="0040700D"/>
    <w:rsid w:val="004071E4"/>
    <w:rsid w:val="00407385"/>
    <w:rsid w:val="00407819"/>
    <w:rsid w:val="004079A0"/>
    <w:rsid w:val="004079CF"/>
    <w:rsid w:val="004079D4"/>
    <w:rsid w:val="00407A47"/>
    <w:rsid w:val="00407B07"/>
    <w:rsid w:val="00407BA5"/>
    <w:rsid w:val="00407C67"/>
    <w:rsid w:val="00407CA3"/>
    <w:rsid w:val="00407CF8"/>
    <w:rsid w:val="00407D5A"/>
    <w:rsid w:val="00407E0E"/>
    <w:rsid w:val="00407FA6"/>
    <w:rsid w:val="004100B1"/>
    <w:rsid w:val="00410156"/>
    <w:rsid w:val="004101DB"/>
    <w:rsid w:val="0041030B"/>
    <w:rsid w:val="004103A8"/>
    <w:rsid w:val="00410652"/>
    <w:rsid w:val="004106BE"/>
    <w:rsid w:val="0041070F"/>
    <w:rsid w:val="00410761"/>
    <w:rsid w:val="0041080A"/>
    <w:rsid w:val="00410849"/>
    <w:rsid w:val="00410BFB"/>
    <w:rsid w:val="00410C18"/>
    <w:rsid w:val="00410C9F"/>
    <w:rsid w:val="00410F7E"/>
    <w:rsid w:val="00411100"/>
    <w:rsid w:val="0041117A"/>
    <w:rsid w:val="00411333"/>
    <w:rsid w:val="0041133B"/>
    <w:rsid w:val="00411602"/>
    <w:rsid w:val="004116D9"/>
    <w:rsid w:val="00411755"/>
    <w:rsid w:val="0041178D"/>
    <w:rsid w:val="004118B5"/>
    <w:rsid w:val="004118F6"/>
    <w:rsid w:val="00411C03"/>
    <w:rsid w:val="00411D44"/>
    <w:rsid w:val="00411E64"/>
    <w:rsid w:val="004121EC"/>
    <w:rsid w:val="00412200"/>
    <w:rsid w:val="00412525"/>
    <w:rsid w:val="004125A2"/>
    <w:rsid w:val="00412652"/>
    <w:rsid w:val="004126B4"/>
    <w:rsid w:val="00412AA8"/>
    <w:rsid w:val="00412B33"/>
    <w:rsid w:val="00412B39"/>
    <w:rsid w:val="00412C02"/>
    <w:rsid w:val="00412D6A"/>
    <w:rsid w:val="00412E0C"/>
    <w:rsid w:val="00412E1A"/>
    <w:rsid w:val="00412E63"/>
    <w:rsid w:val="00413069"/>
    <w:rsid w:val="00413086"/>
    <w:rsid w:val="004132F8"/>
    <w:rsid w:val="004134A5"/>
    <w:rsid w:val="004136E5"/>
    <w:rsid w:val="00413786"/>
    <w:rsid w:val="004137BB"/>
    <w:rsid w:val="0041387C"/>
    <w:rsid w:val="00413888"/>
    <w:rsid w:val="00413927"/>
    <w:rsid w:val="004139BF"/>
    <w:rsid w:val="00413B45"/>
    <w:rsid w:val="00413B54"/>
    <w:rsid w:val="00413BD1"/>
    <w:rsid w:val="00413C39"/>
    <w:rsid w:val="00413E12"/>
    <w:rsid w:val="00413E5E"/>
    <w:rsid w:val="00413E8F"/>
    <w:rsid w:val="00413F5A"/>
    <w:rsid w:val="00413F68"/>
    <w:rsid w:val="00413FF2"/>
    <w:rsid w:val="0041408E"/>
    <w:rsid w:val="0041431C"/>
    <w:rsid w:val="004145E2"/>
    <w:rsid w:val="00414742"/>
    <w:rsid w:val="00414790"/>
    <w:rsid w:val="004148E4"/>
    <w:rsid w:val="004149D6"/>
    <w:rsid w:val="004149F7"/>
    <w:rsid w:val="00414A64"/>
    <w:rsid w:val="00414ECC"/>
    <w:rsid w:val="0041522B"/>
    <w:rsid w:val="004152C9"/>
    <w:rsid w:val="00415354"/>
    <w:rsid w:val="00415B92"/>
    <w:rsid w:val="00415BC0"/>
    <w:rsid w:val="00415C32"/>
    <w:rsid w:val="00415C93"/>
    <w:rsid w:val="00415C95"/>
    <w:rsid w:val="00415CB5"/>
    <w:rsid w:val="00415DB1"/>
    <w:rsid w:val="00415E1F"/>
    <w:rsid w:val="00415E6A"/>
    <w:rsid w:val="00415F0B"/>
    <w:rsid w:val="00415FE8"/>
    <w:rsid w:val="0041604E"/>
    <w:rsid w:val="004160C1"/>
    <w:rsid w:val="004160E8"/>
    <w:rsid w:val="00416131"/>
    <w:rsid w:val="004162D1"/>
    <w:rsid w:val="00416405"/>
    <w:rsid w:val="00416653"/>
    <w:rsid w:val="0041670B"/>
    <w:rsid w:val="00417161"/>
    <w:rsid w:val="004171B3"/>
    <w:rsid w:val="004171E8"/>
    <w:rsid w:val="00417320"/>
    <w:rsid w:val="004175C2"/>
    <w:rsid w:val="00417838"/>
    <w:rsid w:val="0041789A"/>
    <w:rsid w:val="0041789E"/>
    <w:rsid w:val="004178A2"/>
    <w:rsid w:val="0041791C"/>
    <w:rsid w:val="00417949"/>
    <w:rsid w:val="00417CA8"/>
    <w:rsid w:val="00417D12"/>
    <w:rsid w:val="00417D17"/>
    <w:rsid w:val="00417D18"/>
    <w:rsid w:val="00417E5A"/>
    <w:rsid w:val="00417E7D"/>
    <w:rsid w:val="004200A1"/>
    <w:rsid w:val="004201C2"/>
    <w:rsid w:val="004201F7"/>
    <w:rsid w:val="00420237"/>
    <w:rsid w:val="00420329"/>
    <w:rsid w:val="0042048E"/>
    <w:rsid w:val="004204AC"/>
    <w:rsid w:val="00420530"/>
    <w:rsid w:val="004205F6"/>
    <w:rsid w:val="00420699"/>
    <w:rsid w:val="0042090C"/>
    <w:rsid w:val="00420922"/>
    <w:rsid w:val="00420966"/>
    <w:rsid w:val="00420B18"/>
    <w:rsid w:val="00420BDC"/>
    <w:rsid w:val="00420CEB"/>
    <w:rsid w:val="00420DE8"/>
    <w:rsid w:val="00420F59"/>
    <w:rsid w:val="0042105E"/>
    <w:rsid w:val="00421251"/>
    <w:rsid w:val="00421326"/>
    <w:rsid w:val="00421370"/>
    <w:rsid w:val="00421378"/>
    <w:rsid w:val="0042152D"/>
    <w:rsid w:val="00421764"/>
    <w:rsid w:val="00421A89"/>
    <w:rsid w:val="00421B85"/>
    <w:rsid w:val="00421C30"/>
    <w:rsid w:val="00421D52"/>
    <w:rsid w:val="00421D65"/>
    <w:rsid w:val="00421F03"/>
    <w:rsid w:val="00421F8C"/>
    <w:rsid w:val="004220F2"/>
    <w:rsid w:val="0042212B"/>
    <w:rsid w:val="004221E7"/>
    <w:rsid w:val="004224E1"/>
    <w:rsid w:val="00422641"/>
    <w:rsid w:val="004226F9"/>
    <w:rsid w:val="0042274E"/>
    <w:rsid w:val="004227DF"/>
    <w:rsid w:val="00422967"/>
    <w:rsid w:val="00422AE5"/>
    <w:rsid w:val="00422B3D"/>
    <w:rsid w:val="00422CDC"/>
    <w:rsid w:val="00422D3B"/>
    <w:rsid w:val="00422E44"/>
    <w:rsid w:val="00422ED7"/>
    <w:rsid w:val="0042311D"/>
    <w:rsid w:val="00423139"/>
    <w:rsid w:val="0042319D"/>
    <w:rsid w:val="00423212"/>
    <w:rsid w:val="00423369"/>
    <w:rsid w:val="004233BE"/>
    <w:rsid w:val="00423566"/>
    <w:rsid w:val="0042358A"/>
    <w:rsid w:val="00423628"/>
    <w:rsid w:val="004239D4"/>
    <w:rsid w:val="00423B14"/>
    <w:rsid w:val="00423B47"/>
    <w:rsid w:val="00423B93"/>
    <w:rsid w:val="00423E79"/>
    <w:rsid w:val="00424045"/>
    <w:rsid w:val="00424293"/>
    <w:rsid w:val="004242FF"/>
    <w:rsid w:val="004244B4"/>
    <w:rsid w:val="00424527"/>
    <w:rsid w:val="00424727"/>
    <w:rsid w:val="00424842"/>
    <w:rsid w:val="00424A7A"/>
    <w:rsid w:val="00424ACF"/>
    <w:rsid w:val="00424B98"/>
    <w:rsid w:val="00424C21"/>
    <w:rsid w:val="00424E16"/>
    <w:rsid w:val="00424E2D"/>
    <w:rsid w:val="00424FF7"/>
    <w:rsid w:val="00425067"/>
    <w:rsid w:val="004251E4"/>
    <w:rsid w:val="004252B7"/>
    <w:rsid w:val="004253AF"/>
    <w:rsid w:val="0042545A"/>
    <w:rsid w:val="004254CE"/>
    <w:rsid w:val="004255DE"/>
    <w:rsid w:val="00425667"/>
    <w:rsid w:val="004256FE"/>
    <w:rsid w:val="0042583C"/>
    <w:rsid w:val="0042595A"/>
    <w:rsid w:val="00425AC7"/>
    <w:rsid w:val="00425B2C"/>
    <w:rsid w:val="00425C5C"/>
    <w:rsid w:val="00425D6E"/>
    <w:rsid w:val="00425E4F"/>
    <w:rsid w:val="00425EA8"/>
    <w:rsid w:val="004261F8"/>
    <w:rsid w:val="00426200"/>
    <w:rsid w:val="0042629D"/>
    <w:rsid w:val="0042640E"/>
    <w:rsid w:val="0042648E"/>
    <w:rsid w:val="0042649A"/>
    <w:rsid w:val="004264E7"/>
    <w:rsid w:val="004264EE"/>
    <w:rsid w:val="0042650E"/>
    <w:rsid w:val="00426613"/>
    <w:rsid w:val="004267ED"/>
    <w:rsid w:val="0042698C"/>
    <w:rsid w:val="004269C1"/>
    <w:rsid w:val="00426B15"/>
    <w:rsid w:val="00426B50"/>
    <w:rsid w:val="00426C89"/>
    <w:rsid w:val="00426D24"/>
    <w:rsid w:val="00426D72"/>
    <w:rsid w:val="00426F32"/>
    <w:rsid w:val="00426FBF"/>
    <w:rsid w:val="00427255"/>
    <w:rsid w:val="0042726C"/>
    <w:rsid w:val="004272D2"/>
    <w:rsid w:val="00427481"/>
    <w:rsid w:val="00427531"/>
    <w:rsid w:val="0042757F"/>
    <w:rsid w:val="00427638"/>
    <w:rsid w:val="00427BB9"/>
    <w:rsid w:val="00427C84"/>
    <w:rsid w:val="00427C93"/>
    <w:rsid w:val="00427DDB"/>
    <w:rsid w:val="00427FB1"/>
    <w:rsid w:val="0043006E"/>
    <w:rsid w:val="0043014C"/>
    <w:rsid w:val="00430211"/>
    <w:rsid w:val="00430257"/>
    <w:rsid w:val="0043050C"/>
    <w:rsid w:val="00430537"/>
    <w:rsid w:val="004306EB"/>
    <w:rsid w:val="004307AD"/>
    <w:rsid w:val="004307D5"/>
    <w:rsid w:val="004307ED"/>
    <w:rsid w:val="004307FD"/>
    <w:rsid w:val="00430814"/>
    <w:rsid w:val="004308C7"/>
    <w:rsid w:val="00430A15"/>
    <w:rsid w:val="00430AEE"/>
    <w:rsid w:val="00430B0E"/>
    <w:rsid w:val="00430C4F"/>
    <w:rsid w:val="00430F47"/>
    <w:rsid w:val="00430F5D"/>
    <w:rsid w:val="00431134"/>
    <w:rsid w:val="0043116D"/>
    <w:rsid w:val="004311C9"/>
    <w:rsid w:val="0043138F"/>
    <w:rsid w:val="00431424"/>
    <w:rsid w:val="004314D2"/>
    <w:rsid w:val="004314F7"/>
    <w:rsid w:val="004315EB"/>
    <w:rsid w:val="00431622"/>
    <w:rsid w:val="0043168A"/>
    <w:rsid w:val="004316BF"/>
    <w:rsid w:val="00431878"/>
    <w:rsid w:val="004318FF"/>
    <w:rsid w:val="00431AD5"/>
    <w:rsid w:val="00431AD6"/>
    <w:rsid w:val="00431B7A"/>
    <w:rsid w:val="00431C37"/>
    <w:rsid w:val="00431DD0"/>
    <w:rsid w:val="00431F82"/>
    <w:rsid w:val="00431F9E"/>
    <w:rsid w:val="00432253"/>
    <w:rsid w:val="004323C5"/>
    <w:rsid w:val="0043245E"/>
    <w:rsid w:val="00432484"/>
    <w:rsid w:val="00432505"/>
    <w:rsid w:val="00432515"/>
    <w:rsid w:val="00432604"/>
    <w:rsid w:val="004326EE"/>
    <w:rsid w:val="0043276D"/>
    <w:rsid w:val="004328FC"/>
    <w:rsid w:val="0043290F"/>
    <w:rsid w:val="004329C6"/>
    <w:rsid w:val="00432B4F"/>
    <w:rsid w:val="00432EB7"/>
    <w:rsid w:val="00432F1B"/>
    <w:rsid w:val="00432F3C"/>
    <w:rsid w:val="004333E6"/>
    <w:rsid w:val="004334B1"/>
    <w:rsid w:val="00433522"/>
    <w:rsid w:val="0043363B"/>
    <w:rsid w:val="004336D4"/>
    <w:rsid w:val="00433773"/>
    <w:rsid w:val="004337A5"/>
    <w:rsid w:val="00433920"/>
    <w:rsid w:val="004339A0"/>
    <w:rsid w:val="004339FD"/>
    <w:rsid w:val="00433B35"/>
    <w:rsid w:val="00433B49"/>
    <w:rsid w:val="00433B4F"/>
    <w:rsid w:val="00433D8A"/>
    <w:rsid w:val="0043430B"/>
    <w:rsid w:val="00434329"/>
    <w:rsid w:val="004344CE"/>
    <w:rsid w:val="0043453D"/>
    <w:rsid w:val="0043457C"/>
    <w:rsid w:val="004346C5"/>
    <w:rsid w:val="00434C16"/>
    <w:rsid w:val="00434ED7"/>
    <w:rsid w:val="00434EFE"/>
    <w:rsid w:val="00434EFF"/>
    <w:rsid w:val="0043500F"/>
    <w:rsid w:val="00435230"/>
    <w:rsid w:val="00435425"/>
    <w:rsid w:val="00435488"/>
    <w:rsid w:val="00435489"/>
    <w:rsid w:val="0043568D"/>
    <w:rsid w:val="0043569F"/>
    <w:rsid w:val="00435717"/>
    <w:rsid w:val="00435860"/>
    <w:rsid w:val="0043589C"/>
    <w:rsid w:val="004358E7"/>
    <w:rsid w:val="00435AAF"/>
    <w:rsid w:val="00435AB6"/>
    <w:rsid w:val="00435EBD"/>
    <w:rsid w:val="00436034"/>
    <w:rsid w:val="00436039"/>
    <w:rsid w:val="00436088"/>
    <w:rsid w:val="0043617F"/>
    <w:rsid w:val="0043624C"/>
    <w:rsid w:val="0043655C"/>
    <w:rsid w:val="00436621"/>
    <w:rsid w:val="004367EA"/>
    <w:rsid w:val="004367ED"/>
    <w:rsid w:val="0043689E"/>
    <w:rsid w:val="004369BC"/>
    <w:rsid w:val="004369D9"/>
    <w:rsid w:val="00436B10"/>
    <w:rsid w:val="00436C71"/>
    <w:rsid w:val="0043705A"/>
    <w:rsid w:val="0043716B"/>
    <w:rsid w:val="00437320"/>
    <w:rsid w:val="004374DC"/>
    <w:rsid w:val="00437534"/>
    <w:rsid w:val="004375ED"/>
    <w:rsid w:val="00437722"/>
    <w:rsid w:val="00437747"/>
    <w:rsid w:val="004379B0"/>
    <w:rsid w:val="00437BB4"/>
    <w:rsid w:val="00437D1A"/>
    <w:rsid w:val="00437F5B"/>
    <w:rsid w:val="0044006A"/>
    <w:rsid w:val="004400E3"/>
    <w:rsid w:val="00440490"/>
    <w:rsid w:val="004404A0"/>
    <w:rsid w:val="0044051F"/>
    <w:rsid w:val="00440747"/>
    <w:rsid w:val="004407FC"/>
    <w:rsid w:val="00440815"/>
    <w:rsid w:val="00440825"/>
    <w:rsid w:val="004408F0"/>
    <w:rsid w:val="0044091B"/>
    <w:rsid w:val="00440924"/>
    <w:rsid w:val="00440925"/>
    <w:rsid w:val="00440A4F"/>
    <w:rsid w:val="00440A73"/>
    <w:rsid w:val="00440DBF"/>
    <w:rsid w:val="00441002"/>
    <w:rsid w:val="004411B6"/>
    <w:rsid w:val="0044141B"/>
    <w:rsid w:val="0044194B"/>
    <w:rsid w:val="00441A54"/>
    <w:rsid w:val="00441C7F"/>
    <w:rsid w:val="00441DB5"/>
    <w:rsid w:val="00441EBF"/>
    <w:rsid w:val="00441F4E"/>
    <w:rsid w:val="00441F6A"/>
    <w:rsid w:val="00441FAC"/>
    <w:rsid w:val="00442041"/>
    <w:rsid w:val="00442073"/>
    <w:rsid w:val="004423BC"/>
    <w:rsid w:val="00442444"/>
    <w:rsid w:val="00442524"/>
    <w:rsid w:val="004425F6"/>
    <w:rsid w:val="00442620"/>
    <w:rsid w:val="00442816"/>
    <w:rsid w:val="004429E3"/>
    <w:rsid w:val="00442C25"/>
    <w:rsid w:val="00442D45"/>
    <w:rsid w:val="00442D73"/>
    <w:rsid w:val="00442D9F"/>
    <w:rsid w:val="00443224"/>
    <w:rsid w:val="004432C8"/>
    <w:rsid w:val="00443301"/>
    <w:rsid w:val="004433D9"/>
    <w:rsid w:val="0044342D"/>
    <w:rsid w:val="004434B7"/>
    <w:rsid w:val="00443539"/>
    <w:rsid w:val="004435FA"/>
    <w:rsid w:val="0044372C"/>
    <w:rsid w:val="0044376A"/>
    <w:rsid w:val="00443895"/>
    <w:rsid w:val="004439AE"/>
    <w:rsid w:val="00443AFF"/>
    <w:rsid w:val="00443DC4"/>
    <w:rsid w:val="00443F03"/>
    <w:rsid w:val="00443F69"/>
    <w:rsid w:val="00443FEB"/>
    <w:rsid w:val="00444056"/>
    <w:rsid w:val="0044442F"/>
    <w:rsid w:val="0044444C"/>
    <w:rsid w:val="004444C7"/>
    <w:rsid w:val="00444609"/>
    <w:rsid w:val="004448D7"/>
    <w:rsid w:val="00444B28"/>
    <w:rsid w:val="00444B3B"/>
    <w:rsid w:val="00444B53"/>
    <w:rsid w:val="00444BDB"/>
    <w:rsid w:val="00444CD3"/>
    <w:rsid w:val="00444CE4"/>
    <w:rsid w:val="00444E69"/>
    <w:rsid w:val="00444ED7"/>
    <w:rsid w:val="00444F75"/>
    <w:rsid w:val="00445203"/>
    <w:rsid w:val="00445208"/>
    <w:rsid w:val="00445288"/>
    <w:rsid w:val="004453C3"/>
    <w:rsid w:val="00445410"/>
    <w:rsid w:val="0044555E"/>
    <w:rsid w:val="0044576E"/>
    <w:rsid w:val="00445795"/>
    <w:rsid w:val="004457A7"/>
    <w:rsid w:val="004458BD"/>
    <w:rsid w:val="004458FD"/>
    <w:rsid w:val="0044592B"/>
    <w:rsid w:val="00445D8D"/>
    <w:rsid w:val="00445DD1"/>
    <w:rsid w:val="00446231"/>
    <w:rsid w:val="00446337"/>
    <w:rsid w:val="004465DE"/>
    <w:rsid w:val="0044672B"/>
    <w:rsid w:val="00446909"/>
    <w:rsid w:val="004469B5"/>
    <w:rsid w:val="00446C6C"/>
    <w:rsid w:val="00446CD5"/>
    <w:rsid w:val="00446DEF"/>
    <w:rsid w:val="00446DF3"/>
    <w:rsid w:val="00446ECF"/>
    <w:rsid w:val="00446F5A"/>
    <w:rsid w:val="00446F94"/>
    <w:rsid w:val="00447062"/>
    <w:rsid w:val="0044724E"/>
    <w:rsid w:val="004472FF"/>
    <w:rsid w:val="004474CB"/>
    <w:rsid w:val="00447517"/>
    <w:rsid w:val="00447893"/>
    <w:rsid w:val="00447938"/>
    <w:rsid w:val="00447957"/>
    <w:rsid w:val="00447AAE"/>
    <w:rsid w:val="00447B6C"/>
    <w:rsid w:val="00447C5A"/>
    <w:rsid w:val="00447E53"/>
    <w:rsid w:val="004500E4"/>
    <w:rsid w:val="004503DA"/>
    <w:rsid w:val="00450583"/>
    <w:rsid w:val="0045068C"/>
    <w:rsid w:val="00450856"/>
    <w:rsid w:val="00450A15"/>
    <w:rsid w:val="00450A69"/>
    <w:rsid w:val="00450CA9"/>
    <w:rsid w:val="00450D61"/>
    <w:rsid w:val="00450E2B"/>
    <w:rsid w:val="00450E6E"/>
    <w:rsid w:val="00450EC1"/>
    <w:rsid w:val="00450F2B"/>
    <w:rsid w:val="00451178"/>
    <w:rsid w:val="00451179"/>
    <w:rsid w:val="004511D4"/>
    <w:rsid w:val="00451349"/>
    <w:rsid w:val="00451778"/>
    <w:rsid w:val="00451B7E"/>
    <w:rsid w:val="00451BB0"/>
    <w:rsid w:val="00451C4F"/>
    <w:rsid w:val="00451D1E"/>
    <w:rsid w:val="0045201E"/>
    <w:rsid w:val="0045217D"/>
    <w:rsid w:val="004521D6"/>
    <w:rsid w:val="004522D8"/>
    <w:rsid w:val="00452344"/>
    <w:rsid w:val="00452573"/>
    <w:rsid w:val="00452580"/>
    <w:rsid w:val="004526DD"/>
    <w:rsid w:val="004528DE"/>
    <w:rsid w:val="004529C6"/>
    <w:rsid w:val="00452BA0"/>
    <w:rsid w:val="00452C78"/>
    <w:rsid w:val="00452C7D"/>
    <w:rsid w:val="00452D09"/>
    <w:rsid w:val="004530D4"/>
    <w:rsid w:val="00453196"/>
    <w:rsid w:val="004532F7"/>
    <w:rsid w:val="0045338C"/>
    <w:rsid w:val="0045357D"/>
    <w:rsid w:val="004535A4"/>
    <w:rsid w:val="00453653"/>
    <w:rsid w:val="00453697"/>
    <w:rsid w:val="0045369B"/>
    <w:rsid w:val="0045381B"/>
    <w:rsid w:val="00453863"/>
    <w:rsid w:val="00453874"/>
    <w:rsid w:val="00453AE7"/>
    <w:rsid w:val="00453C0A"/>
    <w:rsid w:val="00454024"/>
    <w:rsid w:val="00454131"/>
    <w:rsid w:val="00454204"/>
    <w:rsid w:val="004542E1"/>
    <w:rsid w:val="0045436C"/>
    <w:rsid w:val="00454424"/>
    <w:rsid w:val="0045448E"/>
    <w:rsid w:val="004544E2"/>
    <w:rsid w:val="00454670"/>
    <w:rsid w:val="00454A76"/>
    <w:rsid w:val="00454C19"/>
    <w:rsid w:val="0045555B"/>
    <w:rsid w:val="0045555F"/>
    <w:rsid w:val="00455570"/>
    <w:rsid w:val="00455704"/>
    <w:rsid w:val="0045592F"/>
    <w:rsid w:val="00455AB5"/>
    <w:rsid w:val="00455C39"/>
    <w:rsid w:val="00455C6D"/>
    <w:rsid w:val="00455D64"/>
    <w:rsid w:val="00455E76"/>
    <w:rsid w:val="00455EF7"/>
    <w:rsid w:val="00455F00"/>
    <w:rsid w:val="00455FEC"/>
    <w:rsid w:val="0045613F"/>
    <w:rsid w:val="004561C2"/>
    <w:rsid w:val="00456213"/>
    <w:rsid w:val="00456236"/>
    <w:rsid w:val="00456354"/>
    <w:rsid w:val="0045635E"/>
    <w:rsid w:val="004566BF"/>
    <w:rsid w:val="00456715"/>
    <w:rsid w:val="0045689D"/>
    <w:rsid w:val="004569AF"/>
    <w:rsid w:val="00456A87"/>
    <w:rsid w:val="00456BE5"/>
    <w:rsid w:val="00456C2E"/>
    <w:rsid w:val="00456F4E"/>
    <w:rsid w:val="00456FF1"/>
    <w:rsid w:val="00457000"/>
    <w:rsid w:val="004570FC"/>
    <w:rsid w:val="004571C7"/>
    <w:rsid w:val="00457682"/>
    <w:rsid w:val="00457808"/>
    <w:rsid w:val="00457836"/>
    <w:rsid w:val="004578B7"/>
    <w:rsid w:val="004578D8"/>
    <w:rsid w:val="00457925"/>
    <w:rsid w:val="00457968"/>
    <w:rsid w:val="00457B3D"/>
    <w:rsid w:val="00457E20"/>
    <w:rsid w:val="00457EEC"/>
    <w:rsid w:val="00457FA9"/>
    <w:rsid w:val="0046040C"/>
    <w:rsid w:val="0046044E"/>
    <w:rsid w:val="00460591"/>
    <w:rsid w:val="004606FF"/>
    <w:rsid w:val="00460704"/>
    <w:rsid w:val="00460731"/>
    <w:rsid w:val="00460833"/>
    <w:rsid w:val="00460881"/>
    <w:rsid w:val="0046094A"/>
    <w:rsid w:val="0046095F"/>
    <w:rsid w:val="00460A49"/>
    <w:rsid w:val="00460B2D"/>
    <w:rsid w:val="00460B93"/>
    <w:rsid w:val="00460BC6"/>
    <w:rsid w:val="00460EB2"/>
    <w:rsid w:val="00460F89"/>
    <w:rsid w:val="00461239"/>
    <w:rsid w:val="00461427"/>
    <w:rsid w:val="004614BC"/>
    <w:rsid w:val="00461859"/>
    <w:rsid w:val="00461917"/>
    <w:rsid w:val="00461B48"/>
    <w:rsid w:val="00461B89"/>
    <w:rsid w:val="00461BA4"/>
    <w:rsid w:val="00461BD9"/>
    <w:rsid w:val="00461BE9"/>
    <w:rsid w:val="00461C0F"/>
    <w:rsid w:val="00461EC0"/>
    <w:rsid w:val="00461F0F"/>
    <w:rsid w:val="00461F75"/>
    <w:rsid w:val="00462025"/>
    <w:rsid w:val="00462130"/>
    <w:rsid w:val="004622E8"/>
    <w:rsid w:val="004623A0"/>
    <w:rsid w:val="00462422"/>
    <w:rsid w:val="004624C8"/>
    <w:rsid w:val="0046268E"/>
    <w:rsid w:val="00462864"/>
    <w:rsid w:val="00462B03"/>
    <w:rsid w:val="00462B1B"/>
    <w:rsid w:val="00462C16"/>
    <w:rsid w:val="00462EE2"/>
    <w:rsid w:val="00462F04"/>
    <w:rsid w:val="00463042"/>
    <w:rsid w:val="004631AF"/>
    <w:rsid w:val="0046325C"/>
    <w:rsid w:val="00463315"/>
    <w:rsid w:val="00463346"/>
    <w:rsid w:val="00463642"/>
    <w:rsid w:val="0046378F"/>
    <w:rsid w:val="004639C8"/>
    <w:rsid w:val="00463BA7"/>
    <w:rsid w:val="00463BD9"/>
    <w:rsid w:val="00463E64"/>
    <w:rsid w:val="0046425E"/>
    <w:rsid w:val="00464435"/>
    <w:rsid w:val="00464450"/>
    <w:rsid w:val="004644A3"/>
    <w:rsid w:val="00464534"/>
    <w:rsid w:val="00464753"/>
    <w:rsid w:val="00464A0C"/>
    <w:rsid w:val="00464BD5"/>
    <w:rsid w:val="00464C5F"/>
    <w:rsid w:val="00464CF6"/>
    <w:rsid w:val="00464E01"/>
    <w:rsid w:val="00465177"/>
    <w:rsid w:val="00465655"/>
    <w:rsid w:val="0046566B"/>
    <w:rsid w:val="00465779"/>
    <w:rsid w:val="0046577B"/>
    <w:rsid w:val="004658D1"/>
    <w:rsid w:val="00465910"/>
    <w:rsid w:val="00465B62"/>
    <w:rsid w:val="00465B7E"/>
    <w:rsid w:val="00465B90"/>
    <w:rsid w:val="00465BD2"/>
    <w:rsid w:val="00465DB5"/>
    <w:rsid w:val="00465E0C"/>
    <w:rsid w:val="00465E30"/>
    <w:rsid w:val="00465F14"/>
    <w:rsid w:val="00465F98"/>
    <w:rsid w:val="0046605A"/>
    <w:rsid w:val="00466121"/>
    <w:rsid w:val="00466225"/>
    <w:rsid w:val="00466228"/>
    <w:rsid w:val="00466244"/>
    <w:rsid w:val="004662F1"/>
    <w:rsid w:val="0046634E"/>
    <w:rsid w:val="004663EA"/>
    <w:rsid w:val="0046663D"/>
    <w:rsid w:val="004666C5"/>
    <w:rsid w:val="00466775"/>
    <w:rsid w:val="004667A4"/>
    <w:rsid w:val="00466800"/>
    <w:rsid w:val="00466913"/>
    <w:rsid w:val="00466935"/>
    <w:rsid w:val="004669BF"/>
    <w:rsid w:val="00466A60"/>
    <w:rsid w:val="00466B3A"/>
    <w:rsid w:val="00466BD6"/>
    <w:rsid w:val="00466D81"/>
    <w:rsid w:val="00466E1D"/>
    <w:rsid w:val="00466EB6"/>
    <w:rsid w:val="00466FE8"/>
    <w:rsid w:val="004671B9"/>
    <w:rsid w:val="004672A4"/>
    <w:rsid w:val="0046773C"/>
    <w:rsid w:val="00467895"/>
    <w:rsid w:val="00467896"/>
    <w:rsid w:val="004678A3"/>
    <w:rsid w:val="0046799F"/>
    <w:rsid w:val="00467AEA"/>
    <w:rsid w:val="00467C65"/>
    <w:rsid w:val="00467D66"/>
    <w:rsid w:val="00467E67"/>
    <w:rsid w:val="00467EB1"/>
    <w:rsid w:val="00467F18"/>
    <w:rsid w:val="00467F40"/>
    <w:rsid w:val="0046A58D"/>
    <w:rsid w:val="00470052"/>
    <w:rsid w:val="00470068"/>
    <w:rsid w:val="0047021C"/>
    <w:rsid w:val="0047024A"/>
    <w:rsid w:val="0047026C"/>
    <w:rsid w:val="004702A2"/>
    <w:rsid w:val="004704E8"/>
    <w:rsid w:val="00470548"/>
    <w:rsid w:val="00470565"/>
    <w:rsid w:val="00470566"/>
    <w:rsid w:val="004706C5"/>
    <w:rsid w:val="004706D5"/>
    <w:rsid w:val="004708F0"/>
    <w:rsid w:val="00470D2F"/>
    <w:rsid w:val="00470D97"/>
    <w:rsid w:val="00470ECF"/>
    <w:rsid w:val="00470F70"/>
    <w:rsid w:val="004710B1"/>
    <w:rsid w:val="004710F0"/>
    <w:rsid w:val="00471131"/>
    <w:rsid w:val="00471166"/>
    <w:rsid w:val="00471298"/>
    <w:rsid w:val="004712F8"/>
    <w:rsid w:val="00471585"/>
    <w:rsid w:val="0047159D"/>
    <w:rsid w:val="004715AA"/>
    <w:rsid w:val="00471663"/>
    <w:rsid w:val="0047178F"/>
    <w:rsid w:val="004719EC"/>
    <w:rsid w:val="00471AC1"/>
    <w:rsid w:val="00471DEE"/>
    <w:rsid w:val="00471E6A"/>
    <w:rsid w:val="00471E83"/>
    <w:rsid w:val="00471F0C"/>
    <w:rsid w:val="00472021"/>
    <w:rsid w:val="00472069"/>
    <w:rsid w:val="00472070"/>
    <w:rsid w:val="004722F6"/>
    <w:rsid w:val="00472406"/>
    <w:rsid w:val="00472422"/>
    <w:rsid w:val="0047243C"/>
    <w:rsid w:val="004724FE"/>
    <w:rsid w:val="004725A5"/>
    <w:rsid w:val="0047262F"/>
    <w:rsid w:val="0047269C"/>
    <w:rsid w:val="00472754"/>
    <w:rsid w:val="00472855"/>
    <w:rsid w:val="0047285A"/>
    <w:rsid w:val="00472B9F"/>
    <w:rsid w:val="00472CB3"/>
    <w:rsid w:val="00472D2E"/>
    <w:rsid w:val="00472E72"/>
    <w:rsid w:val="00472EAA"/>
    <w:rsid w:val="00472F99"/>
    <w:rsid w:val="00473111"/>
    <w:rsid w:val="0047319B"/>
    <w:rsid w:val="004731DD"/>
    <w:rsid w:val="00473247"/>
    <w:rsid w:val="004732BA"/>
    <w:rsid w:val="004733E6"/>
    <w:rsid w:val="0047340E"/>
    <w:rsid w:val="0047342D"/>
    <w:rsid w:val="0047346C"/>
    <w:rsid w:val="0047348E"/>
    <w:rsid w:val="004734FD"/>
    <w:rsid w:val="004735A3"/>
    <w:rsid w:val="004736C9"/>
    <w:rsid w:val="004737FF"/>
    <w:rsid w:val="004739AE"/>
    <w:rsid w:val="00473C35"/>
    <w:rsid w:val="00473E1E"/>
    <w:rsid w:val="00473EA6"/>
    <w:rsid w:val="00473FBA"/>
    <w:rsid w:val="00473FC7"/>
    <w:rsid w:val="0047401F"/>
    <w:rsid w:val="00474052"/>
    <w:rsid w:val="00474190"/>
    <w:rsid w:val="004742A7"/>
    <w:rsid w:val="00474431"/>
    <w:rsid w:val="0047458B"/>
    <w:rsid w:val="004748A9"/>
    <w:rsid w:val="00474943"/>
    <w:rsid w:val="0047497B"/>
    <w:rsid w:val="00474999"/>
    <w:rsid w:val="00474A86"/>
    <w:rsid w:val="00474C8C"/>
    <w:rsid w:val="00474D2D"/>
    <w:rsid w:val="00474D61"/>
    <w:rsid w:val="00474DDC"/>
    <w:rsid w:val="00474DE8"/>
    <w:rsid w:val="00474E47"/>
    <w:rsid w:val="00474E73"/>
    <w:rsid w:val="00474E99"/>
    <w:rsid w:val="00474F23"/>
    <w:rsid w:val="00475026"/>
    <w:rsid w:val="0047505C"/>
    <w:rsid w:val="00475204"/>
    <w:rsid w:val="0047523A"/>
    <w:rsid w:val="004752AD"/>
    <w:rsid w:val="00475434"/>
    <w:rsid w:val="0047558E"/>
    <w:rsid w:val="00475683"/>
    <w:rsid w:val="00475897"/>
    <w:rsid w:val="004758F7"/>
    <w:rsid w:val="00475A49"/>
    <w:rsid w:val="00475B11"/>
    <w:rsid w:val="00475D58"/>
    <w:rsid w:val="00475F23"/>
    <w:rsid w:val="00476235"/>
    <w:rsid w:val="0047635F"/>
    <w:rsid w:val="0047655C"/>
    <w:rsid w:val="00476699"/>
    <w:rsid w:val="004766CA"/>
    <w:rsid w:val="004767D1"/>
    <w:rsid w:val="0047695E"/>
    <w:rsid w:val="00476A50"/>
    <w:rsid w:val="00476AD0"/>
    <w:rsid w:val="00476BE7"/>
    <w:rsid w:val="00476C01"/>
    <w:rsid w:val="00476C9F"/>
    <w:rsid w:val="00476DD1"/>
    <w:rsid w:val="00476F5F"/>
    <w:rsid w:val="00476FCA"/>
    <w:rsid w:val="00477116"/>
    <w:rsid w:val="00477180"/>
    <w:rsid w:val="004773E5"/>
    <w:rsid w:val="004774C3"/>
    <w:rsid w:val="00477534"/>
    <w:rsid w:val="004775A3"/>
    <w:rsid w:val="004778EE"/>
    <w:rsid w:val="00477A5A"/>
    <w:rsid w:val="00477AB2"/>
    <w:rsid w:val="00477E15"/>
    <w:rsid w:val="00480007"/>
    <w:rsid w:val="004800AD"/>
    <w:rsid w:val="00480147"/>
    <w:rsid w:val="0048038E"/>
    <w:rsid w:val="00480672"/>
    <w:rsid w:val="0048078A"/>
    <w:rsid w:val="00480C09"/>
    <w:rsid w:val="00480C8C"/>
    <w:rsid w:val="00480E3D"/>
    <w:rsid w:val="00481411"/>
    <w:rsid w:val="00481449"/>
    <w:rsid w:val="0048148B"/>
    <w:rsid w:val="004816A9"/>
    <w:rsid w:val="0048177F"/>
    <w:rsid w:val="00481858"/>
    <w:rsid w:val="004818D1"/>
    <w:rsid w:val="00481915"/>
    <w:rsid w:val="0048195E"/>
    <w:rsid w:val="00481A86"/>
    <w:rsid w:val="00481BF7"/>
    <w:rsid w:val="00481BFC"/>
    <w:rsid w:val="00481DB5"/>
    <w:rsid w:val="00481DC7"/>
    <w:rsid w:val="00481DF3"/>
    <w:rsid w:val="00481EEE"/>
    <w:rsid w:val="00481FDC"/>
    <w:rsid w:val="00482024"/>
    <w:rsid w:val="00482063"/>
    <w:rsid w:val="0048206E"/>
    <w:rsid w:val="004821A8"/>
    <w:rsid w:val="004821AD"/>
    <w:rsid w:val="0048225C"/>
    <w:rsid w:val="0048247F"/>
    <w:rsid w:val="0048251B"/>
    <w:rsid w:val="00482652"/>
    <w:rsid w:val="0048281F"/>
    <w:rsid w:val="004828ED"/>
    <w:rsid w:val="00482BB9"/>
    <w:rsid w:val="00482BC8"/>
    <w:rsid w:val="00482CB4"/>
    <w:rsid w:val="00482D5E"/>
    <w:rsid w:val="00482E3F"/>
    <w:rsid w:val="00482FC9"/>
    <w:rsid w:val="00483087"/>
    <w:rsid w:val="00483137"/>
    <w:rsid w:val="00483172"/>
    <w:rsid w:val="00483186"/>
    <w:rsid w:val="0048339E"/>
    <w:rsid w:val="0048343F"/>
    <w:rsid w:val="004834BA"/>
    <w:rsid w:val="00483552"/>
    <w:rsid w:val="0048361E"/>
    <w:rsid w:val="00483702"/>
    <w:rsid w:val="004837AF"/>
    <w:rsid w:val="00483803"/>
    <w:rsid w:val="004838C2"/>
    <w:rsid w:val="00483AB0"/>
    <w:rsid w:val="00483C20"/>
    <w:rsid w:val="00483C68"/>
    <w:rsid w:val="00483E70"/>
    <w:rsid w:val="00483EF2"/>
    <w:rsid w:val="0048417B"/>
    <w:rsid w:val="00484435"/>
    <w:rsid w:val="00484645"/>
    <w:rsid w:val="004846D2"/>
    <w:rsid w:val="004846D3"/>
    <w:rsid w:val="00484793"/>
    <w:rsid w:val="004848EE"/>
    <w:rsid w:val="00484915"/>
    <w:rsid w:val="00484A54"/>
    <w:rsid w:val="00484A5C"/>
    <w:rsid w:val="00484A76"/>
    <w:rsid w:val="00484C16"/>
    <w:rsid w:val="00485174"/>
    <w:rsid w:val="004852C9"/>
    <w:rsid w:val="004854B0"/>
    <w:rsid w:val="004855C0"/>
    <w:rsid w:val="004855F1"/>
    <w:rsid w:val="00485651"/>
    <w:rsid w:val="004856D7"/>
    <w:rsid w:val="00485718"/>
    <w:rsid w:val="0048578F"/>
    <w:rsid w:val="004857DB"/>
    <w:rsid w:val="004859D5"/>
    <w:rsid w:val="00485CF5"/>
    <w:rsid w:val="00486078"/>
    <w:rsid w:val="0048627B"/>
    <w:rsid w:val="0048645F"/>
    <w:rsid w:val="004864AD"/>
    <w:rsid w:val="0048655C"/>
    <w:rsid w:val="004865B4"/>
    <w:rsid w:val="00486793"/>
    <w:rsid w:val="004867EE"/>
    <w:rsid w:val="00486982"/>
    <w:rsid w:val="004869D8"/>
    <w:rsid w:val="004869ED"/>
    <w:rsid w:val="00486A16"/>
    <w:rsid w:val="00486C27"/>
    <w:rsid w:val="00486C96"/>
    <w:rsid w:val="00486F91"/>
    <w:rsid w:val="00486FF4"/>
    <w:rsid w:val="00487030"/>
    <w:rsid w:val="00487097"/>
    <w:rsid w:val="004871FB"/>
    <w:rsid w:val="004871FF"/>
    <w:rsid w:val="00487431"/>
    <w:rsid w:val="00487760"/>
    <w:rsid w:val="00487819"/>
    <w:rsid w:val="00487833"/>
    <w:rsid w:val="0048785A"/>
    <w:rsid w:val="004878E2"/>
    <w:rsid w:val="004879E4"/>
    <w:rsid w:val="00487A48"/>
    <w:rsid w:val="00487A99"/>
    <w:rsid w:val="00487A9B"/>
    <w:rsid w:val="00487D56"/>
    <w:rsid w:val="00487D68"/>
    <w:rsid w:val="00487F77"/>
    <w:rsid w:val="0049022D"/>
    <w:rsid w:val="004902D0"/>
    <w:rsid w:val="0049040A"/>
    <w:rsid w:val="004906A0"/>
    <w:rsid w:val="00490888"/>
    <w:rsid w:val="00490890"/>
    <w:rsid w:val="00490981"/>
    <w:rsid w:val="00490CB5"/>
    <w:rsid w:val="00490CCA"/>
    <w:rsid w:val="00490D90"/>
    <w:rsid w:val="00490F31"/>
    <w:rsid w:val="00490F9A"/>
    <w:rsid w:val="00491250"/>
    <w:rsid w:val="004913C6"/>
    <w:rsid w:val="004913FF"/>
    <w:rsid w:val="0049159F"/>
    <w:rsid w:val="00491970"/>
    <w:rsid w:val="0049197E"/>
    <w:rsid w:val="00491A5A"/>
    <w:rsid w:val="00491B03"/>
    <w:rsid w:val="00491B84"/>
    <w:rsid w:val="00491C17"/>
    <w:rsid w:val="00491C8E"/>
    <w:rsid w:val="00491CAD"/>
    <w:rsid w:val="00491CD1"/>
    <w:rsid w:val="00491E66"/>
    <w:rsid w:val="00492046"/>
    <w:rsid w:val="004920C8"/>
    <w:rsid w:val="004920E6"/>
    <w:rsid w:val="00492245"/>
    <w:rsid w:val="004922DF"/>
    <w:rsid w:val="004923A4"/>
    <w:rsid w:val="00492489"/>
    <w:rsid w:val="004925AF"/>
    <w:rsid w:val="0049273C"/>
    <w:rsid w:val="004928C2"/>
    <w:rsid w:val="0049294E"/>
    <w:rsid w:val="00492A47"/>
    <w:rsid w:val="00492A6A"/>
    <w:rsid w:val="00492BDA"/>
    <w:rsid w:val="00492E40"/>
    <w:rsid w:val="00492E4B"/>
    <w:rsid w:val="00492EFB"/>
    <w:rsid w:val="00492FFE"/>
    <w:rsid w:val="00493057"/>
    <w:rsid w:val="00493089"/>
    <w:rsid w:val="004933BE"/>
    <w:rsid w:val="0049342B"/>
    <w:rsid w:val="004936D2"/>
    <w:rsid w:val="0049375B"/>
    <w:rsid w:val="004938F5"/>
    <w:rsid w:val="004939C1"/>
    <w:rsid w:val="00493A6A"/>
    <w:rsid w:val="00493CA7"/>
    <w:rsid w:val="00494157"/>
    <w:rsid w:val="004941D3"/>
    <w:rsid w:val="004942D0"/>
    <w:rsid w:val="00494521"/>
    <w:rsid w:val="00494522"/>
    <w:rsid w:val="004945F2"/>
    <w:rsid w:val="004947A2"/>
    <w:rsid w:val="0049480A"/>
    <w:rsid w:val="00494826"/>
    <w:rsid w:val="00494860"/>
    <w:rsid w:val="0049490F"/>
    <w:rsid w:val="004949A5"/>
    <w:rsid w:val="004949E1"/>
    <w:rsid w:val="00494C5C"/>
    <w:rsid w:val="00494D69"/>
    <w:rsid w:val="00494F17"/>
    <w:rsid w:val="00494F62"/>
    <w:rsid w:val="0049502E"/>
    <w:rsid w:val="0049526E"/>
    <w:rsid w:val="00495292"/>
    <w:rsid w:val="00495299"/>
    <w:rsid w:val="00495454"/>
    <w:rsid w:val="004955D5"/>
    <w:rsid w:val="00495746"/>
    <w:rsid w:val="004958C4"/>
    <w:rsid w:val="004958F5"/>
    <w:rsid w:val="00495930"/>
    <w:rsid w:val="00495A35"/>
    <w:rsid w:val="00495C60"/>
    <w:rsid w:val="00495D31"/>
    <w:rsid w:val="00495E34"/>
    <w:rsid w:val="00495E56"/>
    <w:rsid w:val="00495F23"/>
    <w:rsid w:val="00495F30"/>
    <w:rsid w:val="004960C4"/>
    <w:rsid w:val="00496423"/>
    <w:rsid w:val="00496498"/>
    <w:rsid w:val="004964D7"/>
    <w:rsid w:val="00496520"/>
    <w:rsid w:val="00496537"/>
    <w:rsid w:val="0049664B"/>
    <w:rsid w:val="00496745"/>
    <w:rsid w:val="004969DB"/>
    <w:rsid w:val="004969F9"/>
    <w:rsid w:val="00496A36"/>
    <w:rsid w:val="00496B30"/>
    <w:rsid w:val="00496BE9"/>
    <w:rsid w:val="00496C89"/>
    <w:rsid w:val="00496D5E"/>
    <w:rsid w:val="00496E1D"/>
    <w:rsid w:val="004971AA"/>
    <w:rsid w:val="0049734A"/>
    <w:rsid w:val="0049737D"/>
    <w:rsid w:val="004975D4"/>
    <w:rsid w:val="004976CA"/>
    <w:rsid w:val="0049796A"/>
    <w:rsid w:val="00497A0A"/>
    <w:rsid w:val="00497A91"/>
    <w:rsid w:val="00497EF2"/>
    <w:rsid w:val="004A0174"/>
    <w:rsid w:val="004A01FC"/>
    <w:rsid w:val="004A027E"/>
    <w:rsid w:val="004A0283"/>
    <w:rsid w:val="004A0377"/>
    <w:rsid w:val="004A04A0"/>
    <w:rsid w:val="004A04C9"/>
    <w:rsid w:val="004A054C"/>
    <w:rsid w:val="004A0601"/>
    <w:rsid w:val="004A072F"/>
    <w:rsid w:val="004A08D1"/>
    <w:rsid w:val="004A091F"/>
    <w:rsid w:val="004A09FF"/>
    <w:rsid w:val="004A0AAB"/>
    <w:rsid w:val="004A0B61"/>
    <w:rsid w:val="004A0C76"/>
    <w:rsid w:val="004A0D19"/>
    <w:rsid w:val="004A0D30"/>
    <w:rsid w:val="004A0DE3"/>
    <w:rsid w:val="004A0EF9"/>
    <w:rsid w:val="004A12C5"/>
    <w:rsid w:val="004A152B"/>
    <w:rsid w:val="004A1910"/>
    <w:rsid w:val="004A1A12"/>
    <w:rsid w:val="004A1A34"/>
    <w:rsid w:val="004A1A71"/>
    <w:rsid w:val="004A1B33"/>
    <w:rsid w:val="004A1C10"/>
    <w:rsid w:val="004A1E85"/>
    <w:rsid w:val="004A1FC8"/>
    <w:rsid w:val="004A203E"/>
    <w:rsid w:val="004A2411"/>
    <w:rsid w:val="004A24DA"/>
    <w:rsid w:val="004A2640"/>
    <w:rsid w:val="004A26C7"/>
    <w:rsid w:val="004A27E2"/>
    <w:rsid w:val="004A2A84"/>
    <w:rsid w:val="004A2B5E"/>
    <w:rsid w:val="004A2D28"/>
    <w:rsid w:val="004A2F84"/>
    <w:rsid w:val="004A2FCD"/>
    <w:rsid w:val="004A2FE1"/>
    <w:rsid w:val="004A3093"/>
    <w:rsid w:val="004A30AC"/>
    <w:rsid w:val="004A325E"/>
    <w:rsid w:val="004A33B9"/>
    <w:rsid w:val="004A3440"/>
    <w:rsid w:val="004A36B6"/>
    <w:rsid w:val="004A374A"/>
    <w:rsid w:val="004A3833"/>
    <w:rsid w:val="004A396C"/>
    <w:rsid w:val="004A3A79"/>
    <w:rsid w:val="004A3B38"/>
    <w:rsid w:val="004A3B7E"/>
    <w:rsid w:val="004A3C5E"/>
    <w:rsid w:val="004A3CC7"/>
    <w:rsid w:val="004A3D58"/>
    <w:rsid w:val="004A3D7F"/>
    <w:rsid w:val="004A3EF4"/>
    <w:rsid w:val="004A4333"/>
    <w:rsid w:val="004A4461"/>
    <w:rsid w:val="004A45F1"/>
    <w:rsid w:val="004A4661"/>
    <w:rsid w:val="004A488A"/>
    <w:rsid w:val="004A49BE"/>
    <w:rsid w:val="004A4AF4"/>
    <w:rsid w:val="004A4B3A"/>
    <w:rsid w:val="004A4F28"/>
    <w:rsid w:val="004A51E2"/>
    <w:rsid w:val="004A52CF"/>
    <w:rsid w:val="004A5348"/>
    <w:rsid w:val="004A537B"/>
    <w:rsid w:val="004A53AA"/>
    <w:rsid w:val="004A5556"/>
    <w:rsid w:val="004A55D9"/>
    <w:rsid w:val="004A5626"/>
    <w:rsid w:val="004A5677"/>
    <w:rsid w:val="004A572D"/>
    <w:rsid w:val="004A57D6"/>
    <w:rsid w:val="004A5B80"/>
    <w:rsid w:val="004A5DF0"/>
    <w:rsid w:val="004A6171"/>
    <w:rsid w:val="004A61B2"/>
    <w:rsid w:val="004A657D"/>
    <w:rsid w:val="004A6712"/>
    <w:rsid w:val="004A6939"/>
    <w:rsid w:val="004A6972"/>
    <w:rsid w:val="004A6A87"/>
    <w:rsid w:val="004A6AD3"/>
    <w:rsid w:val="004A6DD5"/>
    <w:rsid w:val="004A6FB6"/>
    <w:rsid w:val="004A7333"/>
    <w:rsid w:val="004A73E8"/>
    <w:rsid w:val="004A750C"/>
    <w:rsid w:val="004A752B"/>
    <w:rsid w:val="004A7773"/>
    <w:rsid w:val="004A7840"/>
    <w:rsid w:val="004A7AE8"/>
    <w:rsid w:val="004A7BF7"/>
    <w:rsid w:val="004A7C8F"/>
    <w:rsid w:val="004A7DAE"/>
    <w:rsid w:val="004A7E8F"/>
    <w:rsid w:val="004A7EEC"/>
    <w:rsid w:val="004B0004"/>
    <w:rsid w:val="004B0041"/>
    <w:rsid w:val="004B0210"/>
    <w:rsid w:val="004B021F"/>
    <w:rsid w:val="004B03E2"/>
    <w:rsid w:val="004B044C"/>
    <w:rsid w:val="004B046E"/>
    <w:rsid w:val="004B04F4"/>
    <w:rsid w:val="004B0548"/>
    <w:rsid w:val="004B087D"/>
    <w:rsid w:val="004B0886"/>
    <w:rsid w:val="004B093B"/>
    <w:rsid w:val="004B0A3C"/>
    <w:rsid w:val="004B0A93"/>
    <w:rsid w:val="004B0D54"/>
    <w:rsid w:val="004B0D71"/>
    <w:rsid w:val="004B0E58"/>
    <w:rsid w:val="004B0F92"/>
    <w:rsid w:val="004B0F98"/>
    <w:rsid w:val="004B0FEE"/>
    <w:rsid w:val="004B129B"/>
    <w:rsid w:val="004B140D"/>
    <w:rsid w:val="004B1496"/>
    <w:rsid w:val="004B1515"/>
    <w:rsid w:val="004B167A"/>
    <w:rsid w:val="004B17D8"/>
    <w:rsid w:val="004B18E5"/>
    <w:rsid w:val="004B19EF"/>
    <w:rsid w:val="004B1C36"/>
    <w:rsid w:val="004B1E0E"/>
    <w:rsid w:val="004B214D"/>
    <w:rsid w:val="004B21C0"/>
    <w:rsid w:val="004B2865"/>
    <w:rsid w:val="004B2C1A"/>
    <w:rsid w:val="004B2D5E"/>
    <w:rsid w:val="004B2E5F"/>
    <w:rsid w:val="004B2FD8"/>
    <w:rsid w:val="004B303D"/>
    <w:rsid w:val="004B3075"/>
    <w:rsid w:val="004B3186"/>
    <w:rsid w:val="004B3195"/>
    <w:rsid w:val="004B3219"/>
    <w:rsid w:val="004B335B"/>
    <w:rsid w:val="004B34BC"/>
    <w:rsid w:val="004B380B"/>
    <w:rsid w:val="004B3974"/>
    <w:rsid w:val="004B3ABE"/>
    <w:rsid w:val="004B3AF9"/>
    <w:rsid w:val="004B3B0A"/>
    <w:rsid w:val="004B3CB8"/>
    <w:rsid w:val="004B3CC5"/>
    <w:rsid w:val="004B3D29"/>
    <w:rsid w:val="004B3DE9"/>
    <w:rsid w:val="004B3E72"/>
    <w:rsid w:val="004B3E86"/>
    <w:rsid w:val="004B3EFC"/>
    <w:rsid w:val="004B3F7D"/>
    <w:rsid w:val="004B4066"/>
    <w:rsid w:val="004B4101"/>
    <w:rsid w:val="004B4104"/>
    <w:rsid w:val="004B42A5"/>
    <w:rsid w:val="004B447B"/>
    <w:rsid w:val="004B44D0"/>
    <w:rsid w:val="004B4624"/>
    <w:rsid w:val="004B46BB"/>
    <w:rsid w:val="004B46BE"/>
    <w:rsid w:val="004B48CB"/>
    <w:rsid w:val="004B4991"/>
    <w:rsid w:val="004B4BDF"/>
    <w:rsid w:val="004B4D10"/>
    <w:rsid w:val="004B4D26"/>
    <w:rsid w:val="004B4D7B"/>
    <w:rsid w:val="004B4FF2"/>
    <w:rsid w:val="004B524F"/>
    <w:rsid w:val="004B5495"/>
    <w:rsid w:val="004B558B"/>
    <w:rsid w:val="004B55B6"/>
    <w:rsid w:val="004B55E5"/>
    <w:rsid w:val="004B58FC"/>
    <w:rsid w:val="004B59B6"/>
    <w:rsid w:val="004B5A13"/>
    <w:rsid w:val="004B5D2F"/>
    <w:rsid w:val="004B5DFE"/>
    <w:rsid w:val="004B5E90"/>
    <w:rsid w:val="004B5FC7"/>
    <w:rsid w:val="004B60B4"/>
    <w:rsid w:val="004B61FB"/>
    <w:rsid w:val="004B6224"/>
    <w:rsid w:val="004B62B2"/>
    <w:rsid w:val="004B62FF"/>
    <w:rsid w:val="004B6702"/>
    <w:rsid w:val="004B68EF"/>
    <w:rsid w:val="004B6932"/>
    <w:rsid w:val="004B6A17"/>
    <w:rsid w:val="004B6AAC"/>
    <w:rsid w:val="004B6B47"/>
    <w:rsid w:val="004B6B51"/>
    <w:rsid w:val="004B6D5A"/>
    <w:rsid w:val="004B6EB2"/>
    <w:rsid w:val="004B6ED2"/>
    <w:rsid w:val="004B6F10"/>
    <w:rsid w:val="004B6F7A"/>
    <w:rsid w:val="004B6FFF"/>
    <w:rsid w:val="004B70DE"/>
    <w:rsid w:val="004B756F"/>
    <w:rsid w:val="004B7745"/>
    <w:rsid w:val="004B78C0"/>
    <w:rsid w:val="004B7935"/>
    <w:rsid w:val="004B7B23"/>
    <w:rsid w:val="004B7BCE"/>
    <w:rsid w:val="004B7D4C"/>
    <w:rsid w:val="004C009D"/>
    <w:rsid w:val="004C03C2"/>
    <w:rsid w:val="004C03E4"/>
    <w:rsid w:val="004C04EB"/>
    <w:rsid w:val="004C08C4"/>
    <w:rsid w:val="004C0912"/>
    <w:rsid w:val="004C09C4"/>
    <w:rsid w:val="004C09F6"/>
    <w:rsid w:val="004C0AB6"/>
    <w:rsid w:val="004C0BEB"/>
    <w:rsid w:val="004C0BF4"/>
    <w:rsid w:val="004C0C18"/>
    <w:rsid w:val="004C0F5F"/>
    <w:rsid w:val="004C118A"/>
    <w:rsid w:val="004C123B"/>
    <w:rsid w:val="004C123F"/>
    <w:rsid w:val="004C137C"/>
    <w:rsid w:val="004C13CF"/>
    <w:rsid w:val="004C15FC"/>
    <w:rsid w:val="004C1749"/>
    <w:rsid w:val="004C17C3"/>
    <w:rsid w:val="004C17D8"/>
    <w:rsid w:val="004C1851"/>
    <w:rsid w:val="004C1913"/>
    <w:rsid w:val="004C1C78"/>
    <w:rsid w:val="004C1EFE"/>
    <w:rsid w:val="004C20A5"/>
    <w:rsid w:val="004C229B"/>
    <w:rsid w:val="004C25E8"/>
    <w:rsid w:val="004C261F"/>
    <w:rsid w:val="004C26B9"/>
    <w:rsid w:val="004C285D"/>
    <w:rsid w:val="004C29F7"/>
    <w:rsid w:val="004C2B03"/>
    <w:rsid w:val="004C2B19"/>
    <w:rsid w:val="004C2BB6"/>
    <w:rsid w:val="004C2C32"/>
    <w:rsid w:val="004C2E3B"/>
    <w:rsid w:val="004C2E8F"/>
    <w:rsid w:val="004C2F4E"/>
    <w:rsid w:val="004C303E"/>
    <w:rsid w:val="004C304B"/>
    <w:rsid w:val="004C3123"/>
    <w:rsid w:val="004C31C8"/>
    <w:rsid w:val="004C325C"/>
    <w:rsid w:val="004C3268"/>
    <w:rsid w:val="004C326B"/>
    <w:rsid w:val="004C327D"/>
    <w:rsid w:val="004C3820"/>
    <w:rsid w:val="004C3869"/>
    <w:rsid w:val="004C38A6"/>
    <w:rsid w:val="004C38D7"/>
    <w:rsid w:val="004C3C07"/>
    <w:rsid w:val="004C3C75"/>
    <w:rsid w:val="004C3CD0"/>
    <w:rsid w:val="004C4033"/>
    <w:rsid w:val="004C4069"/>
    <w:rsid w:val="004C40BC"/>
    <w:rsid w:val="004C40D0"/>
    <w:rsid w:val="004C410F"/>
    <w:rsid w:val="004C41A6"/>
    <w:rsid w:val="004C41E4"/>
    <w:rsid w:val="004C44BA"/>
    <w:rsid w:val="004C452F"/>
    <w:rsid w:val="004C459C"/>
    <w:rsid w:val="004C45EB"/>
    <w:rsid w:val="004C4748"/>
    <w:rsid w:val="004C4793"/>
    <w:rsid w:val="004C47D5"/>
    <w:rsid w:val="004C47D6"/>
    <w:rsid w:val="004C4813"/>
    <w:rsid w:val="004C4AC6"/>
    <w:rsid w:val="004C4AD7"/>
    <w:rsid w:val="004C4CE4"/>
    <w:rsid w:val="004C4E4E"/>
    <w:rsid w:val="004C4E4F"/>
    <w:rsid w:val="004C4EEB"/>
    <w:rsid w:val="004C4F18"/>
    <w:rsid w:val="004C5087"/>
    <w:rsid w:val="004C54A6"/>
    <w:rsid w:val="004C54D1"/>
    <w:rsid w:val="004C564B"/>
    <w:rsid w:val="004C56BA"/>
    <w:rsid w:val="004C56EC"/>
    <w:rsid w:val="004C58F0"/>
    <w:rsid w:val="004C5A04"/>
    <w:rsid w:val="004C5A6A"/>
    <w:rsid w:val="004C5AAB"/>
    <w:rsid w:val="004C5C9D"/>
    <w:rsid w:val="004C5DCA"/>
    <w:rsid w:val="004C5DE0"/>
    <w:rsid w:val="004C5EB6"/>
    <w:rsid w:val="004C5FC3"/>
    <w:rsid w:val="004C6066"/>
    <w:rsid w:val="004C6112"/>
    <w:rsid w:val="004C61C8"/>
    <w:rsid w:val="004C61E5"/>
    <w:rsid w:val="004C6438"/>
    <w:rsid w:val="004C645E"/>
    <w:rsid w:val="004C65ED"/>
    <w:rsid w:val="004C6791"/>
    <w:rsid w:val="004C6818"/>
    <w:rsid w:val="004C69A5"/>
    <w:rsid w:val="004C6AB5"/>
    <w:rsid w:val="004C6C97"/>
    <w:rsid w:val="004C6CAC"/>
    <w:rsid w:val="004C6F6F"/>
    <w:rsid w:val="004C70ED"/>
    <w:rsid w:val="004C727D"/>
    <w:rsid w:val="004C7365"/>
    <w:rsid w:val="004C7446"/>
    <w:rsid w:val="004C7492"/>
    <w:rsid w:val="004C7661"/>
    <w:rsid w:val="004C794B"/>
    <w:rsid w:val="004C7A17"/>
    <w:rsid w:val="004D0001"/>
    <w:rsid w:val="004D00D1"/>
    <w:rsid w:val="004D00E8"/>
    <w:rsid w:val="004D035D"/>
    <w:rsid w:val="004D04B9"/>
    <w:rsid w:val="004D0563"/>
    <w:rsid w:val="004D05B0"/>
    <w:rsid w:val="004D0652"/>
    <w:rsid w:val="004D06AC"/>
    <w:rsid w:val="004D082F"/>
    <w:rsid w:val="004D0883"/>
    <w:rsid w:val="004D08F9"/>
    <w:rsid w:val="004D0904"/>
    <w:rsid w:val="004D090A"/>
    <w:rsid w:val="004D0A42"/>
    <w:rsid w:val="004D0B6A"/>
    <w:rsid w:val="004D0B7E"/>
    <w:rsid w:val="004D0B82"/>
    <w:rsid w:val="004D0C4D"/>
    <w:rsid w:val="004D0CB3"/>
    <w:rsid w:val="004D0D85"/>
    <w:rsid w:val="004D0D98"/>
    <w:rsid w:val="004D0E7D"/>
    <w:rsid w:val="004D0F6B"/>
    <w:rsid w:val="004D0FB7"/>
    <w:rsid w:val="004D0FD1"/>
    <w:rsid w:val="004D0FF8"/>
    <w:rsid w:val="004D1061"/>
    <w:rsid w:val="004D10CF"/>
    <w:rsid w:val="004D121F"/>
    <w:rsid w:val="004D1280"/>
    <w:rsid w:val="004D14BE"/>
    <w:rsid w:val="004D14D3"/>
    <w:rsid w:val="004D152F"/>
    <w:rsid w:val="004D1590"/>
    <w:rsid w:val="004D16DC"/>
    <w:rsid w:val="004D1943"/>
    <w:rsid w:val="004D1952"/>
    <w:rsid w:val="004D19CF"/>
    <w:rsid w:val="004D1A52"/>
    <w:rsid w:val="004D1A5D"/>
    <w:rsid w:val="004D1AFF"/>
    <w:rsid w:val="004D1BCB"/>
    <w:rsid w:val="004D1CC8"/>
    <w:rsid w:val="004D1CEC"/>
    <w:rsid w:val="004D1D25"/>
    <w:rsid w:val="004D1DDD"/>
    <w:rsid w:val="004D1E18"/>
    <w:rsid w:val="004D1F78"/>
    <w:rsid w:val="004D21E9"/>
    <w:rsid w:val="004D22A3"/>
    <w:rsid w:val="004D2307"/>
    <w:rsid w:val="004D2373"/>
    <w:rsid w:val="004D2416"/>
    <w:rsid w:val="004D260F"/>
    <w:rsid w:val="004D2649"/>
    <w:rsid w:val="004D27BA"/>
    <w:rsid w:val="004D2865"/>
    <w:rsid w:val="004D2910"/>
    <w:rsid w:val="004D295B"/>
    <w:rsid w:val="004D2978"/>
    <w:rsid w:val="004D2A3F"/>
    <w:rsid w:val="004D2B63"/>
    <w:rsid w:val="004D2BAE"/>
    <w:rsid w:val="004D2D6E"/>
    <w:rsid w:val="004D2E61"/>
    <w:rsid w:val="004D3064"/>
    <w:rsid w:val="004D3146"/>
    <w:rsid w:val="004D33BA"/>
    <w:rsid w:val="004D34F9"/>
    <w:rsid w:val="004D3509"/>
    <w:rsid w:val="004D358F"/>
    <w:rsid w:val="004D365D"/>
    <w:rsid w:val="004D3700"/>
    <w:rsid w:val="004D37CE"/>
    <w:rsid w:val="004D38AC"/>
    <w:rsid w:val="004D3A44"/>
    <w:rsid w:val="004D3AAD"/>
    <w:rsid w:val="004D3AB5"/>
    <w:rsid w:val="004D3C4B"/>
    <w:rsid w:val="004D3DB1"/>
    <w:rsid w:val="004D3EA7"/>
    <w:rsid w:val="004D3EE3"/>
    <w:rsid w:val="004D405E"/>
    <w:rsid w:val="004D40CE"/>
    <w:rsid w:val="004D4244"/>
    <w:rsid w:val="004D42BB"/>
    <w:rsid w:val="004D43A8"/>
    <w:rsid w:val="004D4460"/>
    <w:rsid w:val="004D4494"/>
    <w:rsid w:val="004D4746"/>
    <w:rsid w:val="004D47EF"/>
    <w:rsid w:val="004D4BDE"/>
    <w:rsid w:val="004D4C22"/>
    <w:rsid w:val="004D4C9A"/>
    <w:rsid w:val="004D4E3F"/>
    <w:rsid w:val="004D501C"/>
    <w:rsid w:val="004D5155"/>
    <w:rsid w:val="004D5227"/>
    <w:rsid w:val="004D5229"/>
    <w:rsid w:val="004D5231"/>
    <w:rsid w:val="004D525F"/>
    <w:rsid w:val="004D5293"/>
    <w:rsid w:val="004D539D"/>
    <w:rsid w:val="004D539F"/>
    <w:rsid w:val="004D5449"/>
    <w:rsid w:val="004D55B9"/>
    <w:rsid w:val="004D577D"/>
    <w:rsid w:val="004D5845"/>
    <w:rsid w:val="004D5938"/>
    <w:rsid w:val="004D5939"/>
    <w:rsid w:val="004D5AFB"/>
    <w:rsid w:val="004D5B44"/>
    <w:rsid w:val="004D5C18"/>
    <w:rsid w:val="004D5C94"/>
    <w:rsid w:val="004D5D44"/>
    <w:rsid w:val="004D5D51"/>
    <w:rsid w:val="004D5D6A"/>
    <w:rsid w:val="004D5F20"/>
    <w:rsid w:val="004D6081"/>
    <w:rsid w:val="004D60A9"/>
    <w:rsid w:val="004D6118"/>
    <w:rsid w:val="004D618D"/>
    <w:rsid w:val="004D659D"/>
    <w:rsid w:val="004D65BE"/>
    <w:rsid w:val="004D665E"/>
    <w:rsid w:val="004D6748"/>
    <w:rsid w:val="004D6A88"/>
    <w:rsid w:val="004D6B3C"/>
    <w:rsid w:val="004D6B8B"/>
    <w:rsid w:val="004D6C05"/>
    <w:rsid w:val="004D6C08"/>
    <w:rsid w:val="004D6D03"/>
    <w:rsid w:val="004D6D90"/>
    <w:rsid w:val="004D6E94"/>
    <w:rsid w:val="004D6F17"/>
    <w:rsid w:val="004D6F18"/>
    <w:rsid w:val="004D6FED"/>
    <w:rsid w:val="004D7025"/>
    <w:rsid w:val="004D7151"/>
    <w:rsid w:val="004D71C4"/>
    <w:rsid w:val="004D732B"/>
    <w:rsid w:val="004D74BB"/>
    <w:rsid w:val="004D7554"/>
    <w:rsid w:val="004D76BB"/>
    <w:rsid w:val="004D7922"/>
    <w:rsid w:val="004D7A5A"/>
    <w:rsid w:val="004D7AFF"/>
    <w:rsid w:val="004D7B39"/>
    <w:rsid w:val="004D7BC7"/>
    <w:rsid w:val="004D7D2C"/>
    <w:rsid w:val="004D7D88"/>
    <w:rsid w:val="004D7E08"/>
    <w:rsid w:val="004D7E2C"/>
    <w:rsid w:val="004D7E5D"/>
    <w:rsid w:val="004E0009"/>
    <w:rsid w:val="004E004C"/>
    <w:rsid w:val="004E0075"/>
    <w:rsid w:val="004E0128"/>
    <w:rsid w:val="004E0177"/>
    <w:rsid w:val="004E0180"/>
    <w:rsid w:val="004E020E"/>
    <w:rsid w:val="004E025D"/>
    <w:rsid w:val="004E0464"/>
    <w:rsid w:val="004E04FD"/>
    <w:rsid w:val="004E05AA"/>
    <w:rsid w:val="004E062C"/>
    <w:rsid w:val="004E06CC"/>
    <w:rsid w:val="004E075B"/>
    <w:rsid w:val="004E0902"/>
    <w:rsid w:val="004E09E3"/>
    <w:rsid w:val="004E09E5"/>
    <w:rsid w:val="004E0A05"/>
    <w:rsid w:val="004E0A6A"/>
    <w:rsid w:val="004E0A8F"/>
    <w:rsid w:val="004E0CFE"/>
    <w:rsid w:val="004E0D35"/>
    <w:rsid w:val="004E0EDA"/>
    <w:rsid w:val="004E107D"/>
    <w:rsid w:val="004E1117"/>
    <w:rsid w:val="004E12E7"/>
    <w:rsid w:val="004E132B"/>
    <w:rsid w:val="004E133E"/>
    <w:rsid w:val="004E1390"/>
    <w:rsid w:val="004E1406"/>
    <w:rsid w:val="004E1423"/>
    <w:rsid w:val="004E167A"/>
    <w:rsid w:val="004E1778"/>
    <w:rsid w:val="004E1954"/>
    <w:rsid w:val="004E198B"/>
    <w:rsid w:val="004E19D9"/>
    <w:rsid w:val="004E19DC"/>
    <w:rsid w:val="004E1AD5"/>
    <w:rsid w:val="004E1AFF"/>
    <w:rsid w:val="004E1B73"/>
    <w:rsid w:val="004E1BA5"/>
    <w:rsid w:val="004E1BF5"/>
    <w:rsid w:val="004E1D77"/>
    <w:rsid w:val="004E1D82"/>
    <w:rsid w:val="004E1EF0"/>
    <w:rsid w:val="004E1EFE"/>
    <w:rsid w:val="004E20CB"/>
    <w:rsid w:val="004E219A"/>
    <w:rsid w:val="004E2231"/>
    <w:rsid w:val="004E22D1"/>
    <w:rsid w:val="004E2333"/>
    <w:rsid w:val="004E2561"/>
    <w:rsid w:val="004E257E"/>
    <w:rsid w:val="004E2631"/>
    <w:rsid w:val="004E284B"/>
    <w:rsid w:val="004E2CB2"/>
    <w:rsid w:val="004E2D59"/>
    <w:rsid w:val="004E2E40"/>
    <w:rsid w:val="004E307A"/>
    <w:rsid w:val="004E3225"/>
    <w:rsid w:val="004E3263"/>
    <w:rsid w:val="004E3361"/>
    <w:rsid w:val="004E3403"/>
    <w:rsid w:val="004E368B"/>
    <w:rsid w:val="004E36A0"/>
    <w:rsid w:val="004E36B3"/>
    <w:rsid w:val="004E380C"/>
    <w:rsid w:val="004E38F1"/>
    <w:rsid w:val="004E3959"/>
    <w:rsid w:val="004E3991"/>
    <w:rsid w:val="004E3A03"/>
    <w:rsid w:val="004E3A78"/>
    <w:rsid w:val="004E3B0B"/>
    <w:rsid w:val="004E3BD5"/>
    <w:rsid w:val="004E3BF9"/>
    <w:rsid w:val="004E3C99"/>
    <w:rsid w:val="004E3EDE"/>
    <w:rsid w:val="004E426A"/>
    <w:rsid w:val="004E42E6"/>
    <w:rsid w:val="004E4315"/>
    <w:rsid w:val="004E4354"/>
    <w:rsid w:val="004E4444"/>
    <w:rsid w:val="004E465F"/>
    <w:rsid w:val="004E475C"/>
    <w:rsid w:val="004E4774"/>
    <w:rsid w:val="004E4857"/>
    <w:rsid w:val="004E4860"/>
    <w:rsid w:val="004E497B"/>
    <w:rsid w:val="004E498D"/>
    <w:rsid w:val="004E4B1C"/>
    <w:rsid w:val="004E4BF4"/>
    <w:rsid w:val="004E4C14"/>
    <w:rsid w:val="004E4DF9"/>
    <w:rsid w:val="004E4EC8"/>
    <w:rsid w:val="004E4F85"/>
    <w:rsid w:val="004E4FD6"/>
    <w:rsid w:val="004E5048"/>
    <w:rsid w:val="004E506B"/>
    <w:rsid w:val="004E50DF"/>
    <w:rsid w:val="004E5119"/>
    <w:rsid w:val="004E5151"/>
    <w:rsid w:val="004E5193"/>
    <w:rsid w:val="004E5265"/>
    <w:rsid w:val="004E5355"/>
    <w:rsid w:val="004E5540"/>
    <w:rsid w:val="004E55F5"/>
    <w:rsid w:val="004E561A"/>
    <w:rsid w:val="004E58B9"/>
    <w:rsid w:val="004E591B"/>
    <w:rsid w:val="004E59BF"/>
    <w:rsid w:val="004E5AE3"/>
    <w:rsid w:val="004E5B38"/>
    <w:rsid w:val="004E5C3C"/>
    <w:rsid w:val="004E5C99"/>
    <w:rsid w:val="004E5DF6"/>
    <w:rsid w:val="004E5E6A"/>
    <w:rsid w:val="004E5FBE"/>
    <w:rsid w:val="004E60CE"/>
    <w:rsid w:val="004E636A"/>
    <w:rsid w:val="004E6385"/>
    <w:rsid w:val="004E656E"/>
    <w:rsid w:val="004E65EA"/>
    <w:rsid w:val="004E66CA"/>
    <w:rsid w:val="004E6A61"/>
    <w:rsid w:val="004E6AFC"/>
    <w:rsid w:val="004E6C8D"/>
    <w:rsid w:val="004E6E5F"/>
    <w:rsid w:val="004E6E97"/>
    <w:rsid w:val="004E6EEE"/>
    <w:rsid w:val="004E70DB"/>
    <w:rsid w:val="004E72C8"/>
    <w:rsid w:val="004E75E3"/>
    <w:rsid w:val="004E7600"/>
    <w:rsid w:val="004E76DC"/>
    <w:rsid w:val="004E772C"/>
    <w:rsid w:val="004E792D"/>
    <w:rsid w:val="004E7A5B"/>
    <w:rsid w:val="004E7B47"/>
    <w:rsid w:val="004E7B7F"/>
    <w:rsid w:val="004E7CD1"/>
    <w:rsid w:val="004E7D2B"/>
    <w:rsid w:val="004E7D3B"/>
    <w:rsid w:val="004E7DE3"/>
    <w:rsid w:val="004F0058"/>
    <w:rsid w:val="004F0268"/>
    <w:rsid w:val="004F030D"/>
    <w:rsid w:val="004F041C"/>
    <w:rsid w:val="004F0719"/>
    <w:rsid w:val="004F072A"/>
    <w:rsid w:val="004F07D1"/>
    <w:rsid w:val="004F0A65"/>
    <w:rsid w:val="004F0A9F"/>
    <w:rsid w:val="004F0B9E"/>
    <w:rsid w:val="004F0BAF"/>
    <w:rsid w:val="004F0C2B"/>
    <w:rsid w:val="004F0EBC"/>
    <w:rsid w:val="004F1381"/>
    <w:rsid w:val="004F13C1"/>
    <w:rsid w:val="004F13D1"/>
    <w:rsid w:val="004F1476"/>
    <w:rsid w:val="004F149C"/>
    <w:rsid w:val="004F1532"/>
    <w:rsid w:val="004F1574"/>
    <w:rsid w:val="004F1637"/>
    <w:rsid w:val="004F1701"/>
    <w:rsid w:val="004F172B"/>
    <w:rsid w:val="004F1774"/>
    <w:rsid w:val="004F18B9"/>
    <w:rsid w:val="004F18F7"/>
    <w:rsid w:val="004F1998"/>
    <w:rsid w:val="004F1A00"/>
    <w:rsid w:val="004F1A15"/>
    <w:rsid w:val="004F1C77"/>
    <w:rsid w:val="004F1CD1"/>
    <w:rsid w:val="004F1D04"/>
    <w:rsid w:val="004F1EF6"/>
    <w:rsid w:val="004F2158"/>
    <w:rsid w:val="004F271A"/>
    <w:rsid w:val="004F279E"/>
    <w:rsid w:val="004F27AD"/>
    <w:rsid w:val="004F2C3A"/>
    <w:rsid w:val="004F2C53"/>
    <w:rsid w:val="004F2F32"/>
    <w:rsid w:val="004F2F4D"/>
    <w:rsid w:val="004F2FCB"/>
    <w:rsid w:val="004F3001"/>
    <w:rsid w:val="004F316F"/>
    <w:rsid w:val="004F31D4"/>
    <w:rsid w:val="004F328D"/>
    <w:rsid w:val="004F32B8"/>
    <w:rsid w:val="004F3322"/>
    <w:rsid w:val="004F335D"/>
    <w:rsid w:val="004F3401"/>
    <w:rsid w:val="004F342C"/>
    <w:rsid w:val="004F34F6"/>
    <w:rsid w:val="004F369A"/>
    <w:rsid w:val="004F36EA"/>
    <w:rsid w:val="004F36EB"/>
    <w:rsid w:val="004F3731"/>
    <w:rsid w:val="004F379F"/>
    <w:rsid w:val="004F3A50"/>
    <w:rsid w:val="004F3C64"/>
    <w:rsid w:val="004F4210"/>
    <w:rsid w:val="004F42AF"/>
    <w:rsid w:val="004F451B"/>
    <w:rsid w:val="004F45FB"/>
    <w:rsid w:val="004F45FC"/>
    <w:rsid w:val="004F46B0"/>
    <w:rsid w:val="004F47B6"/>
    <w:rsid w:val="004F47CE"/>
    <w:rsid w:val="004F4BF7"/>
    <w:rsid w:val="004F4C77"/>
    <w:rsid w:val="004F4CAD"/>
    <w:rsid w:val="004F4D37"/>
    <w:rsid w:val="004F4DF3"/>
    <w:rsid w:val="004F4F8B"/>
    <w:rsid w:val="004F50C3"/>
    <w:rsid w:val="004F5168"/>
    <w:rsid w:val="004F5287"/>
    <w:rsid w:val="004F5335"/>
    <w:rsid w:val="004F536E"/>
    <w:rsid w:val="004F5486"/>
    <w:rsid w:val="004F5654"/>
    <w:rsid w:val="004F56C6"/>
    <w:rsid w:val="004F59DF"/>
    <w:rsid w:val="004F5C5D"/>
    <w:rsid w:val="004F5FCC"/>
    <w:rsid w:val="004F5FD0"/>
    <w:rsid w:val="004F6024"/>
    <w:rsid w:val="004F6034"/>
    <w:rsid w:val="004F6059"/>
    <w:rsid w:val="004F6193"/>
    <w:rsid w:val="004F6316"/>
    <w:rsid w:val="004F645F"/>
    <w:rsid w:val="004F658F"/>
    <w:rsid w:val="004F6692"/>
    <w:rsid w:val="004F674B"/>
    <w:rsid w:val="004F6769"/>
    <w:rsid w:val="004F684D"/>
    <w:rsid w:val="004F6927"/>
    <w:rsid w:val="004F69AC"/>
    <w:rsid w:val="004F6C23"/>
    <w:rsid w:val="004F6C72"/>
    <w:rsid w:val="004F6C74"/>
    <w:rsid w:val="004F6C92"/>
    <w:rsid w:val="004F70C1"/>
    <w:rsid w:val="004F70D8"/>
    <w:rsid w:val="004F70DF"/>
    <w:rsid w:val="004F72D6"/>
    <w:rsid w:val="004F7307"/>
    <w:rsid w:val="004F760F"/>
    <w:rsid w:val="004F764A"/>
    <w:rsid w:val="004F773E"/>
    <w:rsid w:val="004F7769"/>
    <w:rsid w:val="004F7998"/>
    <w:rsid w:val="004F799C"/>
    <w:rsid w:val="004F7B75"/>
    <w:rsid w:val="004F7C6F"/>
    <w:rsid w:val="004F7D3A"/>
    <w:rsid w:val="0050017F"/>
    <w:rsid w:val="00500374"/>
    <w:rsid w:val="00500494"/>
    <w:rsid w:val="005007D9"/>
    <w:rsid w:val="005007ED"/>
    <w:rsid w:val="00500831"/>
    <w:rsid w:val="00500895"/>
    <w:rsid w:val="00500A80"/>
    <w:rsid w:val="00500A9D"/>
    <w:rsid w:val="00500AEE"/>
    <w:rsid w:val="00500CEF"/>
    <w:rsid w:val="00500D3A"/>
    <w:rsid w:val="00500F10"/>
    <w:rsid w:val="00500F75"/>
    <w:rsid w:val="00501030"/>
    <w:rsid w:val="005010E9"/>
    <w:rsid w:val="0050115A"/>
    <w:rsid w:val="005011A4"/>
    <w:rsid w:val="005012F8"/>
    <w:rsid w:val="00501305"/>
    <w:rsid w:val="005015E4"/>
    <w:rsid w:val="00501600"/>
    <w:rsid w:val="00501658"/>
    <w:rsid w:val="00501756"/>
    <w:rsid w:val="005017B5"/>
    <w:rsid w:val="00501858"/>
    <w:rsid w:val="00501918"/>
    <w:rsid w:val="00501927"/>
    <w:rsid w:val="005019AE"/>
    <w:rsid w:val="00501A13"/>
    <w:rsid w:val="00501A6D"/>
    <w:rsid w:val="00501B37"/>
    <w:rsid w:val="00501B6D"/>
    <w:rsid w:val="00501B78"/>
    <w:rsid w:val="00501EF7"/>
    <w:rsid w:val="0050206C"/>
    <w:rsid w:val="0050218E"/>
    <w:rsid w:val="00502486"/>
    <w:rsid w:val="0050249A"/>
    <w:rsid w:val="00502626"/>
    <w:rsid w:val="00502940"/>
    <w:rsid w:val="00502994"/>
    <w:rsid w:val="00502C52"/>
    <w:rsid w:val="00502ED7"/>
    <w:rsid w:val="00503099"/>
    <w:rsid w:val="0050309D"/>
    <w:rsid w:val="0050310F"/>
    <w:rsid w:val="005031D3"/>
    <w:rsid w:val="00503232"/>
    <w:rsid w:val="00503263"/>
    <w:rsid w:val="005032F9"/>
    <w:rsid w:val="00503414"/>
    <w:rsid w:val="005034E2"/>
    <w:rsid w:val="00503619"/>
    <w:rsid w:val="0050369E"/>
    <w:rsid w:val="005036E9"/>
    <w:rsid w:val="00503723"/>
    <w:rsid w:val="005037B8"/>
    <w:rsid w:val="005038AD"/>
    <w:rsid w:val="00503A59"/>
    <w:rsid w:val="00503BCB"/>
    <w:rsid w:val="00503EA6"/>
    <w:rsid w:val="00503EE8"/>
    <w:rsid w:val="00503F2B"/>
    <w:rsid w:val="00503F58"/>
    <w:rsid w:val="00503FF5"/>
    <w:rsid w:val="0050425D"/>
    <w:rsid w:val="0050438C"/>
    <w:rsid w:val="005044D8"/>
    <w:rsid w:val="005045C3"/>
    <w:rsid w:val="0050464E"/>
    <w:rsid w:val="00504755"/>
    <w:rsid w:val="00504760"/>
    <w:rsid w:val="005047BF"/>
    <w:rsid w:val="00504872"/>
    <w:rsid w:val="00504922"/>
    <w:rsid w:val="00504AAC"/>
    <w:rsid w:val="00504B01"/>
    <w:rsid w:val="00504C1C"/>
    <w:rsid w:val="00504C23"/>
    <w:rsid w:val="00504CDA"/>
    <w:rsid w:val="00504DEB"/>
    <w:rsid w:val="00504E6F"/>
    <w:rsid w:val="00504FA8"/>
    <w:rsid w:val="005050F6"/>
    <w:rsid w:val="00505168"/>
    <w:rsid w:val="00505252"/>
    <w:rsid w:val="0050544E"/>
    <w:rsid w:val="0050566D"/>
    <w:rsid w:val="0050569D"/>
    <w:rsid w:val="00505724"/>
    <w:rsid w:val="0050581C"/>
    <w:rsid w:val="00505881"/>
    <w:rsid w:val="0050589D"/>
    <w:rsid w:val="005059F8"/>
    <w:rsid w:val="00505ADB"/>
    <w:rsid w:val="00505B48"/>
    <w:rsid w:val="00505B6D"/>
    <w:rsid w:val="00505F78"/>
    <w:rsid w:val="0050619D"/>
    <w:rsid w:val="00506366"/>
    <w:rsid w:val="005063E0"/>
    <w:rsid w:val="00506465"/>
    <w:rsid w:val="005064CA"/>
    <w:rsid w:val="0050672E"/>
    <w:rsid w:val="00506846"/>
    <w:rsid w:val="00506854"/>
    <w:rsid w:val="005068BE"/>
    <w:rsid w:val="00506917"/>
    <w:rsid w:val="0050697D"/>
    <w:rsid w:val="00506ADA"/>
    <w:rsid w:val="00506DE1"/>
    <w:rsid w:val="005070DF"/>
    <w:rsid w:val="005070E5"/>
    <w:rsid w:val="005070F3"/>
    <w:rsid w:val="0050712C"/>
    <w:rsid w:val="00507437"/>
    <w:rsid w:val="00507765"/>
    <w:rsid w:val="0050779A"/>
    <w:rsid w:val="005077BF"/>
    <w:rsid w:val="00507882"/>
    <w:rsid w:val="00507BF5"/>
    <w:rsid w:val="00507DFF"/>
    <w:rsid w:val="00507F83"/>
    <w:rsid w:val="00510045"/>
    <w:rsid w:val="00510147"/>
    <w:rsid w:val="00510174"/>
    <w:rsid w:val="005101D5"/>
    <w:rsid w:val="00510496"/>
    <w:rsid w:val="00510497"/>
    <w:rsid w:val="005105EA"/>
    <w:rsid w:val="0051083B"/>
    <w:rsid w:val="00510AD6"/>
    <w:rsid w:val="00510AF6"/>
    <w:rsid w:val="00510C46"/>
    <w:rsid w:val="00510C64"/>
    <w:rsid w:val="00510CE8"/>
    <w:rsid w:val="00510DA5"/>
    <w:rsid w:val="00510F15"/>
    <w:rsid w:val="00511293"/>
    <w:rsid w:val="0051139B"/>
    <w:rsid w:val="005114B1"/>
    <w:rsid w:val="005114F1"/>
    <w:rsid w:val="0051151C"/>
    <w:rsid w:val="00511533"/>
    <w:rsid w:val="00511615"/>
    <w:rsid w:val="00511621"/>
    <w:rsid w:val="005116D7"/>
    <w:rsid w:val="00511799"/>
    <w:rsid w:val="005117BB"/>
    <w:rsid w:val="0051199E"/>
    <w:rsid w:val="00511ADC"/>
    <w:rsid w:val="00511C8D"/>
    <w:rsid w:val="00511D48"/>
    <w:rsid w:val="00511F7E"/>
    <w:rsid w:val="00511FAF"/>
    <w:rsid w:val="005120FC"/>
    <w:rsid w:val="005122D2"/>
    <w:rsid w:val="0051270E"/>
    <w:rsid w:val="00512776"/>
    <w:rsid w:val="005128FB"/>
    <w:rsid w:val="005129FE"/>
    <w:rsid w:val="00512A1B"/>
    <w:rsid w:val="00512B28"/>
    <w:rsid w:val="00512CDA"/>
    <w:rsid w:val="00512DD0"/>
    <w:rsid w:val="00512EAE"/>
    <w:rsid w:val="005130EB"/>
    <w:rsid w:val="00513122"/>
    <w:rsid w:val="00513156"/>
    <w:rsid w:val="005131C8"/>
    <w:rsid w:val="00513368"/>
    <w:rsid w:val="0051342F"/>
    <w:rsid w:val="0051345D"/>
    <w:rsid w:val="00513460"/>
    <w:rsid w:val="00513675"/>
    <w:rsid w:val="00513686"/>
    <w:rsid w:val="005136A1"/>
    <w:rsid w:val="0051376D"/>
    <w:rsid w:val="00513C81"/>
    <w:rsid w:val="00513CFC"/>
    <w:rsid w:val="00513D73"/>
    <w:rsid w:val="00513E3B"/>
    <w:rsid w:val="00513E4E"/>
    <w:rsid w:val="0051407C"/>
    <w:rsid w:val="005140C1"/>
    <w:rsid w:val="005140F5"/>
    <w:rsid w:val="005140F8"/>
    <w:rsid w:val="00514169"/>
    <w:rsid w:val="005141BA"/>
    <w:rsid w:val="005143EC"/>
    <w:rsid w:val="0051448F"/>
    <w:rsid w:val="005144DC"/>
    <w:rsid w:val="005144DF"/>
    <w:rsid w:val="005147DE"/>
    <w:rsid w:val="00514869"/>
    <w:rsid w:val="00514A26"/>
    <w:rsid w:val="00514B0B"/>
    <w:rsid w:val="00514B26"/>
    <w:rsid w:val="00514B9F"/>
    <w:rsid w:val="00514C63"/>
    <w:rsid w:val="00514CFE"/>
    <w:rsid w:val="00515209"/>
    <w:rsid w:val="0051524E"/>
    <w:rsid w:val="00515252"/>
    <w:rsid w:val="005152A6"/>
    <w:rsid w:val="005153B6"/>
    <w:rsid w:val="005153EF"/>
    <w:rsid w:val="0051544D"/>
    <w:rsid w:val="00515572"/>
    <w:rsid w:val="005155BF"/>
    <w:rsid w:val="00515647"/>
    <w:rsid w:val="00515649"/>
    <w:rsid w:val="005156C1"/>
    <w:rsid w:val="00515715"/>
    <w:rsid w:val="00515726"/>
    <w:rsid w:val="0051573D"/>
    <w:rsid w:val="005157E6"/>
    <w:rsid w:val="0051589C"/>
    <w:rsid w:val="00515965"/>
    <w:rsid w:val="00515AE0"/>
    <w:rsid w:val="00515CCC"/>
    <w:rsid w:val="00515CE4"/>
    <w:rsid w:val="00515D79"/>
    <w:rsid w:val="00515E2B"/>
    <w:rsid w:val="0051621C"/>
    <w:rsid w:val="005162B9"/>
    <w:rsid w:val="0051637A"/>
    <w:rsid w:val="005165A2"/>
    <w:rsid w:val="005168A1"/>
    <w:rsid w:val="00516B17"/>
    <w:rsid w:val="00516B5A"/>
    <w:rsid w:val="00516B6D"/>
    <w:rsid w:val="00516B76"/>
    <w:rsid w:val="00516E13"/>
    <w:rsid w:val="00516F88"/>
    <w:rsid w:val="00517156"/>
    <w:rsid w:val="00517347"/>
    <w:rsid w:val="00517356"/>
    <w:rsid w:val="005174E2"/>
    <w:rsid w:val="0051753F"/>
    <w:rsid w:val="00517547"/>
    <w:rsid w:val="00517666"/>
    <w:rsid w:val="00517841"/>
    <w:rsid w:val="0051785E"/>
    <w:rsid w:val="00517994"/>
    <w:rsid w:val="005179CE"/>
    <w:rsid w:val="00517A9A"/>
    <w:rsid w:val="00520085"/>
    <w:rsid w:val="00520168"/>
    <w:rsid w:val="005201E3"/>
    <w:rsid w:val="00520219"/>
    <w:rsid w:val="00520396"/>
    <w:rsid w:val="005203DC"/>
    <w:rsid w:val="005204E6"/>
    <w:rsid w:val="005205C6"/>
    <w:rsid w:val="00520741"/>
    <w:rsid w:val="00520772"/>
    <w:rsid w:val="00520851"/>
    <w:rsid w:val="0052085E"/>
    <w:rsid w:val="0052098A"/>
    <w:rsid w:val="00520994"/>
    <w:rsid w:val="00520A1F"/>
    <w:rsid w:val="00520BA7"/>
    <w:rsid w:val="00520C04"/>
    <w:rsid w:val="00520C5A"/>
    <w:rsid w:val="00520C70"/>
    <w:rsid w:val="00520D3B"/>
    <w:rsid w:val="005210E9"/>
    <w:rsid w:val="0052111E"/>
    <w:rsid w:val="00521197"/>
    <w:rsid w:val="005211C5"/>
    <w:rsid w:val="005212DC"/>
    <w:rsid w:val="00521300"/>
    <w:rsid w:val="005213B2"/>
    <w:rsid w:val="005213C2"/>
    <w:rsid w:val="005214F7"/>
    <w:rsid w:val="0052179B"/>
    <w:rsid w:val="005217A3"/>
    <w:rsid w:val="005217C0"/>
    <w:rsid w:val="00521A95"/>
    <w:rsid w:val="00521CC3"/>
    <w:rsid w:val="00521CDA"/>
    <w:rsid w:val="00521E43"/>
    <w:rsid w:val="00521F3D"/>
    <w:rsid w:val="00521F9F"/>
    <w:rsid w:val="00521FE4"/>
    <w:rsid w:val="00522061"/>
    <w:rsid w:val="00522298"/>
    <w:rsid w:val="005222F9"/>
    <w:rsid w:val="00522526"/>
    <w:rsid w:val="005226B1"/>
    <w:rsid w:val="0052277D"/>
    <w:rsid w:val="00522853"/>
    <w:rsid w:val="005228B8"/>
    <w:rsid w:val="0052299A"/>
    <w:rsid w:val="00522A36"/>
    <w:rsid w:val="00522A40"/>
    <w:rsid w:val="00522A43"/>
    <w:rsid w:val="00522CBD"/>
    <w:rsid w:val="00522CFE"/>
    <w:rsid w:val="00522E60"/>
    <w:rsid w:val="00522EA5"/>
    <w:rsid w:val="00523148"/>
    <w:rsid w:val="005231C4"/>
    <w:rsid w:val="0052331E"/>
    <w:rsid w:val="005233C3"/>
    <w:rsid w:val="005233EE"/>
    <w:rsid w:val="005236E4"/>
    <w:rsid w:val="0052370E"/>
    <w:rsid w:val="0052375A"/>
    <w:rsid w:val="00523809"/>
    <w:rsid w:val="0052391A"/>
    <w:rsid w:val="00523ABF"/>
    <w:rsid w:val="00523B9F"/>
    <w:rsid w:val="00523C56"/>
    <w:rsid w:val="00523DA4"/>
    <w:rsid w:val="0052416B"/>
    <w:rsid w:val="0052433E"/>
    <w:rsid w:val="005243DC"/>
    <w:rsid w:val="0052449B"/>
    <w:rsid w:val="005246E0"/>
    <w:rsid w:val="00524AF0"/>
    <w:rsid w:val="00524B2C"/>
    <w:rsid w:val="00524D81"/>
    <w:rsid w:val="00524E8B"/>
    <w:rsid w:val="00525022"/>
    <w:rsid w:val="005250E3"/>
    <w:rsid w:val="005252A6"/>
    <w:rsid w:val="00525329"/>
    <w:rsid w:val="005254C4"/>
    <w:rsid w:val="00525505"/>
    <w:rsid w:val="005258DA"/>
    <w:rsid w:val="00525C06"/>
    <w:rsid w:val="00525C62"/>
    <w:rsid w:val="00525C8B"/>
    <w:rsid w:val="00525D26"/>
    <w:rsid w:val="00525D27"/>
    <w:rsid w:val="00525FFC"/>
    <w:rsid w:val="00526122"/>
    <w:rsid w:val="005264AA"/>
    <w:rsid w:val="0052659C"/>
    <w:rsid w:val="00526767"/>
    <w:rsid w:val="00526851"/>
    <w:rsid w:val="00526B7F"/>
    <w:rsid w:val="00526D56"/>
    <w:rsid w:val="00526D71"/>
    <w:rsid w:val="00526F8F"/>
    <w:rsid w:val="00526FFC"/>
    <w:rsid w:val="005270F0"/>
    <w:rsid w:val="0052717D"/>
    <w:rsid w:val="00527190"/>
    <w:rsid w:val="005271DB"/>
    <w:rsid w:val="00527245"/>
    <w:rsid w:val="00527278"/>
    <w:rsid w:val="00527300"/>
    <w:rsid w:val="005273E6"/>
    <w:rsid w:val="00527405"/>
    <w:rsid w:val="005274CD"/>
    <w:rsid w:val="005276AB"/>
    <w:rsid w:val="00527751"/>
    <w:rsid w:val="0052776D"/>
    <w:rsid w:val="0052778F"/>
    <w:rsid w:val="005277D5"/>
    <w:rsid w:val="0052790A"/>
    <w:rsid w:val="00527915"/>
    <w:rsid w:val="005279E0"/>
    <w:rsid w:val="00527BAF"/>
    <w:rsid w:val="00527D2C"/>
    <w:rsid w:val="00527DB8"/>
    <w:rsid w:val="00527E64"/>
    <w:rsid w:val="00527EA5"/>
    <w:rsid w:val="00527F6D"/>
    <w:rsid w:val="00527FCF"/>
    <w:rsid w:val="0053027D"/>
    <w:rsid w:val="00530433"/>
    <w:rsid w:val="00530516"/>
    <w:rsid w:val="00530522"/>
    <w:rsid w:val="0053078E"/>
    <w:rsid w:val="00530831"/>
    <w:rsid w:val="00530890"/>
    <w:rsid w:val="005308A3"/>
    <w:rsid w:val="005308D4"/>
    <w:rsid w:val="00530C30"/>
    <w:rsid w:val="00530CB6"/>
    <w:rsid w:val="00530E73"/>
    <w:rsid w:val="005311BA"/>
    <w:rsid w:val="005312FB"/>
    <w:rsid w:val="00531431"/>
    <w:rsid w:val="0053166F"/>
    <w:rsid w:val="0053174A"/>
    <w:rsid w:val="0053174E"/>
    <w:rsid w:val="0053189C"/>
    <w:rsid w:val="005318EA"/>
    <w:rsid w:val="00531A20"/>
    <w:rsid w:val="00531A81"/>
    <w:rsid w:val="00531B3C"/>
    <w:rsid w:val="00531CAB"/>
    <w:rsid w:val="00531D28"/>
    <w:rsid w:val="00531DC5"/>
    <w:rsid w:val="00531E49"/>
    <w:rsid w:val="00531F92"/>
    <w:rsid w:val="0053203D"/>
    <w:rsid w:val="00532314"/>
    <w:rsid w:val="0053237D"/>
    <w:rsid w:val="00532388"/>
    <w:rsid w:val="00532430"/>
    <w:rsid w:val="005324F7"/>
    <w:rsid w:val="005326A1"/>
    <w:rsid w:val="0053281A"/>
    <w:rsid w:val="005329F8"/>
    <w:rsid w:val="00532A65"/>
    <w:rsid w:val="00532D41"/>
    <w:rsid w:val="00532D91"/>
    <w:rsid w:val="00532DDC"/>
    <w:rsid w:val="0053307A"/>
    <w:rsid w:val="005330CB"/>
    <w:rsid w:val="005333EE"/>
    <w:rsid w:val="0053343D"/>
    <w:rsid w:val="005334CC"/>
    <w:rsid w:val="00533505"/>
    <w:rsid w:val="00533707"/>
    <w:rsid w:val="00533733"/>
    <w:rsid w:val="005338B4"/>
    <w:rsid w:val="00533AAD"/>
    <w:rsid w:val="00533AF2"/>
    <w:rsid w:val="00533C4F"/>
    <w:rsid w:val="00533C94"/>
    <w:rsid w:val="00533F30"/>
    <w:rsid w:val="00534139"/>
    <w:rsid w:val="0053418B"/>
    <w:rsid w:val="00534428"/>
    <w:rsid w:val="0053448B"/>
    <w:rsid w:val="0053449C"/>
    <w:rsid w:val="00534650"/>
    <w:rsid w:val="0053488F"/>
    <w:rsid w:val="00534951"/>
    <w:rsid w:val="00534A0F"/>
    <w:rsid w:val="00534C92"/>
    <w:rsid w:val="00534C9C"/>
    <w:rsid w:val="00534ED6"/>
    <w:rsid w:val="00534F32"/>
    <w:rsid w:val="00534F6F"/>
    <w:rsid w:val="00534FF3"/>
    <w:rsid w:val="0053504A"/>
    <w:rsid w:val="005350D4"/>
    <w:rsid w:val="00535438"/>
    <w:rsid w:val="00535625"/>
    <w:rsid w:val="005357E0"/>
    <w:rsid w:val="00535973"/>
    <w:rsid w:val="005359C0"/>
    <w:rsid w:val="005359E6"/>
    <w:rsid w:val="00535ABE"/>
    <w:rsid w:val="00535B86"/>
    <w:rsid w:val="00535C81"/>
    <w:rsid w:val="00535CC0"/>
    <w:rsid w:val="00535CF2"/>
    <w:rsid w:val="00535D08"/>
    <w:rsid w:val="00535DD9"/>
    <w:rsid w:val="00536144"/>
    <w:rsid w:val="005361A3"/>
    <w:rsid w:val="00536556"/>
    <w:rsid w:val="005366D6"/>
    <w:rsid w:val="005366E3"/>
    <w:rsid w:val="0053692A"/>
    <w:rsid w:val="005369C8"/>
    <w:rsid w:val="005369F5"/>
    <w:rsid w:val="00536A4B"/>
    <w:rsid w:val="00536AAD"/>
    <w:rsid w:val="00536AF2"/>
    <w:rsid w:val="00536E32"/>
    <w:rsid w:val="00536EE2"/>
    <w:rsid w:val="00536FA0"/>
    <w:rsid w:val="0053703A"/>
    <w:rsid w:val="0053719D"/>
    <w:rsid w:val="005372CA"/>
    <w:rsid w:val="00537333"/>
    <w:rsid w:val="0053749B"/>
    <w:rsid w:val="0053763E"/>
    <w:rsid w:val="0053775D"/>
    <w:rsid w:val="0053793B"/>
    <w:rsid w:val="00537962"/>
    <w:rsid w:val="005379DF"/>
    <w:rsid w:val="00537A24"/>
    <w:rsid w:val="00537BE9"/>
    <w:rsid w:val="00537C57"/>
    <w:rsid w:val="00537C59"/>
    <w:rsid w:val="00537C60"/>
    <w:rsid w:val="00537CB3"/>
    <w:rsid w:val="00537FDA"/>
    <w:rsid w:val="00540485"/>
    <w:rsid w:val="005407FA"/>
    <w:rsid w:val="00540840"/>
    <w:rsid w:val="00540897"/>
    <w:rsid w:val="00540977"/>
    <w:rsid w:val="00540A62"/>
    <w:rsid w:val="00540ACF"/>
    <w:rsid w:val="00540CC5"/>
    <w:rsid w:val="00540D8A"/>
    <w:rsid w:val="00541081"/>
    <w:rsid w:val="005411DD"/>
    <w:rsid w:val="0054125C"/>
    <w:rsid w:val="00541438"/>
    <w:rsid w:val="00541469"/>
    <w:rsid w:val="005414FB"/>
    <w:rsid w:val="00541543"/>
    <w:rsid w:val="005417CF"/>
    <w:rsid w:val="0054199E"/>
    <w:rsid w:val="00541CB5"/>
    <w:rsid w:val="00541E53"/>
    <w:rsid w:val="00541F38"/>
    <w:rsid w:val="00541F63"/>
    <w:rsid w:val="00541FF6"/>
    <w:rsid w:val="0054219D"/>
    <w:rsid w:val="00542461"/>
    <w:rsid w:val="005425D0"/>
    <w:rsid w:val="0054264B"/>
    <w:rsid w:val="005427E7"/>
    <w:rsid w:val="00542840"/>
    <w:rsid w:val="0054285E"/>
    <w:rsid w:val="00542886"/>
    <w:rsid w:val="00542A01"/>
    <w:rsid w:val="00542AAF"/>
    <w:rsid w:val="00542AD2"/>
    <w:rsid w:val="00542C2B"/>
    <w:rsid w:val="00542C3C"/>
    <w:rsid w:val="00542C8F"/>
    <w:rsid w:val="00542D4A"/>
    <w:rsid w:val="00543029"/>
    <w:rsid w:val="0054312E"/>
    <w:rsid w:val="00543162"/>
    <w:rsid w:val="00543324"/>
    <w:rsid w:val="005434AA"/>
    <w:rsid w:val="00543750"/>
    <w:rsid w:val="005437D4"/>
    <w:rsid w:val="0054380D"/>
    <w:rsid w:val="00543959"/>
    <w:rsid w:val="00543A68"/>
    <w:rsid w:val="00543AC7"/>
    <w:rsid w:val="00543ADA"/>
    <w:rsid w:val="00543B88"/>
    <w:rsid w:val="00543BA0"/>
    <w:rsid w:val="00543BD1"/>
    <w:rsid w:val="00543C77"/>
    <w:rsid w:val="00543D0F"/>
    <w:rsid w:val="00543EB8"/>
    <w:rsid w:val="00543F1D"/>
    <w:rsid w:val="0054430B"/>
    <w:rsid w:val="00544312"/>
    <w:rsid w:val="0054433E"/>
    <w:rsid w:val="005443FA"/>
    <w:rsid w:val="0054444D"/>
    <w:rsid w:val="005444F6"/>
    <w:rsid w:val="00544548"/>
    <w:rsid w:val="00544756"/>
    <w:rsid w:val="00544876"/>
    <w:rsid w:val="005448D0"/>
    <w:rsid w:val="00544B41"/>
    <w:rsid w:val="00544B6F"/>
    <w:rsid w:val="00544BF7"/>
    <w:rsid w:val="00544EA5"/>
    <w:rsid w:val="00545701"/>
    <w:rsid w:val="0054582F"/>
    <w:rsid w:val="0054591D"/>
    <w:rsid w:val="00545940"/>
    <w:rsid w:val="00545A21"/>
    <w:rsid w:val="00545B63"/>
    <w:rsid w:val="00545FD4"/>
    <w:rsid w:val="00545FDE"/>
    <w:rsid w:val="0054626B"/>
    <w:rsid w:val="0054656A"/>
    <w:rsid w:val="00546697"/>
    <w:rsid w:val="005468A0"/>
    <w:rsid w:val="00546A06"/>
    <w:rsid w:val="00546A5B"/>
    <w:rsid w:val="00546A62"/>
    <w:rsid w:val="00546B1C"/>
    <w:rsid w:val="00546BA8"/>
    <w:rsid w:val="00546C33"/>
    <w:rsid w:val="00546C6B"/>
    <w:rsid w:val="00546D44"/>
    <w:rsid w:val="00546E18"/>
    <w:rsid w:val="00546E33"/>
    <w:rsid w:val="00546E66"/>
    <w:rsid w:val="00546F19"/>
    <w:rsid w:val="00547096"/>
    <w:rsid w:val="005470B5"/>
    <w:rsid w:val="005471CD"/>
    <w:rsid w:val="00547259"/>
    <w:rsid w:val="00547290"/>
    <w:rsid w:val="00547345"/>
    <w:rsid w:val="00547591"/>
    <w:rsid w:val="005475D7"/>
    <w:rsid w:val="0054771A"/>
    <w:rsid w:val="00547930"/>
    <w:rsid w:val="00547C7C"/>
    <w:rsid w:val="00547CB5"/>
    <w:rsid w:val="00547CEC"/>
    <w:rsid w:val="00547D05"/>
    <w:rsid w:val="0055013A"/>
    <w:rsid w:val="0055026A"/>
    <w:rsid w:val="00550408"/>
    <w:rsid w:val="0055043C"/>
    <w:rsid w:val="0055044F"/>
    <w:rsid w:val="005504B5"/>
    <w:rsid w:val="0055081B"/>
    <w:rsid w:val="00550846"/>
    <w:rsid w:val="00550A1F"/>
    <w:rsid w:val="00550A7F"/>
    <w:rsid w:val="00550AEA"/>
    <w:rsid w:val="00550C02"/>
    <w:rsid w:val="00550C69"/>
    <w:rsid w:val="00550DC7"/>
    <w:rsid w:val="00550DE9"/>
    <w:rsid w:val="00550EAE"/>
    <w:rsid w:val="00550EFF"/>
    <w:rsid w:val="00551042"/>
    <w:rsid w:val="005511E9"/>
    <w:rsid w:val="0055128B"/>
    <w:rsid w:val="005512B6"/>
    <w:rsid w:val="00551300"/>
    <w:rsid w:val="00551401"/>
    <w:rsid w:val="0055160B"/>
    <w:rsid w:val="0055169D"/>
    <w:rsid w:val="00551702"/>
    <w:rsid w:val="005517BB"/>
    <w:rsid w:val="005519D2"/>
    <w:rsid w:val="00551A04"/>
    <w:rsid w:val="00551AD5"/>
    <w:rsid w:val="00551ADC"/>
    <w:rsid w:val="00551D1C"/>
    <w:rsid w:val="00551E42"/>
    <w:rsid w:val="00552588"/>
    <w:rsid w:val="00552602"/>
    <w:rsid w:val="00552822"/>
    <w:rsid w:val="00552859"/>
    <w:rsid w:val="00552861"/>
    <w:rsid w:val="0055286B"/>
    <w:rsid w:val="005529DE"/>
    <w:rsid w:val="005529F5"/>
    <w:rsid w:val="00552A94"/>
    <w:rsid w:val="00552AF7"/>
    <w:rsid w:val="00552BCA"/>
    <w:rsid w:val="00552FC1"/>
    <w:rsid w:val="00553096"/>
    <w:rsid w:val="005530B0"/>
    <w:rsid w:val="005530D6"/>
    <w:rsid w:val="005530EB"/>
    <w:rsid w:val="00553171"/>
    <w:rsid w:val="0055317E"/>
    <w:rsid w:val="00553377"/>
    <w:rsid w:val="00553429"/>
    <w:rsid w:val="00553431"/>
    <w:rsid w:val="00553442"/>
    <w:rsid w:val="00553600"/>
    <w:rsid w:val="0055366F"/>
    <w:rsid w:val="0055373B"/>
    <w:rsid w:val="005537E6"/>
    <w:rsid w:val="005539F7"/>
    <w:rsid w:val="00553AE2"/>
    <w:rsid w:val="00553BD3"/>
    <w:rsid w:val="00553EDF"/>
    <w:rsid w:val="00553EE4"/>
    <w:rsid w:val="00553F72"/>
    <w:rsid w:val="00554021"/>
    <w:rsid w:val="0055420D"/>
    <w:rsid w:val="00554321"/>
    <w:rsid w:val="0055467D"/>
    <w:rsid w:val="0055478D"/>
    <w:rsid w:val="00554821"/>
    <w:rsid w:val="0055487F"/>
    <w:rsid w:val="00554971"/>
    <w:rsid w:val="00554980"/>
    <w:rsid w:val="00554A36"/>
    <w:rsid w:val="00554B92"/>
    <w:rsid w:val="00554D01"/>
    <w:rsid w:val="00554D34"/>
    <w:rsid w:val="00554F35"/>
    <w:rsid w:val="0055517C"/>
    <w:rsid w:val="005551AD"/>
    <w:rsid w:val="005551F4"/>
    <w:rsid w:val="00555330"/>
    <w:rsid w:val="0055537D"/>
    <w:rsid w:val="00555386"/>
    <w:rsid w:val="0055568A"/>
    <w:rsid w:val="0055572A"/>
    <w:rsid w:val="00555861"/>
    <w:rsid w:val="005558AD"/>
    <w:rsid w:val="005558CC"/>
    <w:rsid w:val="005558D8"/>
    <w:rsid w:val="00555A8E"/>
    <w:rsid w:val="00555C13"/>
    <w:rsid w:val="00555C4C"/>
    <w:rsid w:val="00555C53"/>
    <w:rsid w:val="00555CAD"/>
    <w:rsid w:val="00555D28"/>
    <w:rsid w:val="00555DD5"/>
    <w:rsid w:val="00555E94"/>
    <w:rsid w:val="00555F79"/>
    <w:rsid w:val="00555FBF"/>
    <w:rsid w:val="00556693"/>
    <w:rsid w:val="005566A5"/>
    <w:rsid w:val="005566FE"/>
    <w:rsid w:val="00556741"/>
    <w:rsid w:val="005567E3"/>
    <w:rsid w:val="00556802"/>
    <w:rsid w:val="005568BE"/>
    <w:rsid w:val="005569AB"/>
    <w:rsid w:val="00556A1D"/>
    <w:rsid w:val="00556B91"/>
    <w:rsid w:val="00556E83"/>
    <w:rsid w:val="00557262"/>
    <w:rsid w:val="00557358"/>
    <w:rsid w:val="00557379"/>
    <w:rsid w:val="00557388"/>
    <w:rsid w:val="005573A4"/>
    <w:rsid w:val="00557416"/>
    <w:rsid w:val="0055745B"/>
    <w:rsid w:val="0055748D"/>
    <w:rsid w:val="0055749B"/>
    <w:rsid w:val="005574E6"/>
    <w:rsid w:val="00557646"/>
    <w:rsid w:val="005577BC"/>
    <w:rsid w:val="005578CF"/>
    <w:rsid w:val="005579CF"/>
    <w:rsid w:val="00557AEC"/>
    <w:rsid w:val="00557B34"/>
    <w:rsid w:val="00557EE3"/>
    <w:rsid w:val="00557F3A"/>
    <w:rsid w:val="0056021E"/>
    <w:rsid w:val="00560335"/>
    <w:rsid w:val="0056045C"/>
    <w:rsid w:val="005605FA"/>
    <w:rsid w:val="00560697"/>
    <w:rsid w:val="0056074A"/>
    <w:rsid w:val="005607C3"/>
    <w:rsid w:val="005607D7"/>
    <w:rsid w:val="005607DD"/>
    <w:rsid w:val="005609E4"/>
    <w:rsid w:val="00560CBE"/>
    <w:rsid w:val="00560CE4"/>
    <w:rsid w:val="00560ED5"/>
    <w:rsid w:val="00560FFF"/>
    <w:rsid w:val="005611C9"/>
    <w:rsid w:val="005611E3"/>
    <w:rsid w:val="00561226"/>
    <w:rsid w:val="005615E4"/>
    <w:rsid w:val="0056182C"/>
    <w:rsid w:val="00561A43"/>
    <w:rsid w:val="00561EFF"/>
    <w:rsid w:val="005620C9"/>
    <w:rsid w:val="005620F6"/>
    <w:rsid w:val="00562186"/>
    <w:rsid w:val="005622CE"/>
    <w:rsid w:val="00562363"/>
    <w:rsid w:val="00562586"/>
    <w:rsid w:val="005626CD"/>
    <w:rsid w:val="005626D7"/>
    <w:rsid w:val="005626E0"/>
    <w:rsid w:val="005626F6"/>
    <w:rsid w:val="00562829"/>
    <w:rsid w:val="0056293D"/>
    <w:rsid w:val="00562A25"/>
    <w:rsid w:val="00562B72"/>
    <w:rsid w:val="00562B9A"/>
    <w:rsid w:val="00562BA3"/>
    <w:rsid w:val="00562BD6"/>
    <w:rsid w:val="00562CE0"/>
    <w:rsid w:val="00562D55"/>
    <w:rsid w:val="00562EA6"/>
    <w:rsid w:val="0056300D"/>
    <w:rsid w:val="00563090"/>
    <w:rsid w:val="00563257"/>
    <w:rsid w:val="0056325F"/>
    <w:rsid w:val="005633DC"/>
    <w:rsid w:val="00563473"/>
    <w:rsid w:val="00563718"/>
    <w:rsid w:val="00563898"/>
    <w:rsid w:val="005639BD"/>
    <w:rsid w:val="005639C6"/>
    <w:rsid w:val="00563B52"/>
    <w:rsid w:val="00563BBC"/>
    <w:rsid w:val="00563BEA"/>
    <w:rsid w:val="00563C3C"/>
    <w:rsid w:val="00563C56"/>
    <w:rsid w:val="00563CE5"/>
    <w:rsid w:val="00563D70"/>
    <w:rsid w:val="00563DC9"/>
    <w:rsid w:val="00563E49"/>
    <w:rsid w:val="00563EB5"/>
    <w:rsid w:val="00563EEE"/>
    <w:rsid w:val="00563F90"/>
    <w:rsid w:val="00563FF4"/>
    <w:rsid w:val="0056400F"/>
    <w:rsid w:val="005640EA"/>
    <w:rsid w:val="00564274"/>
    <w:rsid w:val="00564546"/>
    <w:rsid w:val="00564594"/>
    <w:rsid w:val="0056497B"/>
    <w:rsid w:val="005649B0"/>
    <w:rsid w:val="00564A41"/>
    <w:rsid w:val="00564A9D"/>
    <w:rsid w:val="00564C5A"/>
    <w:rsid w:val="00564C9A"/>
    <w:rsid w:val="00564DF0"/>
    <w:rsid w:val="00564E91"/>
    <w:rsid w:val="00564FC8"/>
    <w:rsid w:val="005650B0"/>
    <w:rsid w:val="005650BA"/>
    <w:rsid w:val="00565208"/>
    <w:rsid w:val="005652BA"/>
    <w:rsid w:val="005652DE"/>
    <w:rsid w:val="00565569"/>
    <w:rsid w:val="00565647"/>
    <w:rsid w:val="00565658"/>
    <w:rsid w:val="00565665"/>
    <w:rsid w:val="0056578F"/>
    <w:rsid w:val="00565791"/>
    <w:rsid w:val="005657B0"/>
    <w:rsid w:val="0056587A"/>
    <w:rsid w:val="005658BE"/>
    <w:rsid w:val="00565CA1"/>
    <w:rsid w:val="00565D2E"/>
    <w:rsid w:val="00565D72"/>
    <w:rsid w:val="00565D83"/>
    <w:rsid w:val="00565F35"/>
    <w:rsid w:val="00565F7D"/>
    <w:rsid w:val="00565FCD"/>
    <w:rsid w:val="00565FD4"/>
    <w:rsid w:val="00566061"/>
    <w:rsid w:val="00566277"/>
    <w:rsid w:val="00566322"/>
    <w:rsid w:val="0056639F"/>
    <w:rsid w:val="00566547"/>
    <w:rsid w:val="00566551"/>
    <w:rsid w:val="005665FF"/>
    <w:rsid w:val="005666F0"/>
    <w:rsid w:val="005667A9"/>
    <w:rsid w:val="00566980"/>
    <w:rsid w:val="00566BED"/>
    <w:rsid w:val="00567014"/>
    <w:rsid w:val="005670C8"/>
    <w:rsid w:val="0056722D"/>
    <w:rsid w:val="00567337"/>
    <w:rsid w:val="00567342"/>
    <w:rsid w:val="00567366"/>
    <w:rsid w:val="005673D4"/>
    <w:rsid w:val="005673ED"/>
    <w:rsid w:val="00567500"/>
    <w:rsid w:val="005675CC"/>
    <w:rsid w:val="005676CF"/>
    <w:rsid w:val="0056778C"/>
    <w:rsid w:val="0056792B"/>
    <w:rsid w:val="00567955"/>
    <w:rsid w:val="005679A4"/>
    <w:rsid w:val="00567A28"/>
    <w:rsid w:val="00567AAE"/>
    <w:rsid w:val="00567D21"/>
    <w:rsid w:val="00567E47"/>
    <w:rsid w:val="00567E74"/>
    <w:rsid w:val="00567E7D"/>
    <w:rsid w:val="00567F39"/>
    <w:rsid w:val="00570100"/>
    <w:rsid w:val="0057024D"/>
    <w:rsid w:val="00570286"/>
    <w:rsid w:val="00570659"/>
    <w:rsid w:val="005708C6"/>
    <w:rsid w:val="00570999"/>
    <w:rsid w:val="005709FA"/>
    <w:rsid w:val="00570A35"/>
    <w:rsid w:val="00570AE8"/>
    <w:rsid w:val="00570B86"/>
    <w:rsid w:val="00570BB9"/>
    <w:rsid w:val="00570C4D"/>
    <w:rsid w:val="00570C8C"/>
    <w:rsid w:val="00570DB8"/>
    <w:rsid w:val="00570E02"/>
    <w:rsid w:val="00570F8C"/>
    <w:rsid w:val="00570F9A"/>
    <w:rsid w:val="00570FA8"/>
    <w:rsid w:val="005710F6"/>
    <w:rsid w:val="005712B9"/>
    <w:rsid w:val="005714AA"/>
    <w:rsid w:val="005714AF"/>
    <w:rsid w:val="005715B3"/>
    <w:rsid w:val="00571751"/>
    <w:rsid w:val="0057178C"/>
    <w:rsid w:val="0057180F"/>
    <w:rsid w:val="00571A2F"/>
    <w:rsid w:val="00571A40"/>
    <w:rsid w:val="00571B96"/>
    <w:rsid w:val="00571BC6"/>
    <w:rsid w:val="00571BE0"/>
    <w:rsid w:val="00571C02"/>
    <w:rsid w:val="00571D27"/>
    <w:rsid w:val="00571D48"/>
    <w:rsid w:val="00571D80"/>
    <w:rsid w:val="00571E1D"/>
    <w:rsid w:val="00571F96"/>
    <w:rsid w:val="00571FD3"/>
    <w:rsid w:val="005720FF"/>
    <w:rsid w:val="0057211F"/>
    <w:rsid w:val="005722A6"/>
    <w:rsid w:val="005722A9"/>
    <w:rsid w:val="005723FA"/>
    <w:rsid w:val="00572647"/>
    <w:rsid w:val="00572669"/>
    <w:rsid w:val="00572697"/>
    <w:rsid w:val="00572705"/>
    <w:rsid w:val="00572817"/>
    <w:rsid w:val="00572981"/>
    <w:rsid w:val="00572AAF"/>
    <w:rsid w:val="00572C4A"/>
    <w:rsid w:val="00572CAA"/>
    <w:rsid w:val="00572CC1"/>
    <w:rsid w:val="00572E5A"/>
    <w:rsid w:val="0057316B"/>
    <w:rsid w:val="0057334A"/>
    <w:rsid w:val="005733FF"/>
    <w:rsid w:val="0057343A"/>
    <w:rsid w:val="00573538"/>
    <w:rsid w:val="005735A6"/>
    <w:rsid w:val="00573778"/>
    <w:rsid w:val="005739A9"/>
    <w:rsid w:val="00573B2F"/>
    <w:rsid w:val="00573CFC"/>
    <w:rsid w:val="00573E50"/>
    <w:rsid w:val="00573F1E"/>
    <w:rsid w:val="00573F65"/>
    <w:rsid w:val="0057408C"/>
    <w:rsid w:val="0057424B"/>
    <w:rsid w:val="005742E1"/>
    <w:rsid w:val="005743B1"/>
    <w:rsid w:val="005745CC"/>
    <w:rsid w:val="00574658"/>
    <w:rsid w:val="005746CC"/>
    <w:rsid w:val="005746E0"/>
    <w:rsid w:val="00574841"/>
    <w:rsid w:val="00574950"/>
    <w:rsid w:val="0057499B"/>
    <w:rsid w:val="00574C05"/>
    <w:rsid w:val="00574D39"/>
    <w:rsid w:val="00574E21"/>
    <w:rsid w:val="00574F69"/>
    <w:rsid w:val="005751EC"/>
    <w:rsid w:val="00575217"/>
    <w:rsid w:val="00575478"/>
    <w:rsid w:val="0057559F"/>
    <w:rsid w:val="0057569C"/>
    <w:rsid w:val="00575737"/>
    <w:rsid w:val="00575964"/>
    <w:rsid w:val="00575A0F"/>
    <w:rsid w:val="00575AE6"/>
    <w:rsid w:val="00575C2B"/>
    <w:rsid w:val="00575FB9"/>
    <w:rsid w:val="00576273"/>
    <w:rsid w:val="005763EC"/>
    <w:rsid w:val="00576497"/>
    <w:rsid w:val="005765C0"/>
    <w:rsid w:val="00576AAA"/>
    <w:rsid w:val="00576C56"/>
    <w:rsid w:val="00576CBD"/>
    <w:rsid w:val="00576E0A"/>
    <w:rsid w:val="00576E8D"/>
    <w:rsid w:val="00576EE8"/>
    <w:rsid w:val="00576F08"/>
    <w:rsid w:val="00576F92"/>
    <w:rsid w:val="005770A8"/>
    <w:rsid w:val="0057723E"/>
    <w:rsid w:val="005772C6"/>
    <w:rsid w:val="00577341"/>
    <w:rsid w:val="00577363"/>
    <w:rsid w:val="00577518"/>
    <w:rsid w:val="00577536"/>
    <w:rsid w:val="00577780"/>
    <w:rsid w:val="00577804"/>
    <w:rsid w:val="00577906"/>
    <w:rsid w:val="005779C7"/>
    <w:rsid w:val="00577A36"/>
    <w:rsid w:val="00577AE1"/>
    <w:rsid w:val="00577C63"/>
    <w:rsid w:val="00577E28"/>
    <w:rsid w:val="00577ECF"/>
    <w:rsid w:val="00577F06"/>
    <w:rsid w:val="00577FD9"/>
    <w:rsid w:val="00580000"/>
    <w:rsid w:val="00580049"/>
    <w:rsid w:val="005800AB"/>
    <w:rsid w:val="00580240"/>
    <w:rsid w:val="005803F9"/>
    <w:rsid w:val="0058053A"/>
    <w:rsid w:val="00580777"/>
    <w:rsid w:val="00580785"/>
    <w:rsid w:val="0058085E"/>
    <w:rsid w:val="00580BC5"/>
    <w:rsid w:val="00580BF1"/>
    <w:rsid w:val="00581084"/>
    <w:rsid w:val="005810F2"/>
    <w:rsid w:val="00581131"/>
    <w:rsid w:val="00581339"/>
    <w:rsid w:val="0058144C"/>
    <w:rsid w:val="00581649"/>
    <w:rsid w:val="005818AC"/>
    <w:rsid w:val="005818F3"/>
    <w:rsid w:val="00581CAB"/>
    <w:rsid w:val="00582037"/>
    <w:rsid w:val="00582082"/>
    <w:rsid w:val="00582105"/>
    <w:rsid w:val="0058219D"/>
    <w:rsid w:val="005821E3"/>
    <w:rsid w:val="0058267F"/>
    <w:rsid w:val="005826F4"/>
    <w:rsid w:val="005827D9"/>
    <w:rsid w:val="00582890"/>
    <w:rsid w:val="005829D1"/>
    <w:rsid w:val="00582A78"/>
    <w:rsid w:val="00582C33"/>
    <w:rsid w:val="00582C97"/>
    <w:rsid w:val="00582D2A"/>
    <w:rsid w:val="00582FB5"/>
    <w:rsid w:val="00583068"/>
    <w:rsid w:val="005830B6"/>
    <w:rsid w:val="0058312B"/>
    <w:rsid w:val="0058314F"/>
    <w:rsid w:val="00583272"/>
    <w:rsid w:val="0058364B"/>
    <w:rsid w:val="00583777"/>
    <w:rsid w:val="0058388C"/>
    <w:rsid w:val="0058390E"/>
    <w:rsid w:val="00583BD6"/>
    <w:rsid w:val="00583D51"/>
    <w:rsid w:val="00583E3D"/>
    <w:rsid w:val="00583E45"/>
    <w:rsid w:val="00583EB2"/>
    <w:rsid w:val="00583EE6"/>
    <w:rsid w:val="00584001"/>
    <w:rsid w:val="00584133"/>
    <w:rsid w:val="005841C2"/>
    <w:rsid w:val="0058431A"/>
    <w:rsid w:val="00584362"/>
    <w:rsid w:val="00584417"/>
    <w:rsid w:val="00584679"/>
    <w:rsid w:val="00584A76"/>
    <w:rsid w:val="00584B05"/>
    <w:rsid w:val="00584BF2"/>
    <w:rsid w:val="00584C22"/>
    <w:rsid w:val="00584F2F"/>
    <w:rsid w:val="005850BF"/>
    <w:rsid w:val="0058511C"/>
    <w:rsid w:val="00585134"/>
    <w:rsid w:val="0058515A"/>
    <w:rsid w:val="00585184"/>
    <w:rsid w:val="0058524A"/>
    <w:rsid w:val="005852DE"/>
    <w:rsid w:val="0058555C"/>
    <w:rsid w:val="00585608"/>
    <w:rsid w:val="0058561C"/>
    <w:rsid w:val="0058566A"/>
    <w:rsid w:val="00585790"/>
    <w:rsid w:val="005859DC"/>
    <w:rsid w:val="00585C4F"/>
    <w:rsid w:val="00585D0C"/>
    <w:rsid w:val="00585D95"/>
    <w:rsid w:val="00585DA5"/>
    <w:rsid w:val="00585DEC"/>
    <w:rsid w:val="00585E03"/>
    <w:rsid w:val="00585E2A"/>
    <w:rsid w:val="00585F11"/>
    <w:rsid w:val="00586351"/>
    <w:rsid w:val="005867A8"/>
    <w:rsid w:val="005867ED"/>
    <w:rsid w:val="0058696F"/>
    <w:rsid w:val="0058698B"/>
    <w:rsid w:val="005869D3"/>
    <w:rsid w:val="005869D8"/>
    <w:rsid w:val="00586B36"/>
    <w:rsid w:val="00586E2F"/>
    <w:rsid w:val="00586EFC"/>
    <w:rsid w:val="0058707F"/>
    <w:rsid w:val="00587246"/>
    <w:rsid w:val="005872C0"/>
    <w:rsid w:val="0058752C"/>
    <w:rsid w:val="005876A5"/>
    <w:rsid w:val="0058771D"/>
    <w:rsid w:val="0058778C"/>
    <w:rsid w:val="005877E0"/>
    <w:rsid w:val="005878C5"/>
    <w:rsid w:val="00587930"/>
    <w:rsid w:val="00587A4B"/>
    <w:rsid w:val="00587A94"/>
    <w:rsid w:val="00587BE3"/>
    <w:rsid w:val="00587EE8"/>
    <w:rsid w:val="00587F0E"/>
    <w:rsid w:val="00587F14"/>
    <w:rsid w:val="00587F49"/>
    <w:rsid w:val="0059006F"/>
    <w:rsid w:val="005900BE"/>
    <w:rsid w:val="00590132"/>
    <w:rsid w:val="0059037C"/>
    <w:rsid w:val="00590521"/>
    <w:rsid w:val="005906CD"/>
    <w:rsid w:val="005906EA"/>
    <w:rsid w:val="005908E9"/>
    <w:rsid w:val="0059098A"/>
    <w:rsid w:val="00590A30"/>
    <w:rsid w:val="00590AF5"/>
    <w:rsid w:val="00590B20"/>
    <w:rsid w:val="00590CFA"/>
    <w:rsid w:val="005913E0"/>
    <w:rsid w:val="005915CB"/>
    <w:rsid w:val="00591979"/>
    <w:rsid w:val="00591B72"/>
    <w:rsid w:val="00591D53"/>
    <w:rsid w:val="00591D69"/>
    <w:rsid w:val="00591FC3"/>
    <w:rsid w:val="00592014"/>
    <w:rsid w:val="005920AF"/>
    <w:rsid w:val="00592210"/>
    <w:rsid w:val="00592240"/>
    <w:rsid w:val="00592277"/>
    <w:rsid w:val="005922A1"/>
    <w:rsid w:val="00592303"/>
    <w:rsid w:val="00592311"/>
    <w:rsid w:val="00592475"/>
    <w:rsid w:val="005924EF"/>
    <w:rsid w:val="005925AE"/>
    <w:rsid w:val="005925F8"/>
    <w:rsid w:val="00592605"/>
    <w:rsid w:val="00592698"/>
    <w:rsid w:val="00592831"/>
    <w:rsid w:val="005928A9"/>
    <w:rsid w:val="005928BF"/>
    <w:rsid w:val="005929F6"/>
    <w:rsid w:val="00592A33"/>
    <w:rsid w:val="00592B11"/>
    <w:rsid w:val="00592B32"/>
    <w:rsid w:val="00592D5B"/>
    <w:rsid w:val="00592FF0"/>
    <w:rsid w:val="005930AC"/>
    <w:rsid w:val="00593158"/>
    <w:rsid w:val="00593202"/>
    <w:rsid w:val="00593447"/>
    <w:rsid w:val="005936CF"/>
    <w:rsid w:val="0059390F"/>
    <w:rsid w:val="00593AC5"/>
    <w:rsid w:val="00593B0E"/>
    <w:rsid w:val="00593D3F"/>
    <w:rsid w:val="00593EA6"/>
    <w:rsid w:val="00593EB3"/>
    <w:rsid w:val="00593F7B"/>
    <w:rsid w:val="0059416E"/>
    <w:rsid w:val="005944AB"/>
    <w:rsid w:val="0059450B"/>
    <w:rsid w:val="005946E2"/>
    <w:rsid w:val="005946F0"/>
    <w:rsid w:val="0059470C"/>
    <w:rsid w:val="00594909"/>
    <w:rsid w:val="0059490C"/>
    <w:rsid w:val="0059492E"/>
    <w:rsid w:val="0059493C"/>
    <w:rsid w:val="005949EC"/>
    <w:rsid w:val="00594AC8"/>
    <w:rsid w:val="00594B51"/>
    <w:rsid w:val="00594C9F"/>
    <w:rsid w:val="00594F14"/>
    <w:rsid w:val="00594FBB"/>
    <w:rsid w:val="0059523C"/>
    <w:rsid w:val="005952D4"/>
    <w:rsid w:val="00595371"/>
    <w:rsid w:val="005953BF"/>
    <w:rsid w:val="00595419"/>
    <w:rsid w:val="005955D3"/>
    <w:rsid w:val="005955FF"/>
    <w:rsid w:val="00595660"/>
    <w:rsid w:val="0059572D"/>
    <w:rsid w:val="0059575B"/>
    <w:rsid w:val="00595B3F"/>
    <w:rsid w:val="00595BB0"/>
    <w:rsid w:val="00595D24"/>
    <w:rsid w:val="00595DCA"/>
    <w:rsid w:val="00595F3F"/>
    <w:rsid w:val="00595F90"/>
    <w:rsid w:val="00596161"/>
    <w:rsid w:val="00596223"/>
    <w:rsid w:val="00596539"/>
    <w:rsid w:val="0059666A"/>
    <w:rsid w:val="0059688A"/>
    <w:rsid w:val="00596952"/>
    <w:rsid w:val="00596972"/>
    <w:rsid w:val="00596A74"/>
    <w:rsid w:val="00596B14"/>
    <w:rsid w:val="00596B4D"/>
    <w:rsid w:val="00596BDD"/>
    <w:rsid w:val="00596C1C"/>
    <w:rsid w:val="00596C6F"/>
    <w:rsid w:val="005970A6"/>
    <w:rsid w:val="0059721B"/>
    <w:rsid w:val="005974A6"/>
    <w:rsid w:val="005974F0"/>
    <w:rsid w:val="005974FF"/>
    <w:rsid w:val="00597512"/>
    <w:rsid w:val="0059753F"/>
    <w:rsid w:val="0059775F"/>
    <w:rsid w:val="005977D9"/>
    <w:rsid w:val="00597824"/>
    <w:rsid w:val="00597863"/>
    <w:rsid w:val="005978C7"/>
    <w:rsid w:val="005979F3"/>
    <w:rsid w:val="00597A5D"/>
    <w:rsid w:val="00597A84"/>
    <w:rsid w:val="00597B4C"/>
    <w:rsid w:val="00597D28"/>
    <w:rsid w:val="00597D35"/>
    <w:rsid w:val="00597D7D"/>
    <w:rsid w:val="00597D81"/>
    <w:rsid w:val="00597DB3"/>
    <w:rsid w:val="00597E77"/>
    <w:rsid w:val="00597F46"/>
    <w:rsid w:val="00597FBF"/>
    <w:rsid w:val="005A0087"/>
    <w:rsid w:val="005A018C"/>
    <w:rsid w:val="005A0255"/>
    <w:rsid w:val="005A02D3"/>
    <w:rsid w:val="005A030B"/>
    <w:rsid w:val="005A0520"/>
    <w:rsid w:val="005A082D"/>
    <w:rsid w:val="005A095D"/>
    <w:rsid w:val="005A0A25"/>
    <w:rsid w:val="005A0B55"/>
    <w:rsid w:val="005A0E82"/>
    <w:rsid w:val="005A0F7A"/>
    <w:rsid w:val="005A1427"/>
    <w:rsid w:val="005A1439"/>
    <w:rsid w:val="005A1660"/>
    <w:rsid w:val="005A1670"/>
    <w:rsid w:val="005A1852"/>
    <w:rsid w:val="005A18A7"/>
    <w:rsid w:val="005A1AEA"/>
    <w:rsid w:val="005A1B52"/>
    <w:rsid w:val="005A1BB1"/>
    <w:rsid w:val="005A1DCD"/>
    <w:rsid w:val="005A1F86"/>
    <w:rsid w:val="005A2067"/>
    <w:rsid w:val="005A2328"/>
    <w:rsid w:val="005A2342"/>
    <w:rsid w:val="005A24A9"/>
    <w:rsid w:val="005A2568"/>
    <w:rsid w:val="005A2985"/>
    <w:rsid w:val="005A299C"/>
    <w:rsid w:val="005A2B7C"/>
    <w:rsid w:val="005A2C94"/>
    <w:rsid w:val="005A2CB0"/>
    <w:rsid w:val="005A2EBD"/>
    <w:rsid w:val="005A2ED9"/>
    <w:rsid w:val="005A2F41"/>
    <w:rsid w:val="005A31B8"/>
    <w:rsid w:val="005A3304"/>
    <w:rsid w:val="005A3335"/>
    <w:rsid w:val="005A3354"/>
    <w:rsid w:val="005A33CB"/>
    <w:rsid w:val="005A3564"/>
    <w:rsid w:val="005A35CC"/>
    <w:rsid w:val="005A361A"/>
    <w:rsid w:val="005A36A0"/>
    <w:rsid w:val="005A3756"/>
    <w:rsid w:val="005A37B8"/>
    <w:rsid w:val="005A38F5"/>
    <w:rsid w:val="005A395E"/>
    <w:rsid w:val="005A3A7D"/>
    <w:rsid w:val="005A3ADE"/>
    <w:rsid w:val="005A3B14"/>
    <w:rsid w:val="005A3B7D"/>
    <w:rsid w:val="005A3B82"/>
    <w:rsid w:val="005A3CE5"/>
    <w:rsid w:val="005A3D12"/>
    <w:rsid w:val="005A3DC4"/>
    <w:rsid w:val="005A3FBB"/>
    <w:rsid w:val="005A4124"/>
    <w:rsid w:val="005A426F"/>
    <w:rsid w:val="005A4366"/>
    <w:rsid w:val="005A43BD"/>
    <w:rsid w:val="005A43E5"/>
    <w:rsid w:val="005A4502"/>
    <w:rsid w:val="005A457C"/>
    <w:rsid w:val="005A46CE"/>
    <w:rsid w:val="005A482B"/>
    <w:rsid w:val="005A4926"/>
    <w:rsid w:val="005A4972"/>
    <w:rsid w:val="005A49D8"/>
    <w:rsid w:val="005A4A14"/>
    <w:rsid w:val="005A4AEB"/>
    <w:rsid w:val="005A4B26"/>
    <w:rsid w:val="005A500B"/>
    <w:rsid w:val="005A5108"/>
    <w:rsid w:val="005A52EA"/>
    <w:rsid w:val="005A54CD"/>
    <w:rsid w:val="005A5634"/>
    <w:rsid w:val="005A567C"/>
    <w:rsid w:val="005A56DD"/>
    <w:rsid w:val="005A5794"/>
    <w:rsid w:val="005A584E"/>
    <w:rsid w:val="005A5A60"/>
    <w:rsid w:val="005A5C7B"/>
    <w:rsid w:val="005A5CF3"/>
    <w:rsid w:val="005A5E52"/>
    <w:rsid w:val="005A5EB1"/>
    <w:rsid w:val="005A5F53"/>
    <w:rsid w:val="005A60D4"/>
    <w:rsid w:val="005A6105"/>
    <w:rsid w:val="005A64A9"/>
    <w:rsid w:val="005A68A2"/>
    <w:rsid w:val="005A6911"/>
    <w:rsid w:val="005A698A"/>
    <w:rsid w:val="005A6BB2"/>
    <w:rsid w:val="005A6C1A"/>
    <w:rsid w:val="005A6D6F"/>
    <w:rsid w:val="005A6E9C"/>
    <w:rsid w:val="005A70A9"/>
    <w:rsid w:val="005A712E"/>
    <w:rsid w:val="005A717D"/>
    <w:rsid w:val="005A728E"/>
    <w:rsid w:val="005A72AC"/>
    <w:rsid w:val="005A73DA"/>
    <w:rsid w:val="005A7538"/>
    <w:rsid w:val="005A76DF"/>
    <w:rsid w:val="005A76FB"/>
    <w:rsid w:val="005A7764"/>
    <w:rsid w:val="005A78CC"/>
    <w:rsid w:val="005A7B77"/>
    <w:rsid w:val="005A7C28"/>
    <w:rsid w:val="005A7C9F"/>
    <w:rsid w:val="005A7E7B"/>
    <w:rsid w:val="005A7E82"/>
    <w:rsid w:val="005A7F8B"/>
    <w:rsid w:val="005B0558"/>
    <w:rsid w:val="005B07F7"/>
    <w:rsid w:val="005B0814"/>
    <w:rsid w:val="005B0865"/>
    <w:rsid w:val="005B09CC"/>
    <w:rsid w:val="005B0A51"/>
    <w:rsid w:val="005B0BAE"/>
    <w:rsid w:val="005B0C42"/>
    <w:rsid w:val="005B0FC6"/>
    <w:rsid w:val="005B0FF6"/>
    <w:rsid w:val="005B1018"/>
    <w:rsid w:val="005B1025"/>
    <w:rsid w:val="005B10EF"/>
    <w:rsid w:val="005B1207"/>
    <w:rsid w:val="005B12AB"/>
    <w:rsid w:val="005B12CC"/>
    <w:rsid w:val="005B1395"/>
    <w:rsid w:val="005B1511"/>
    <w:rsid w:val="005B183E"/>
    <w:rsid w:val="005B184A"/>
    <w:rsid w:val="005B189E"/>
    <w:rsid w:val="005B18DC"/>
    <w:rsid w:val="005B1A0A"/>
    <w:rsid w:val="005B1AEB"/>
    <w:rsid w:val="005B1C6B"/>
    <w:rsid w:val="005B1EB6"/>
    <w:rsid w:val="005B1EC8"/>
    <w:rsid w:val="005B1ED4"/>
    <w:rsid w:val="005B206A"/>
    <w:rsid w:val="005B2164"/>
    <w:rsid w:val="005B2165"/>
    <w:rsid w:val="005B2187"/>
    <w:rsid w:val="005B2285"/>
    <w:rsid w:val="005B233E"/>
    <w:rsid w:val="005B2454"/>
    <w:rsid w:val="005B260D"/>
    <w:rsid w:val="005B27AB"/>
    <w:rsid w:val="005B2A22"/>
    <w:rsid w:val="005B2A75"/>
    <w:rsid w:val="005B2AC9"/>
    <w:rsid w:val="005B2BD0"/>
    <w:rsid w:val="005B2D30"/>
    <w:rsid w:val="005B308D"/>
    <w:rsid w:val="005B31D3"/>
    <w:rsid w:val="005B3206"/>
    <w:rsid w:val="005B3232"/>
    <w:rsid w:val="005B325C"/>
    <w:rsid w:val="005B32B5"/>
    <w:rsid w:val="005B331B"/>
    <w:rsid w:val="005B3417"/>
    <w:rsid w:val="005B351E"/>
    <w:rsid w:val="005B35A6"/>
    <w:rsid w:val="005B3613"/>
    <w:rsid w:val="005B368D"/>
    <w:rsid w:val="005B376E"/>
    <w:rsid w:val="005B381D"/>
    <w:rsid w:val="005B3907"/>
    <w:rsid w:val="005B3958"/>
    <w:rsid w:val="005B3AFA"/>
    <w:rsid w:val="005B3B12"/>
    <w:rsid w:val="005B3B99"/>
    <w:rsid w:val="005B3C16"/>
    <w:rsid w:val="005B3D63"/>
    <w:rsid w:val="005B3E8F"/>
    <w:rsid w:val="005B3F94"/>
    <w:rsid w:val="005B3FCD"/>
    <w:rsid w:val="005B421A"/>
    <w:rsid w:val="005B42CA"/>
    <w:rsid w:val="005B42FD"/>
    <w:rsid w:val="005B4497"/>
    <w:rsid w:val="005B466A"/>
    <w:rsid w:val="005B470D"/>
    <w:rsid w:val="005B492D"/>
    <w:rsid w:val="005B4BA6"/>
    <w:rsid w:val="005B4D42"/>
    <w:rsid w:val="005B4D56"/>
    <w:rsid w:val="005B4D7E"/>
    <w:rsid w:val="005B4E4B"/>
    <w:rsid w:val="005B4F95"/>
    <w:rsid w:val="005B5094"/>
    <w:rsid w:val="005B50F6"/>
    <w:rsid w:val="005B51EE"/>
    <w:rsid w:val="005B522C"/>
    <w:rsid w:val="005B5502"/>
    <w:rsid w:val="005B554C"/>
    <w:rsid w:val="005B561C"/>
    <w:rsid w:val="005B59CE"/>
    <w:rsid w:val="005B5A05"/>
    <w:rsid w:val="005B5A8E"/>
    <w:rsid w:val="005B5CF8"/>
    <w:rsid w:val="005B60BE"/>
    <w:rsid w:val="005B60E7"/>
    <w:rsid w:val="005B62BE"/>
    <w:rsid w:val="005B64A8"/>
    <w:rsid w:val="005B6560"/>
    <w:rsid w:val="005B6599"/>
    <w:rsid w:val="005B672A"/>
    <w:rsid w:val="005B6834"/>
    <w:rsid w:val="005B68AD"/>
    <w:rsid w:val="005B698F"/>
    <w:rsid w:val="005B6C20"/>
    <w:rsid w:val="005B6F6D"/>
    <w:rsid w:val="005B6F71"/>
    <w:rsid w:val="005B7074"/>
    <w:rsid w:val="005B7082"/>
    <w:rsid w:val="005B70A4"/>
    <w:rsid w:val="005B7143"/>
    <w:rsid w:val="005B739B"/>
    <w:rsid w:val="005B74F9"/>
    <w:rsid w:val="005B7535"/>
    <w:rsid w:val="005B7617"/>
    <w:rsid w:val="005B772E"/>
    <w:rsid w:val="005B7828"/>
    <w:rsid w:val="005B7859"/>
    <w:rsid w:val="005B7A5C"/>
    <w:rsid w:val="005B7B15"/>
    <w:rsid w:val="005B7C44"/>
    <w:rsid w:val="005B7FE2"/>
    <w:rsid w:val="005C003F"/>
    <w:rsid w:val="005C00B6"/>
    <w:rsid w:val="005C0173"/>
    <w:rsid w:val="005C01BB"/>
    <w:rsid w:val="005C01DE"/>
    <w:rsid w:val="005C01F7"/>
    <w:rsid w:val="005C0297"/>
    <w:rsid w:val="005C03AB"/>
    <w:rsid w:val="005C04BC"/>
    <w:rsid w:val="005C0501"/>
    <w:rsid w:val="005C05CE"/>
    <w:rsid w:val="005C061B"/>
    <w:rsid w:val="005C0667"/>
    <w:rsid w:val="005C0734"/>
    <w:rsid w:val="005C07DB"/>
    <w:rsid w:val="005C0893"/>
    <w:rsid w:val="005C08A5"/>
    <w:rsid w:val="005C092E"/>
    <w:rsid w:val="005C0A33"/>
    <w:rsid w:val="005C0A3B"/>
    <w:rsid w:val="005C0ACC"/>
    <w:rsid w:val="005C0AF7"/>
    <w:rsid w:val="005C0BCE"/>
    <w:rsid w:val="005C0D00"/>
    <w:rsid w:val="005C104D"/>
    <w:rsid w:val="005C10C6"/>
    <w:rsid w:val="005C1243"/>
    <w:rsid w:val="005C129E"/>
    <w:rsid w:val="005C135A"/>
    <w:rsid w:val="005C1364"/>
    <w:rsid w:val="005C1489"/>
    <w:rsid w:val="005C14A8"/>
    <w:rsid w:val="005C14F8"/>
    <w:rsid w:val="005C157F"/>
    <w:rsid w:val="005C1582"/>
    <w:rsid w:val="005C1615"/>
    <w:rsid w:val="005C1749"/>
    <w:rsid w:val="005C1848"/>
    <w:rsid w:val="005C18C9"/>
    <w:rsid w:val="005C19BA"/>
    <w:rsid w:val="005C1C1D"/>
    <w:rsid w:val="005C1CC4"/>
    <w:rsid w:val="005C1D45"/>
    <w:rsid w:val="005C1E1F"/>
    <w:rsid w:val="005C1EB4"/>
    <w:rsid w:val="005C1EBB"/>
    <w:rsid w:val="005C1FA6"/>
    <w:rsid w:val="005C208E"/>
    <w:rsid w:val="005C22DE"/>
    <w:rsid w:val="005C22F3"/>
    <w:rsid w:val="005C2380"/>
    <w:rsid w:val="005C2487"/>
    <w:rsid w:val="005C24B5"/>
    <w:rsid w:val="005C24E0"/>
    <w:rsid w:val="005C2581"/>
    <w:rsid w:val="005C27D5"/>
    <w:rsid w:val="005C2875"/>
    <w:rsid w:val="005C2953"/>
    <w:rsid w:val="005C2C8C"/>
    <w:rsid w:val="005C2E5D"/>
    <w:rsid w:val="005C305E"/>
    <w:rsid w:val="005C3060"/>
    <w:rsid w:val="005C3563"/>
    <w:rsid w:val="005C365C"/>
    <w:rsid w:val="005C36B5"/>
    <w:rsid w:val="005C3776"/>
    <w:rsid w:val="005C38FA"/>
    <w:rsid w:val="005C3BBC"/>
    <w:rsid w:val="005C3E79"/>
    <w:rsid w:val="005C3F2F"/>
    <w:rsid w:val="005C3F6D"/>
    <w:rsid w:val="005C4066"/>
    <w:rsid w:val="005C41FE"/>
    <w:rsid w:val="005C4488"/>
    <w:rsid w:val="005C4653"/>
    <w:rsid w:val="005C4684"/>
    <w:rsid w:val="005C49B5"/>
    <w:rsid w:val="005C4A26"/>
    <w:rsid w:val="005C4AE2"/>
    <w:rsid w:val="005C4C5D"/>
    <w:rsid w:val="005C4CE4"/>
    <w:rsid w:val="005C4D1B"/>
    <w:rsid w:val="005C4D6C"/>
    <w:rsid w:val="005C4EBF"/>
    <w:rsid w:val="005C5005"/>
    <w:rsid w:val="005C51A5"/>
    <w:rsid w:val="005C524C"/>
    <w:rsid w:val="005C528E"/>
    <w:rsid w:val="005C5306"/>
    <w:rsid w:val="005C5433"/>
    <w:rsid w:val="005C543A"/>
    <w:rsid w:val="005C54CF"/>
    <w:rsid w:val="005C55BA"/>
    <w:rsid w:val="005C561B"/>
    <w:rsid w:val="005C56C5"/>
    <w:rsid w:val="005C5775"/>
    <w:rsid w:val="005C58C0"/>
    <w:rsid w:val="005C5906"/>
    <w:rsid w:val="005C59BB"/>
    <w:rsid w:val="005C5B18"/>
    <w:rsid w:val="005C5C38"/>
    <w:rsid w:val="005C5C4E"/>
    <w:rsid w:val="005C5E1C"/>
    <w:rsid w:val="005C614F"/>
    <w:rsid w:val="005C61C0"/>
    <w:rsid w:val="005C64B5"/>
    <w:rsid w:val="005C6688"/>
    <w:rsid w:val="005C676D"/>
    <w:rsid w:val="005C6C54"/>
    <w:rsid w:val="005C6C6A"/>
    <w:rsid w:val="005C6E4F"/>
    <w:rsid w:val="005C6E77"/>
    <w:rsid w:val="005C6FE4"/>
    <w:rsid w:val="005C703B"/>
    <w:rsid w:val="005C707D"/>
    <w:rsid w:val="005C70B0"/>
    <w:rsid w:val="005C70FD"/>
    <w:rsid w:val="005C72F0"/>
    <w:rsid w:val="005C7361"/>
    <w:rsid w:val="005C7428"/>
    <w:rsid w:val="005C7472"/>
    <w:rsid w:val="005C75ED"/>
    <w:rsid w:val="005C7652"/>
    <w:rsid w:val="005C7761"/>
    <w:rsid w:val="005C7794"/>
    <w:rsid w:val="005C779B"/>
    <w:rsid w:val="005C780F"/>
    <w:rsid w:val="005C7954"/>
    <w:rsid w:val="005C7A54"/>
    <w:rsid w:val="005C7A9A"/>
    <w:rsid w:val="005C7BD2"/>
    <w:rsid w:val="005C7CB9"/>
    <w:rsid w:val="005C7CDF"/>
    <w:rsid w:val="005C7E9A"/>
    <w:rsid w:val="005D0076"/>
    <w:rsid w:val="005D00AA"/>
    <w:rsid w:val="005D0118"/>
    <w:rsid w:val="005D02F9"/>
    <w:rsid w:val="005D040C"/>
    <w:rsid w:val="005D043E"/>
    <w:rsid w:val="005D04E8"/>
    <w:rsid w:val="005D06A6"/>
    <w:rsid w:val="005D0728"/>
    <w:rsid w:val="005D0778"/>
    <w:rsid w:val="005D0961"/>
    <w:rsid w:val="005D0BCA"/>
    <w:rsid w:val="005D0BE2"/>
    <w:rsid w:val="005D0BE9"/>
    <w:rsid w:val="005D0EB0"/>
    <w:rsid w:val="005D0EBB"/>
    <w:rsid w:val="005D0FFC"/>
    <w:rsid w:val="005D113D"/>
    <w:rsid w:val="005D11B9"/>
    <w:rsid w:val="005D11D3"/>
    <w:rsid w:val="005D1265"/>
    <w:rsid w:val="005D12CE"/>
    <w:rsid w:val="005D14BA"/>
    <w:rsid w:val="005D1509"/>
    <w:rsid w:val="005D1569"/>
    <w:rsid w:val="005D160B"/>
    <w:rsid w:val="005D1660"/>
    <w:rsid w:val="005D1771"/>
    <w:rsid w:val="005D177A"/>
    <w:rsid w:val="005D1874"/>
    <w:rsid w:val="005D194B"/>
    <w:rsid w:val="005D1980"/>
    <w:rsid w:val="005D19A0"/>
    <w:rsid w:val="005D1AA6"/>
    <w:rsid w:val="005D1AC2"/>
    <w:rsid w:val="005D1B51"/>
    <w:rsid w:val="005D1DDB"/>
    <w:rsid w:val="005D1E55"/>
    <w:rsid w:val="005D1F36"/>
    <w:rsid w:val="005D20B1"/>
    <w:rsid w:val="005D2286"/>
    <w:rsid w:val="005D23F6"/>
    <w:rsid w:val="005D24ED"/>
    <w:rsid w:val="005D257B"/>
    <w:rsid w:val="005D25A3"/>
    <w:rsid w:val="005D260F"/>
    <w:rsid w:val="005D2696"/>
    <w:rsid w:val="005D271C"/>
    <w:rsid w:val="005D27D1"/>
    <w:rsid w:val="005D27E7"/>
    <w:rsid w:val="005D2B85"/>
    <w:rsid w:val="005D2C2C"/>
    <w:rsid w:val="005D2CA1"/>
    <w:rsid w:val="005D2D40"/>
    <w:rsid w:val="005D2D5A"/>
    <w:rsid w:val="005D2E8B"/>
    <w:rsid w:val="005D2F4C"/>
    <w:rsid w:val="005D304C"/>
    <w:rsid w:val="005D3111"/>
    <w:rsid w:val="005D3121"/>
    <w:rsid w:val="005D3148"/>
    <w:rsid w:val="005D318E"/>
    <w:rsid w:val="005D3502"/>
    <w:rsid w:val="005D3776"/>
    <w:rsid w:val="005D38B7"/>
    <w:rsid w:val="005D38BC"/>
    <w:rsid w:val="005D3921"/>
    <w:rsid w:val="005D39DB"/>
    <w:rsid w:val="005D39F9"/>
    <w:rsid w:val="005D3A37"/>
    <w:rsid w:val="005D3B41"/>
    <w:rsid w:val="005D3B4E"/>
    <w:rsid w:val="005D3CA4"/>
    <w:rsid w:val="005D3DB3"/>
    <w:rsid w:val="005D3E71"/>
    <w:rsid w:val="005D401A"/>
    <w:rsid w:val="005D4127"/>
    <w:rsid w:val="005D417A"/>
    <w:rsid w:val="005D4191"/>
    <w:rsid w:val="005D430B"/>
    <w:rsid w:val="005D43D6"/>
    <w:rsid w:val="005D4687"/>
    <w:rsid w:val="005D4764"/>
    <w:rsid w:val="005D484E"/>
    <w:rsid w:val="005D4963"/>
    <w:rsid w:val="005D4AD6"/>
    <w:rsid w:val="005D4C0B"/>
    <w:rsid w:val="005D4CD7"/>
    <w:rsid w:val="005D4DD7"/>
    <w:rsid w:val="005D4E56"/>
    <w:rsid w:val="005D5284"/>
    <w:rsid w:val="005D5316"/>
    <w:rsid w:val="005D53C1"/>
    <w:rsid w:val="005D55CB"/>
    <w:rsid w:val="005D55D6"/>
    <w:rsid w:val="005D5606"/>
    <w:rsid w:val="005D57C5"/>
    <w:rsid w:val="005D57E1"/>
    <w:rsid w:val="005D57E2"/>
    <w:rsid w:val="005D58A8"/>
    <w:rsid w:val="005D5902"/>
    <w:rsid w:val="005D59BE"/>
    <w:rsid w:val="005D5E46"/>
    <w:rsid w:val="005D5E5F"/>
    <w:rsid w:val="005D5EF9"/>
    <w:rsid w:val="005D6010"/>
    <w:rsid w:val="005D6023"/>
    <w:rsid w:val="005D612D"/>
    <w:rsid w:val="005D61EB"/>
    <w:rsid w:val="005D62D1"/>
    <w:rsid w:val="005D63DD"/>
    <w:rsid w:val="005D64A8"/>
    <w:rsid w:val="005D64C0"/>
    <w:rsid w:val="005D64C8"/>
    <w:rsid w:val="005D6527"/>
    <w:rsid w:val="005D65A3"/>
    <w:rsid w:val="005D666D"/>
    <w:rsid w:val="005D66AC"/>
    <w:rsid w:val="005D6A00"/>
    <w:rsid w:val="005D6A0F"/>
    <w:rsid w:val="005D6A74"/>
    <w:rsid w:val="005D6A90"/>
    <w:rsid w:val="005D6A9B"/>
    <w:rsid w:val="005D6BD2"/>
    <w:rsid w:val="005D6BE7"/>
    <w:rsid w:val="005D6C39"/>
    <w:rsid w:val="005D6CD0"/>
    <w:rsid w:val="005D6D88"/>
    <w:rsid w:val="005D6FE8"/>
    <w:rsid w:val="005D7000"/>
    <w:rsid w:val="005D7095"/>
    <w:rsid w:val="005D7254"/>
    <w:rsid w:val="005D732C"/>
    <w:rsid w:val="005D7390"/>
    <w:rsid w:val="005D7404"/>
    <w:rsid w:val="005D74C7"/>
    <w:rsid w:val="005D750C"/>
    <w:rsid w:val="005D751F"/>
    <w:rsid w:val="005D7548"/>
    <w:rsid w:val="005D764C"/>
    <w:rsid w:val="005D78AD"/>
    <w:rsid w:val="005D7944"/>
    <w:rsid w:val="005D7A2C"/>
    <w:rsid w:val="005D7B0C"/>
    <w:rsid w:val="005D7CCC"/>
    <w:rsid w:val="005D7D27"/>
    <w:rsid w:val="005D7F7B"/>
    <w:rsid w:val="005E0348"/>
    <w:rsid w:val="005E04FB"/>
    <w:rsid w:val="005E050B"/>
    <w:rsid w:val="005E0541"/>
    <w:rsid w:val="005E05CB"/>
    <w:rsid w:val="005E08AE"/>
    <w:rsid w:val="005E093B"/>
    <w:rsid w:val="005E0B18"/>
    <w:rsid w:val="005E0D08"/>
    <w:rsid w:val="005E0E55"/>
    <w:rsid w:val="005E0EAB"/>
    <w:rsid w:val="005E0EB4"/>
    <w:rsid w:val="005E1007"/>
    <w:rsid w:val="005E10DF"/>
    <w:rsid w:val="005E1126"/>
    <w:rsid w:val="005E1164"/>
    <w:rsid w:val="005E1296"/>
    <w:rsid w:val="005E12E0"/>
    <w:rsid w:val="005E13E2"/>
    <w:rsid w:val="005E1426"/>
    <w:rsid w:val="005E1522"/>
    <w:rsid w:val="005E16A5"/>
    <w:rsid w:val="005E1A56"/>
    <w:rsid w:val="005E1C39"/>
    <w:rsid w:val="005E1D37"/>
    <w:rsid w:val="005E1DFB"/>
    <w:rsid w:val="005E21D5"/>
    <w:rsid w:val="005E227A"/>
    <w:rsid w:val="005E2388"/>
    <w:rsid w:val="005E23A4"/>
    <w:rsid w:val="005E2679"/>
    <w:rsid w:val="005E275D"/>
    <w:rsid w:val="005E2826"/>
    <w:rsid w:val="005E28EA"/>
    <w:rsid w:val="005E29AD"/>
    <w:rsid w:val="005E2AC5"/>
    <w:rsid w:val="005E2BAF"/>
    <w:rsid w:val="005E2C7F"/>
    <w:rsid w:val="005E2CD1"/>
    <w:rsid w:val="005E2F35"/>
    <w:rsid w:val="005E30DC"/>
    <w:rsid w:val="005E3163"/>
    <w:rsid w:val="005E31F3"/>
    <w:rsid w:val="005E3209"/>
    <w:rsid w:val="005E321D"/>
    <w:rsid w:val="005E3239"/>
    <w:rsid w:val="005E3279"/>
    <w:rsid w:val="005E3301"/>
    <w:rsid w:val="005E33CA"/>
    <w:rsid w:val="005E35E4"/>
    <w:rsid w:val="005E367F"/>
    <w:rsid w:val="005E384E"/>
    <w:rsid w:val="005E39E6"/>
    <w:rsid w:val="005E3A7C"/>
    <w:rsid w:val="005E3B13"/>
    <w:rsid w:val="005E3C53"/>
    <w:rsid w:val="005E3F57"/>
    <w:rsid w:val="005E413E"/>
    <w:rsid w:val="005E431C"/>
    <w:rsid w:val="005E437B"/>
    <w:rsid w:val="005E446E"/>
    <w:rsid w:val="005E44E5"/>
    <w:rsid w:val="005E465A"/>
    <w:rsid w:val="005E47C7"/>
    <w:rsid w:val="005E4843"/>
    <w:rsid w:val="005E4DE4"/>
    <w:rsid w:val="005E4DED"/>
    <w:rsid w:val="005E4EA7"/>
    <w:rsid w:val="005E4F2F"/>
    <w:rsid w:val="005E5244"/>
    <w:rsid w:val="005E53A8"/>
    <w:rsid w:val="005E53D4"/>
    <w:rsid w:val="005E5472"/>
    <w:rsid w:val="005E5567"/>
    <w:rsid w:val="005E5658"/>
    <w:rsid w:val="005E5812"/>
    <w:rsid w:val="005E58D3"/>
    <w:rsid w:val="005E58F0"/>
    <w:rsid w:val="005E5991"/>
    <w:rsid w:val="005E59BE"/>
    <w:rsid w:val="005E5DBF"/>
    <w:rsid w:val="005E5DF0"/>
    <w:rsid w:val="005E5E07"/>
    <w:rsid w:val="005E5E23"/>
    <w:rsid w:val="005E5E26"/>
    <w:rsid w:val="005E5ED7"/>
    <w:rsid w:val="005E5F22"/>
    <w:rsid w:val="005E5FAE"/>
    <w:rsid w:val="005E5FCE"/>
    <w:rsid w:val="005E6032"/>
    <w:rsid w:val="005E627C"/>
    <w:rsid w:val="005E6326"/>
    <w:rsid w:val="005E63BE"/>
    <w:rsid w:val="005E64B8"/>
    <w:rsid w:val="005E64F3"/>
    <w:rsid w:val="005E65FE"/>
    <w:rsid w:val="005E6627"/>
    <w:rsid w:val="005E69DF"/>
    <w:rsid w:val="005E6AD6"/>
    <w:rsid w:val="005E6B05"/>
    <w:rsid w:val="005E6B48"/>
    <w:rsid w:val="005E6C2C"/>
    <w:rsid w:val="005E6C59"/>
    <w:rsid w:val="005E6D64"/>
    <w:rsid w:val="005E6E25"/>
    <w:rsid w:val="005E6EDB"/>
    <w:rsid w:val="005E710A"/>
    <w:rsid w:val="005E71B8"/>
    <w:rsid w:val="005E7296"/>
    <w:rsid w:val="005E7321"/>
    <w:rsid w:val="005E7325"/>
    <w:rsid w:val="005E73A1"/>
    <w:rsid w:val="005E73E0"/>
    <w:rsid w:val="005E73F1"/>
    <w:rsid w:val="005E73F6"/>
    <w:rsid w:val="005E7410"/>
    <w:rsid w:val="005E7489"/>
    <w:rsid w:val="005E76AE"/>
    <w:rsid w:val="005E77D2"/>
    <w:rsid w:val="005E77D9"/>
    <w:rsid w:val="005E783A"/>
    <w:rsid w:val="005E7953"/>
    <w:rsid w:val="005E7DAD"/>
    <w:rsid w:val="005E7F30"/>
    <w:rsid w:val="005F02AF"/>
    <w:rsid w:val="005F0618"/>
    <w:rsid w:val="005F06B0"/>
    <w:rsid w:val="005F08EC"/>
    <w:rsid w:val="005F094C"/>
    <w:rsid w:val="005F09C5"/>
    <w:rsid w:val="005F09DD"/>
    <w:rsid w:val="005F0A84"/>
    <w:rsid w:val="005F0AC8"/>
    <w:rsid w:val="005F0C80"/>
    <w:rsid w:val="005F0C88"/>
    <w:rsid w:val="005F0D55"/>
    <w:rsid w:val="005F0F64"/>
    <w:rsid w:val="005F0FA7"/>
    <w:rsid w:val="005F1178"/>
    <w:rsid w:val="005F1292"/>
    <w:rsid w:val="005F12BF"/>
    <w:rsid w:val="005F135D"/>
    <w:rsid w:val="005F14AE"/>
    <w:rsid w:val="005F1564"/>
    <w:rsid w:val="005F15F6"/>
    <w:rsid w:val="005F1775"/>
    <w:rsid w:val="005F186C"/>
    <w:rsid w:val="005F19F9"/>
    <w:rsid w:val="005F1A24"/>
    <w:rsid w:val="005F1A93"/>
    <w:rsid w:val="005F1B50"/>
    <w:rsid w:val="005F1D7B"/>
    <w:rsid w:val="005F2043"/>
    <w:rsid w:val="005F20AD"/>
    <w:rsid w:val="005F2143"/>
    <w:rsid w:val="005F2168"/>
    <w:rsid w:val="005F21DD"/>
    <w:rsid w:val="005F243E"/>
    <w:rsid w:val="005F24E8"/>
    <w:rsid w:val="005F261E"/>
    <w:rsid w:val="005F265C"/>
    <w:rsid w:val="005F272B"/>
    <w:rsid w:val="005F2848"/>
    <w:rsid w:val="005F288A"/>
    <w:rsid w:val="005F29FB"/>
    <w:rsid w:val="005F2AEE"/>
    <w:rsid w:val="005F2B39"/>
    <w:rsid w:val="005F2B92"/>
    <w:rsid w:val="005F2C5C"/>
    <w:rsid w:val="005F2C62"/>
    <w:rsid w:val="005F2C66"/>
    <w:rsid w:val="005F2CB9"/>
    <w:rsid w:val="005F2CBD"/>
    <w:rsid w:val="005F2E4D"/>
    <w:rsid w:val="005F2FB4"/>
    <w:rsid w:val="005F3078"/>
    <w:rsid w:val="005F317B"/>
    <w:rsid w:val="005F318C"/>
    <w:rsid w:val="005F3235"/>
    <w:rsid w:val="005F328A"/>
    <w:rsid w:val="005F331E"/>
    <w:rsid w:val="005F336C"/>
    <w:rsid w:val="005F3452"/>
    <w:rsid w:val="005F364F"/>
    <w:rsid w:val="005F37B3"/>
    <w:rsid w:val="005F3C04"/>
    <w:rsid w:val="005F3C58"/>
    <w:rsid w:val="005F3C93"/>
    <w:rsid w:val="005F3DF9"/>
    <w:rsid w:val="005F3E37"/>
    <w:rsid w:val="005F3E71"/>
    <w:rsid w:val="005F3ECA"/>
    <w:rsid w:val="005F3F86"/>
    <w:rsid w:val="005F4260"/>
    <w:rsid w:val="005F441A"/>
    <w:rsid w:val="005F451A"/>
    <w:rsid w:val="005F4646"/>
    <w:rsid w:val="005F4A7E"/>
    <w:rsid w:val="005F4B1D"/>
    <w:rsid w:val="005F4E25"/>
    <w:rsid w:val="005F4E45"/>
    <w:rsid w:val="005F4E5D"/>
    <w:rsid w:val="005F505B"/>
    <w:rsid w:val="005F5192"/>
    <w:rsid w:val="005F51FF"/>
    <w:rsid w:val="005F5249"/>
    <w:rsid w:val="005F5278"/>
    <w:rsid w:val="005F5463"/>
    <w:rsid w:val="005F5879"/>
    <w:rsid w:val="005F58B5"/>
    <w:rsid w:val="005F58FD"/>
    <w:rsid w:val="005F59C6"/>
    <w:rsid w:val="005F5AAA"/>
    <w:rsid w:val="005F5AEA"/>
    <w:rsid w:val="005F5C35"/>
    <w:rsid w:val="005F5DCC"/>
    <w:rsid w:val="005F5FDE"/>
    <w:rsid w:val="005F611D"/>
    <w:rsid w:val="005F614A"/>
    <w:rsid w:val="005F6158"/>
    <w:rsid w:val="005F630F"/>
    <w:rsid w:val="005F63A9"/>
    <w:rsid w:val="005F63AF"/>
    <w:rsid w:val="005F63BC"/>
    <w:rsid w:val="005F63F7"/>
    <w:rsid w:val="005F6483"/>
    <w:rsid w:val="005F653E"/>
    <w:rsid w:val="005F65C3"/>
    <w:rsid w:val="005F660D"/>
    <w:rsid w:val="005F67BC"/>
    <w:rsid w:val="005F6832"/>
    <w:rsid w:val="005F69A6"/>
    <w:rsid w:val="005F6ABE"/>
    <w:rsid w:val="005F6B0C"/>
    <w:rsid w:val="005F6B35"/>
    <w:rsid w:val="005F6B4F"/>
    <w:rsid w:val="005F6CA8"/>
    <w:rsid w:val="005F6E6F"/>
    <w:rsid w:val="005F70D0"/>
    <w:rsid w:val="005F7163"/>
    <w:rsid w:val="005F720C"/>
    <w:rsid w:val="005F745C"/>
    <w:rsid w:val="005F7606"/>
    <w:rsid w:val="005F767E"/>
    <w:rsid w:val="005F76D6"/>
    <w:rsid w:val="005F770A"/>
    <w:rsid w:val="005F7763"/>
    <w:rsid w:val="005F7A2C"/>
    <w:rsid w:val="005F7C39"/>
    <w:rsid w:val="005F7C69"/>
    <w:rsid w:val="005F7C79"/>
    <w:rsid w:val="005F7C7B"/>
    <w:rsid w:val="005F7CF0"/>
    <w:rsid w:val="005F7DB1"/>
    <w:rsid w:val="005F7FA2"/>
    <w:rsid w:val="0060004D"/>
    <w:rsid w:val="00600191"/>
    <w:rsid w:val="0060019E"/>
    <w:rsid w:val="006002E9"/>
    <w:rsid w:val="006003AB"/>
    <w:rsid w:val="0060047B"/>
    <w:rsid w:val="00600682"/>
    <w:rsid w:val="006006D3"/>
    <w:rsid w:val="0060090D"/>
    <w:rsid w:val="00600971"/>
    <w:rsid w:val="006009B3"/>
    <w:rsid w:val="00600A57"/>
    <w:rsid w:val="00600AE2"/>
    <w:rsid w:val="00600B1F"/>
    <w:rsid w:val="00600B22"/>
    <w:rsid w:val="00600BEB"/>
    <w:rsid w:val="00600BFB"/>
    <w:rsid w:val="00600C4D"/>
    <w:rsid w:val="00600C74"/>
    <w:rsid w:val="00600C9B"/>
    <w:rsid w:val="00600E1B"/>
    <w:rsid w:val="00600E75"/>
    <w:rsid w:val="00600ED0"/>
    <w:rsid w:val="00600FE2"/>
    <w:rsid w:val="00601153"/>
    <w:rsid w:val="0060117A"/>
    <w:rsid w:val="00601257"/>
    <w:rsid w:val="00601300"/>
    <w:rsid w:val="00601431"/>
    <w:rsid w:val="006014C9"/>
    <w:rsid w:val="006015A8"/>
    <w:rsid w:val="006015C8"/>
    <w:rsid w:val="006015E9"/>
    <w:rsid w:val="0060174B"/>
    <w:rsid w:val="00601794"/>
    <w:rsid w:val="00601816"/>
    <w:rsid w:val="006019C9"/>
    <w:rsid w:val="006019CE"/>
    <w:rsid w:val="00601A10"/>
    <w:rsid w:val="00601BC2"/>
    <w:rsid w:val="00601D05"/>
    <w:rsid w:val="00601D81"/>
    <w:rsid w:val="00601E42"/>
    <w:rsid w:val="00602036"/>
    <w:rsid w:val="006021EB"/>
    <w:rsid w:val="00602237"/>
    <w:rsid w:val="00602240"/>
    <w:rsid w:val="006022DC"/>
    <w:rsid w:val="00602305"/>
    <w:rsid w:val="0060249E"/>
    <w:rsid w:val="006026E6"/>
    <w:rsid w:val="00602739"/>
    <w:rsid w:val="0060275B"/>
    <w:rsid w:val="006028B5"/>
    <w:rsid w:val="00602948"/>
    <w:rsid w:val="00602B54"/>
    <w:rsid w:val="00602DD5"/>
    <w:rsid w:val="00602E17"/>
    <w:rsid w:val="00602EBB"/>
    <w:rsid w:val="00602FF2"/>
    <w:rsid w:val="006031DD"/>
    <w:rsid w:val="006032CD"/>
    <w:rsid w:val="0060353C"/>
    <w:rsid w:val="00603665"/>
    <w:rsid w:val="00603671"/>
    <w:rsid w:val="006037F7"/>
    <w:rsid w:val="00603837"/>
    <w:rsid w:val="0060387F"/>
    <w:rsid w:val="0060388F"/>
    <w:rsid w:val="006038B0"/>
    <w:rsid w:val="006038D0"/>
    <w:rsid w:val="0060395B"/>
    <w:rsid w:val="00603A2F"/>
    <w:rsid w:val="00603A6E"/>
    <w:rsid w:val="00603B08"/>
    <w:rsid w:val="00603C20"/>
    <w:rsid w:val="00603D10"/>
    <w:rsid w:val="00603D37"/>
    <w:rsid w:val="00603E2B"/>
    <w:rsid w:val="00603F81"/>
    <w:rsid w:val="006041C9"/>
    <w:rsid w:val="00604349"/>
    <w:rsid w:val="00604354"/>
    <w:rsid w:val="0060438B"/>
    <w:rsid w:val="00604476"/>
    <w:rsid w:val="00604624"/>
    <w:rsid w:val="006046D3"/>
    <w:rsid w:val="00604724"/>
    <w:rsid w:val="0060475C"/>
    <w:rsid w:val="00604979"/>
    <w:rsid w:val="00604A3E"/>
    <w:rsid w:val="00604A4F"/>
    <w:rsid w:val="00604B87"/>
    <w:rsid w:val="00604E71"/>
    <w:rsid w:val="00605016"/>
    <w:rsid w:val="00605099"/>
    <w:rsid w:val="0060532E"/>
    <w:rsid w:val="00605463"/>
    <w:rsid w:val="0060567A"/>
    <w:rsid w:val="00605685"/>
    <w:rsid w:val="006056C4"/>
    <w:rsid w:val="00605764"/>
    <w:rsid w:val="00605883"/>
    <w:rsid w:val="00605CAB"/>
    <w:rsid w:val="00605CB7"/>
    <w:rsid w:val="00606068"/>
    <w:rsid w:val="00606185"/>
    <w:rsid w:val="00606314"/>
    <w:rsid w:val="00606394"/>
    <w:rsid w:val="00606497"/>
    <w:rsid w:val="00606556"/>
    <w:rsid w:val="0060677B"/>
    <w:rsid w:val="0060689A"/>
    <w:rsid w:val="006068F6"/>
    <w:rsid w:val="006069F7"/>
    <w:rsid w:val="00606A8E"/>
    <w:rsid w:val="00606BC4"/>
    <w:rsid w:val="00606D3B"/>
    <w:rsid w:val="00606DD0"/>
    <w:rsid w:val="00606E08"/>
    <w:rsid w:val="00606FB9"/>
    <w:rsid w:val="00607000"/>
    <w:rsid w:val="006070EB"/>
    <w:rsid w:val="0060716A"/>
    <w:rsid w:val="00607538"/>
    <w:rsid w:val="0060759A"/>
    <w:rsid w:val="006078FD"/>
    <w:rsid w:val="00607C05"/>
    <w:rsid w:val="00607D00"/>
    <w:rsid w:val="00607E42"/>
    <w:rsid w:val="0061008B"/>
    <w:rsid w:val="0061017A"/>
    <w:rsid w:val="0061017D"/>
    <w:rsid w:val="0061024D"/>
    <w:rsid w:val="0061034B"/>
    <w:rsid w:val="006104F6"/>
    <w:rsid w:val="0061062F"/>
    <w:rsid w:val="0061063A"/>
    <w:rsid w:val="0061063F"/>
    <w:rsid w:val="00610A9F"/>
    <w:rsid w:val="00610AD5"/>
    <w:rsid w:val="00610B95"/>
    <w:rsid w:val="00610BB5"/>
    <w:rsid w:val="00610C1C"/>
    <w:rsid w:val="00610C20"/>
    <w:rsid w:val="00610FC5"/>
    <w:rsid w:val="00611058"/>
    <w:rsid w:val="00611149"/>
    <w:rsid w:val="0061119A"/>
    <w:rsid w:val="00611297"/>
    <w:rsid w:val="00611319"/>
    <w:rsid w:val="00611387"/>
    <w:rsid w:val="00611429"/>
    <w:rsid w:val="00611562"/>
    <w:rsid w:val="00611675"/>
    <w:rsid w:val="00611848"/>
    <w:rsid w:val="00611878"/>
    <w:rsid w:val="006118C8"/>
    <w:rsid w:val="006118D1"/>
    <w:rsid w:val="006118F7"/>
    <w:rsid w:val="00611928"/>
    <w:rsid w:val="00611963"/>
    <w:rsid w:val="00611AE6"/>
    <w:rsid w:val="00611B90"/>
    <w:rsid w:val="00611C2D"/>
    <w:rsid w:val="00611D6F"/>
    <w:rsid w:val="00611D7C"/>
    <w:rsid w:val="00611D7E"/>
    <w:rsid w:val="00611DE5"/>
    <w:rsid w:val="00611ECE"/>
    <w:rsid w:val="00611F6D"/>
    <w:rsid w:val="00611F85"/>
    <w:rsid w:val="00611F95"/>
    <w:rsid w:val="0061218C"/>
    <w:rsid w:val="006121A8"/>
    <w:rsid w:val="00612204"/>
    <w:rsid w:val="00612560"/>
    <w:rsid w:val="00612611"/>
    <w:rsid w:val="00612674"/>
    <w:rsid w:val="006126A6"/>
    <w:rsid w:val="006128A0"/>
    <w:rsid w:val="00612934"/>
    <w:rsid w:val="0061295C"/>
    <w:rsid w:val="006129DF"/>
    <w:rsid w:val="006129F4"/>
    <w:rsid w:val="00612A25"/>
    <w:rsid w:val="00612B62"/>
    <w:rsid w:val="00612B9E"/>
    <w:rsid w:val="00612BA5"/>
    <w:rsid w:val="00612BE8"/>
    <w:rsid w:val="00612CE5"/>
    <w:rsid w:val="00612E23"/>
    <w:rsid w:val="00612E43"/>
    <w:rsid w:val="00612E94"/>
    <w:rsid w:val="00612ECB"/>
    <w:rsid w:val="0061308B"/>
    <w:rsid w:val="00613109"/>
    <w:rsid w:val="006131DF"/>
    <w:rsid w:val="006134B5"/>
    <w:rsid w:val="00613552"/>
    <w:rsid w:val="006136A4"/>
    <w:rsid w:val="00613945"/>
    <w:rsid w:val="00613FDD"/>
    <w:rsid w:val="006143BB"/>
    <w:rsid w:val="00614414"/>
    <w:rsid w:val="0061441C"/>
    <w:rsid w:val="006145CF"/>
    <w:rsid w:val="006146AD"/>
    <w:rsid w:val="0061480C"/>
    <w:rsid w:val="00614855"/>
    <w:rsid w:val="006148F1"/>
    <w:rsid w:val="00614951"/>
    <w:rsid w:val="006149F4"/>
    <w:rsid w:val="00614B8D"/>
    <w:rsid w:val="00614D0E"/>
    <w:rsid w:val="00614DB3"/>
    <w:rsid w:val="00614E04"/>
    <w:rsid w:val="00614F20"/>
    <w:rsid w:val="00615156"/>
    <w:rsid w:val="0061536E"/>
    <w:rsid w:val="006153E6"/>
    <w:rsid w:val="0061542D"/>
    <w:rsid w:val="0061564A"/>
    <w:rsid w:val="006157DA"/>
    <w:rsid w:val="00615818"/>
    <w:rsid w:val="00615940"/>
    <w:rsid w:val="00615C92"/>
    <w:rsid w:val="00615D10"/>
    <w:rsid w:val="00615D13"/>
    <w:rsid w:val="00615F22"/>
    <w:rsid w:val="00615F48"/>
    <w:rsid w:val="006160A0"/>
    <w:rsid w:val="00616214"/>
    <w:rsid w:val="00616360"/>
    <w:rsid w:val="00616659"/>
    <w:rsid w:val="0061667A"/>
    <w:rsid w:val="006166BB"/>
    <w:rsid w:val="006166D4"/>
    <w:rsid w:val="00616767"/>
    <w:rsid w:val="006167D9"/>
    <w:rsid w:val="006167E9"/>
    <w:rsid w:val="00616898"/>
    <w:rsid w:val="00616917"/>
    <w:rsid w:val="00616A39"/>
    <w:rsid w:val="00616A54"/>
    <w:rsid w:val="00616AC9"/>
    <w:rsid w:val="00616C1B"/>
    <w:rsid w:val="00616C64"/>
    <w:rsid w:val="00616DBA"/>
    <w:rsid w:val="00616F97"/>
    <w:rsid w:val="006170FC"/>
    <w:rsid w:val="00617141"/>
    <w:rsid w:val="00617191"/>
    <w:rsid w:val="006171DF"/>
    <w:rsid w:val="0061731C"/>
    <w:rsid w:val="00617496"/>
    <w:rsid w:val="00617502"/>
    <w:rsid w:val="00617690"/>
    <w:rsid w:val="00617757"/>
    <w:rsid w:val="0061775E"/>
    <w:rsid w:val="00617760"/>
    <w:rsid w:val="00617844"/>
    <w:rsid w:val="0061799D"/>
    <w:rsid w:val="00617AC1"/>
    <w:rsid w:val="00617AF1"/>
    <w:rsid w:val="00617B41"/>
    <w:rsid w:val="00617BDF"/>
    <w:rsid w:val="00617C80"/>
    <w:rsid w:val="00617CB9"/>
    <w:rsid w:val="00617D83"/>
    <w:rsid w:val="00617DDD"/>
    <w:rsid w:val="00617DEB"/>
    <w:rsid w:val="00617FBD"/>
    <w:rsid w:val="00618130"/>
    <w:rsid w:val="00620123"/>
    <w:rsid w:val="00620204"/>
    <w:rsid w:val="0062028B"/>
    <w:rsid w:val="006202C6"/>
    <w:rsid w:val="006204B6"/>
    <w:rsid w:val="006204E8"/>
    <w:rsid w:val="006205A4"/>
    <w:rsid w:val="006205C6"/>
    <w:rsid w:val="00620635"/>
    <w:rsid w:val="00620648"/>
    <w:rsid w:val="00620789"/>
    <w:rsid w:val="00620839"/>
    <w:rsid w:val="00620BED"/>
    <w:rsid w:val="00620C4A"/>
    <w:rsid w:val="00620D0F"/>
    <w:rsid w:val="00620D17"/>
    <w:rsid w:val="00620E96"/>
    <w:rsid w:val="0062114B"/>
    <w:rsid w:val="00621198"/>
    <w:rsid w:val="00621235"/>
    <w:rsid w:val="006213C4"/>
    <w:rsid w:val="00621571"/>
    <w:rsid w:val="006216D2"/>
    <w:rsid w:val="0062177F"/>
    <w:rsid w:val="00621887"/>
    <w:rsid w:val="0062198E"/>
    <w:rsid w:val="00621BF4"/>
    <w:rsid w:val="00621C66"/>
    <w:rsid w:val="00621F49"/>
    <w:rsid w:val="00621FBC"/>
    <w:rsid w:val="00622029"/>
    <w:rsid w:val="00622203"/>
    <w:rsid w:val="00622235"/>
    <w:rsid w:val="006222C5"/>
    <w:rsid w:val="0062234D"/>
    <w:rsid w:val="0062268B"/>
    <w:rsid w:val="0062283E"/>
    <w:rsid w:val="006228D4"/>
    <w:rsid w:val="0062297E"/>
    <w:rsid w:val="00622984"/>
    <w:rsid w:val="006229C3"/>
    <w:rsid w:val="00622A47"/>
    <w:rsid w:val="00622A64"/>
    <w:rsid w:val="00622B53"/>
    <w:rsid w:val="00622B78"/>
    <w:rsid w:val="00622BEF"/>
    <w:rsid w:val="00622C0A"/>
    <w:rsid w:val="00622C0B"/>
    <w:rsid w:val="00622F4B"/>
    <w:rsid w:val="00622FF4"/>
    <w:rsid w:val="0062330C"/>
    <w:rsid w:val="0062337B"/>
    <w:rsid w:val="006236AD"/>
    <w:rsid w:val="00623856"/>
    <w:rsid w:val="00623909"/>
    <w:rsid w:val="00623920"/>
    <w:rsid w:val="006239D0"/>
    <w:rsid w:val="00623CC6"/>
    <w:rsid w:val="00623E5E"/>
    <w:rsid w:val="00623F2C"/>
    <w:rsid w:val="006241E0"/>
    <w:rsid w:val="00624402"/>
    <w:rsid w:val="006244B5"/>
    <w:rsid w:val="006244FD"/>
    <w:rsid w:val="0062475A"/>
    <w:rsid w:val="00624765"/>
    <w:rsid w:val="00624810"/>
    <w:rsid w:val="00624A2B"/>
    <w:rsid w:val="00624E42"/>
    <w:rsid w:val="00624E6A"/>
    <w:rsid w:val="00624E95"/>
    <w:rsid w:val="00624EE5"/>
    <w:rsid w:val="00624F6D"/>
    <w:rsid w:val="00625091"/>
    <w:rsid w:val="0062516E"/>
    <w:rsid w:val="00625398"/>
    <w:rsid w:val="0062539F"/>
    <w:rsid w:val="0062547F"/>
    <w:rsid w:val="00625595"/>
    <w:rsid w:val="006256AE"/>
    <w:rsid w:val="006256EA"/>
    <w:rsid w:val="00625700"/>
    <w:rsid w:val="00625830"/>
    <w:rsid w:val="00625C4C"/>
    <w:rsid w:val="00625D9F"/>
    <w:rsid w:val="00625E3A"/>
    <w:rsid w:val="00625E5D"/>
    <w:rsid w:val="00625E9E"/>
    <w:rsid w:val="00625EB7"/>
    <w:rsid w:val="00625FED"/>
    <w:rsid w:val="0062602E"/>
    <w:rsid w:val="0062613B"/>
    <w:rsid w:val="0062647B"/>
    <w:rsid w:val="00626611"/>
    <w:rsid w:val="006266F9"/>
    <w:rsid w:val="00626709"/>
    <w:rsid w:val="0062672E"/>
    <w:rsid w:val="006268CC"/>
    <w:rsid w:val="006269C9"/>
    <w:rsid w:val="00626A26"/>
    <w:rsid w:val="00626A39"/>
    <w:rsid w:val="00626B91"/>
    <w:rsid w:val="00626DF2"/>
    <w:rsid w:val="006270BD"/>
    <w:rsid w:val="00627104"/>
    <w:rsid w:val="00627245"/>
    <w:rsid w:val="0062725F"/>
    <w:rsid w:val="00627459"/>
    <w:rsid w:val="006275A7"/>
    <w:rsid w:val="006278CE"/>
    <w:rsid w:val="00627AAF"/>
    <w:rsid w:val="00627B3F"/>
    <w:rsid w:val="00627B43"/>
    <w:rsid w:val="00627B5A"/>
    <w:rsid w:val="00627C63"/>
    <w:rsid w:val="00627DBF"/>
    <w:rsid w:val="00627DF6"/>
    <w:rsid w:val="00627E3E"/>
    <w:rsid w:val="00627E89"/>
    <w:rsid w:val="00627F9F"/>
    <w:rsid w:val="0063006C"/>
    <w:rsid w:val="006300AC"/>
    <w:rsid w:val="0063012A"/>
    <w:rsid w:val="00630134"/>
    <w:rsid w:val="00630179"/>
    <w:rsid w:val="006302EF"/>
    <w:rsid w:val="00630480"/>
    <w:rsid w:val="00630552"/>
    <w:rsid w:val="006309C2"/>
    <w:rsid w:val="00630AB7"/>
    <w:rsid w:val="00630C71"/>
    <w:rsid w:val="00630CD2"/>
    <w:rsid w:val="006310C0"/>
    <w:rsid w:val="00631402"/>
    <w:rsid w:val="006314EB"/>
    <w:rsid w:val="006314F7"/>
    <w:rsid w:val="0063160B"/>
    <w:rsid w:val="00631633"/>
    <w:rsid w:val="00631711"/>
    <w:rsid w:val="006317B6"/>
    <w:rsid w:val="00631803"/>
    <w:rsid w:val="006318E4"/>
    <w:rsid w:val="00631998"/>
    <w:rsid w:val="006319CE"/>
    <w:rsid w:val="00631A09"/>
    <w:rsid w:val="00631A34"/>
    <w:rsid w:val="00631A3A"/>
    <w:rsid w:val="00631A6D"/>
    <w:rsid w:val="00631B3F"/>
    <w:rsid w:val="00631B78"/>
    <w:rsid w:val="00631BD2"/>
    <w:rsid w:val="00631F1B"/>
    <w:rsid w:val="00631F8F"/>
    <w:rsid w:val="00632065"/>
    <w:rsid w:val="006320C1"/>
    <w:rsid w:val="00632374"/>
    <w:rsid w:val="00632386"/>
    <w:rsid w:val="0063265A"/>
    <w:rsid w:val="0063298F"/>
    <w:rsid w:val="00632D0E"/>
    <w:rsid w:val="00633258"/>
    <w:rsid w:val="00633299"/>
    <w:rsid w:val="00633564"/>
    <w:rsid w:val="006336EF"/>
    <w:rsid w:val="0063381F"/>
    <w:rsid w:val="0063389B"/>
    <w:rsid w:val="00633A81"/>
    <w:rsid w:val="00633E1E"/>
    <w:rsid w:val="00633ED0"/>
    <w:rsid w:val="00633EFB"/>
    <w:rsid w:val="00633FF0"/>
    <w:rsid w:val="00634013"/>
    <w:rsid w:val="0063404A"/>
    <w:rsid w:val="0063405D"/>
    <w:rsid w:val="006340D1"/>
    <w:rsid w:val="00634114"/>
    <w:rsid w:val="006341A3"/>
    <w:rsid w:val="00634241"/>
    <w:rsid w:val="0063429B"/>
    <w:rsid w:val="0063439E"/>
    <w:rsid w:val="00634547"/>
    <w:rsid w:val="00634600"/>
    <w:rsid w:val="00634792"/>
    <w:rsid w:val="006347BE"/>
    <w:rsid w:val="00634850"/>
    <w:rsid w:val="00634B6A"/>
    <w:rsid w:val="00634EB8"/>
    <w:rsid w:val="00635095"/>
    <w:rsid w:val="006351E7"/>
    <w:rsid w:val="0063539C"/>
    <w:rsid w:val="006354E4"/>
    <w:rsid w:val="006355BF"/>
    <w:rsid w:val="006355D1"/>
    <w:rsid w:val="00635632"/>
    <w:rsid w:val="00635658"/>
    <w:rsid w:val="006358B7"/>
    <w:rsid w:val="006358B9"/>
    <w:rsid w:val="006358CD"/>
    <w:rsid w:val="006358D5"/>
    <w:rsid w:val="006359AA"/>
    <w:rsid w:val="00635BFD"/>
    <w:rsid w:val="00635C78"/>
    <w:rsid w:val="00635D66"/>
    <w:rsid w:val="00635DCC"/>
    <w:rsid w:val="00635F07"/>
    <w:rsid w:val="00636042"/>
    <w:rsid w:val="0063611C"/>
    <w:rsid w:val="00636124"/>
    <w:rsid w:val="006363AE"/>
    <w:rsid w:val="00636470"/>
    <w:rsid w:val="00636526"/>
    <w:rsid w:val="00636604"/>
    <w:rsid w:val="00636687"/>
    <w:rsid w:val="006366B1"/>
    <w:rsid w:val="0063672B"/>
    <w:rsid w:val="00636893"/>
    <w:rsid w:val="006368A3"/>
    <w:rsid w:val="006368E5"/>
    <w:rsid w:val="006368F4"/>
    <w:rsid w:val="0063693F"/>
    <w:rsid w:val="00636BC1"/>
    <w:rsid w:val="00636BF1"/>
    <w:rsid w:val="00636C49"/>
    <w:rsid w:val="00636D82"/>
    <w:rsid w:val="00636DF0"/>
    <w:rsid w:val="00636E1E"/>
    <w:rsid w:val="00636EFA"/>
    <w:rsid w:val="00636F4D"/>
    <w:rsid w:val="00636F68"/>
    <w:rsid w:val="00636FB1"/>
    <w:rsid w:val="00636FEE"/>
    <w:rsid w:val="00637098"/>
    <w:rsid w:val="00637228"/>
    <w:rsid w:val="006375E1"/>
    <w:rsid w:val="0063765C"/>
    <w:rsid w:val="006378BF"/>
    <w:rsid w:val="00637961"/>
    <w:rsid w:val="00637B62"/>
    <w:rsid w:val="00637BD4"/>
    <w:rsid w:val="00637C14"/>
    <w:rsid w:val="00637D74"/>
    <w:rsid w:val="00637E58"/>
    <w:rsid w:val="00637EEE"/>
    <w:rsid w:val="00637F83"/>
    <w:rsid w:val="00640182"/>
    <w:rsid w:val="006401EF"/>
    <w:rsid w:val="006402A7"/>
    <w:rsid w:val="00640341"/>
    <w:rsid w:val="00640374"/>
    <w:rsid w:val="00640419"/>
    <w:rsid w:val="0064047C"/>
    <w:rsid w:val="006405A6"/>
    <w:rsid w:val="006405CA"/>
    <w:rsid w:val="006405F9"/>
    <w:rsid w:val="00640797"/>
    <w:rsid w:val="00640808"/>
    <w:rsid w:val="00640825"/>
    <w:rsid w:val="00640826"/>
    <w:rsid w:val="00640917"/>
    <w:rsid w:val="00640954"/>
    <w:rsid w:val="00640AFA"/>
    <w:rsid w:val="00640C13"/>
    <w:rsid w:val="00640CA1"/>
    <w:rsid w:val="00640D58"/>
    <w:rsid w:val="00640DBE"/>
    <w:rsid w:val="00640E32"/>
    <w:rsid w:val="00640EA2"/>
    <w:rsid w:val="00640FC6"/>
    <w:rsid w:val="00640FE7"/>
    <w:rsid w:val="0064108C"/>
    <w:rsid w:val="006410AB"/>
    <w:rsid w:val="00641101"/>
    <w:rsid w:val="0064126C"/>
    <w:rsid w:val="006413AA"/>
    <w:rsid w:val="00641554"/>
    <w:rsid w:val="006415BC"/>
    <w:rsid w:val="006415CB"/>
    <w:rsid w:val="006416FB"/>
    <w:rsid w:val="00641785"/>
    <w:rsid w:val="0064183F"/>
    <w:rsid w:val="0064191B"/>
    <w:rsid w:val="006419D1"/>
    <w:rsid w:val="00641A16"/>
    <w:rsid w:val="00641C5A"/>
    <w:rsid w:val="00641CD9"/>
    <w:rsid w:val="00641D05"/>
    <w:rsid w:val="00641E45"/>
    <w:rsid w:val="00641F12"/>
    <w:rsid w:val="006420F9"/>
    <w:rsid w:val="006421F5"/>
    <w:rsid w:val="006422ED"/>
    <w:rsid w:val="0064234E"/>
    <w:rsid w:val="0064237D"/>
    <w:rsid w:val="006426B5"/>
    <w:rsid w:val="0064283A"/>
    <w:rsid w:val="006428AC"/>
    <w:rsid w:val="006428E3"/>
    <w:rsid w:val="006429B1"/>
    <w:rsid w:val="00642B03"/>
    <w:rsid w:val="00642C46"/>
    <w:rsid w:val="00642CE4"/>
    <w:rsid w:val="00642D19"/>
    <w:rsid w:val="00642D41"/>
    <w:rsid w:val="00642EF3"/>
    <w:rsid w:val="00642F49"/>
    <w:rsid w:val="00643283"/>
    <w:rsid w:val="006432A6"/>
    <w:rsid w:val="006433F5"/>
    <w:rsid w:val="006434E7"/>
    <w:rsid w:val="0064353F"/>
    <w:rsid w:val="006435D1"/>
    <w:rsid w:val="0064372D"/>
    <w:rsid w:val="00643754"/>
    <w:rsid w:val="00643784"/>
    <w:rsid w:val="00643937"/>
    <w:rsid w:val="00643A6C"/>
    <w:rsid w:val="00643BCF"/>
    <w:rsid w:val="00643BD3"/>
    <w:rsid w:val="00643CAE"/>
    <w:rsid w:val="00643DB1"/>
    <w:rsid w:val="00643F2B"/>
    <w:rsid w:val="00643F76"/>
    <w:rsid w:val="00643FF0"/>
    <w:rsid w:val="006440D1"/>
    <w:rsid w:val="0064415F"/>
    <w:rsid w:val="006442FD"/>
    <w:rsid w:val="006443E4"/>
    <w:rsid w:val="00644531"/>
    <w:rsid w:val="006445A3"/>
    <w:rsid w:val="006446A9"/>
    <w:rsid w:val="006447B2"/>
    <w:rsid w:val="00644897"/>
    <w:rsid w:val="006448A4"/>
    <w:rsid w:val="00644905"/>
    <w:rsid w:val="006449CA"/>
    <w:rsid w:val="006449CD"/>
    <w:rsid w:val="006449FF"/>
    <w:rsid w:val="00644AB3"/>
    <w:rsid w:val="00644AE7"/>
    <w:rsid w:val="00644B73"/>
    <w:rsid w:val="00644E72"/>
    <w:rsid w:val="00644E97"/>
    <w:rsid w:val="00644EDB"/>
    <w:rsid w:val="00644FE8"/>
    <w:rsid w:val="00645093"/>
    <w:rsid w:val="006451F0"/>
    <w:rsid w:val="006452CD"/>
    <w:rsid w:val="0064543E"/>
    <w:rsid w:val="006454D7"/>
    <w:rsid w:val="00645505"/>
    <w:rsid w:val="00645656"/>
    <w:rsid w:val="006456AF"/>
    <w:rsid w:val="006456E4"/>
    <w:rsid w:val="00645707"/>
    <w:rsid w:val="00645740"/>
    <w:rsid w:val="006457D8"/>
    <w:rsid w:val="00645A0E"/>
    <w:rsid w:val="00645A2E"/>
    <w:rsid w:val="00645A7F"/>
    <w:rsid w:val="00645AC4"/>
    <w:rsid w:val="00645BCD"/>
    <w:rsid w:val="00645C23"/>
    <w:rsid w:val="00645C9A"/>
    <w:rsid w:val="00645D55"/>
    <w:rsid w:val="00645EDB"/>
    <w:rsid w:val="00645EF8"/>
    <w:rsid w:val="00645FEC"/>
    <w:rsid w:val="00646250"/>
    <w:rsid w:val="00646352"/>
    <w:rsid w:val="006464CF"/>
    <w:rsid w:val="006464D5"/>
    <w:rsid w:val="00646648"/>
    <w:rsid w:val="0064666B"/>
    <w:rsid w:val="00646837"/>
    <w:rsid w:val="006468B2"/>
    <w:rsid w:val="00646945"/>
    <w:rsid w:val="00646BBF"/>
    <w:rsid w:val="00646C11"/>
    <w:rsid w:val="00646D57"/>
    <w:rsid w:val="00646DE5"/>
    <w:rsid w:val="00646DF4"/>
    <w:rsid w:val="00646F42"/>
    <w:rsid w:val="00646FE1"/>
    <w:rsid w:val="006470AA"/>
    <w:rsid w:val="006470DE"/>
    <w:rsid w:val="0064716C"/>
    <w:rsid w:val="00647231"/>
    <w:rsid w:val="0064744C"/>
    <w:rsid w:val="00647496"/>
    <w:rsid w:val="00647547"/>
    <w:rsid w:val="006475D6"/>
    <w:rsid w:val="006476D3"/>
    <w:rsid w:val="0064786C"/>
    <w:rsid w:val="00647A27"/>
    <w:rsid w:val="00647A5C"/>
    <w:rsid w:val="00647B8F"/>
    <w:rsid w:val="00647BC1"/>
    <w:rsid w:val="00647C81"/>
    <w:rsid w:val="00647EC6"/>
    <w:rsid w:val="00647F72"/>
    <w:rsid w:val="00647FD7"/>
    <w:rsid w:val="00650064"/>
    <w:rsid w:val="006501B6"/>
    <w:rsid w:val="006503C8"/>
    <w:rsid w:val="006504AC"/>
    <w:rsid w:val="006504FE"/>
    <w:rsid w:val="00650519"/>
    <w:rsid w:val="006505F3"/>
    <w:rsid w:val="00650648"/>
    <w:rsid w:val="00650753"/>
    <w:rsid w:val="006507CC"/>
    <w:rsid w:val="00650C2D"/>
    <w:rsid w:val="00650E1C"/>
    <w:rsid w:val="00651026"/>
    <w:rsid w:val="00651091"/>
    <w:rsid w:val="006512F6"/>
    <w:rsid w:val="0065133C"/>
    <w:rsid w:val="006513FF"/>
    <w:rsid w:val="0065144F"/>
    <w:rsid w:val="00651495"/>
    <w:rsid w:val="0065164E"/>
    <w:rsid w:val="006516D1"/>
    <w:rsid w:val="0065170F"/>
    <w:rsid w:val="0065182B"/>
    <w:rsid w:val="006518F0"/>
    <w:rsid w:val="00651908"/>
    <w:rsid w:val="00651925"/>
    <w:rsid w:val="006519C0"/>
    <w:rsid w:val="00651C9B"/>
    <w:rsid w:val="00651CC8"/>
    <w:rsid w:val="00651F3B"/>
    <w:rsid w:val="00652098"/>
    <w:rsid w:val="00652178"/>
    <w:rsid w:val="0065220E"/>
    <w:rsid w:val="006523EE"/>
    <w:rsid w:val="0065244D"/>
    <w:rsid w:val="00652623"/>
    <w:rsid w:val="0065266A"/>
    <w:rsid w:val="0065277A"/>
    <w:rsid w:val="0065287F"/>
    <w:rsid w:val="0065288E"/>
    <w:rsid w:val="006528ED"/>
    <w:rsid w:val="00652AAD"/>
    <w:rsid w:val="00652C02"/>
    <w:rsid w:val="00652F38"/>
    <w:rsid w:val="0065308C"/>
    <w:rsid w:val="006530C7"/>
    <w:rsid w:val="0065313D"/>
    <w:rsid w:val="006531E3"/>
    <w:rsid w:val="0065321B"/>
    <w:rsid w:val="006534BE"/>
    <w:rsid w:val="00653551"/>
    <w:rsid w:val="006536CE"/>
    <w:rsid w:val="0065373C"/>
    <w:rsid w:val="00653A03"/>
    <w:rsid w:val="00653A46"/>
    <w:rsid w:val="00653AAA"/>
    <w:rsid w:val="00653BBC"/>
    <w:rsid w:val="00653E76"/>
    <w:rsid w:val="00653F1A"/>
    <w:rsid w:val="00653FAE"/>
    <w:rsid w:val="00654134"/>
    <w:rsid w:val="006546C0"/>
    <w:rsid w:val="00654848"/>
    <w:rsid w:val="006549B8"/>
    <w:rsid w:val="006549E3"/>
    <w:rsid w:val="00654A67"/>
    <w:rsid w:val="00654D37"/>
    <w:rsid w:val="00654EAB"/>
    <w:rsid w:val="0065500B"/>
    <w:rsid w:val="00655240"/>
    <w:rsid w:val="00655295"/>
    <w:rsid w:val="006553B7"/>
    <w:rsid w:val="00655520"/>
    <w:rsid w:val="006555E5"/>
    <w:rsid w:val="006558CF"/>
    <w:rsid w:val="0065592E"/>
    <w:rsid w:val="00655AF7"/>
    <w:rsid w:val="00655B52"/>
    <w:rsid w:val="00655B83"/>
    <w:rsid w:val="00655CFE"/>
    <w:rsid w:val="0065623A"/>
    <w:rsid w:val="0065641A"/>
    <w:rsid w:val="00656618"/>
    <w:rsid w:val="00656625"/>
    <w:rsid w:val="0065667A"/>
    <w:rsid w:val="00656702"/>
    <w:rsid w:val="006568F2"/>
    <w:rsid w:val="0065693D"/>
    <w:rsid w:val="00656A48"/>
    <w:rsid w:val="00656AFB"/>
    <w:rsid w:val="00656BCD"/>
    <w:rsid w:val="00656CA0"/>
    <w:rsid w:val="00656CCC"/>
    <w:rsid w:val="00656DCA"/>
    <w:rsid w:val="00656E01"/>
    <w:rsid w:val="00656FAF"/>
    <w:rsid w:val="0065706F"/>
    <w:rsid w:val="00657073"/>
    <w:rsid w:val="00657292"/>
    <w:rsid w:val="006572AC"/>
    <w:rsid w:val="00657419"/>
    <w:rsid w:val="00657641"/>
    <w:rsid w:val="006577D3"/>
    <w:rsid w:val="00657856"/>
    <w:rsid w:val="006579D7"/>
    <w:rsid w:val="00657E54"/>
    <w:rsid w:val="006600D8"/>
    <w:rsid w:val="006601AD"/>
    <w:rsid w:val="006602D4"/>
    <w:rsid w:val="006603E0"/>
    <w:rsid w:val="006607D7"/>
    <w:rsid w:val="00660924"/>
    <w:rsid w:val="00660AF3"/>
    <w:rsid w:val="00660AF7"/>
    <w:rsid w:val="00660C2B"/>
    <w:rsid w:val="00660DF7"/>
    <w:rsid w:val="00660F2E"/>
    <w:rsid w:val="00660F34"/>
    <w:rsid w:val="0066108D"/>
    <w:rsid w:val="0066111D"/>
    <w:rsid w:val="0066137F"/>
    <w:rsid w:val="00661503"/>
    <w:rsid w:val="0066157F"/>
    <w:rsid w:val="006615F4"/>
    <w:rsid w:val="00661CCA"/>
    <w:rsid w:val="00661D23"/>
    <w:rsid w:val="00661D34"/>
    <w:rsid w:val="00661F04"/>
    <w:rsid w:val="00661F2F"/>
    <w:rsid w:val="0066204E"/>
    <w:rsid w:val="006622AC"/>
    <w:rsid w:val="0066241C"/>
    <w:rsid w:val="006624FF"/>
    <w:rsid w:val="00662503"/>
    <w:rsid w:val="00662599"/>
    <w:rsid w:val="006625AB"/>
    <w:rsid w:val="00662622"/>
    <w:rsid w:val="006628B2"/>
    <w:rsid w:val="006628EC"/>
    <w:rsid w:val="00662B69"/>
    <w:rsid w:val="00662BAF"/>
    <w:rsid w:val="00662CF9"/>
    <w:rsid w:val="00662D96"/>
    <w:rsid w:val="00662D9C"/>
    <w:rsid w:val="00663260"/>
    <w:rsid w:val="006633A4"/>
    <w:rsid w:val="0066346D"/>
    <w:rsid w:val="00663471"/>
    <w:rsid w:val="006634D1"/>
    <w:rsid w:val="00663583"/>
    <w:rsid w:val="006635C7"/>
    <w:rsid w:val="006635D9"/>
    <w:rsid w:val="00663614"/>
    <w:rsid w:val="00663860"/>
    <w:rsid w:val="00663925"/>
    <w:rsid w:val="00663A1D"/>
    <w:rsid w:val="00663BC8"/>
    <w:rsid w:val="00663C32"/>
    <w:rsid w:val="00663C37"/>
    <w:rsid w:val="00663C6D"/>
    <w:rsid w:val="00663D57"/>
    <w:rsid w:val="00663E2F"/>
    <w:rsid w:val="00663E7B"/>
    <w:rsid w:val="00663F21"/>
    <w:rsid w:val="00663FF2"/>
    <w:rsid w:val="00664016"/>
    <w:rsid w:val="0066401E"/>
    <w:rsid w:val="00664163"/>
    <w:rsid w:val="006641E3"/>
    <w:rsid w:val="00664244"/>
    <w:rsid w:val="006644A0"/>
    <w:rsid w:val="006644C4"/>
    <w:rsid w:val="00664512"/>
    <w:rsid w:val="00664701"/>
    <w:rsid w:val="006647AE"/>
    <w:rsid w:val="006649AB"/>
    <w:rsid w:val="00664A31"/>
    <w:rsid w:val="00664CDE"/>
    <w:rsid w:val="00664F21"/>
    <w:rsid w:val="00665130"/>
    <w:rsid w:val="006652CB"/>
    <w:rsid w:val="006652EE"/>
    <w:rsid w:val="0066561C"/>
    <w:rsid w:val="006658B6"/>
    <w:rsid w:val="006659B9"/>
    <w:rsid w:val="006659D9"/>
    <w:rsid w:val="00665AA9"/>
    <w:rsid w:val="00665AC0"/>
    <w:rsid w:val="00665BCF"/>
    <w:rsid w:val="00665BE9"/>
    <w:rsid w:val="00665C2E"/>
    <w:rsid w:val="00665E71"/>
    <w:rsid w:val="00665F4F"/>
    <w:rsid w:val="00666363"/>
    <w:rsid w:val="0066653F"/>
    <w:rsid w:val="00666625"/>
    <w:rsid w:val="006666D0"/>
    <w:rsid w:val="00666768"/>
    <w:rsid w:val="0066685E"/>
    <w:rsid w:val="0066685F"/>
    <w:rsid w:val="00666A78"/>
    <w:rsid w:val="00666ABA"/>
    <w:rsid w:val="00666B4E"/>
    <w:rsid w:val="00666C0A"/>
    <w:rsid w:val="00666C56"/>
    <w:rsid w:val="00666E62"/>
    <w:rsid w:val="006671D3"/>
    <w:rsid w:val="006673D5"/>
    <w:rsid w:val="0066740B"/>
    <w:rsid w:val="0066743F"/>
    <w:rsid w:val="006674EA"/>
    <w:rsid w:val="0066768A"/>
    <w:rsid w:val="006677B2"/>
    <w:rsid w:val="00667937"/>
    <w:rsid w:val="006679B2"/>
    <w:rsid w:val="006679E7"/>
    <w:rsid w:val="00667CAD"/>
    <w:rsid w:val="00667CF7"/>
    <w:rsid w:val="00667D10"/>
    <w:rsid w:val="00667E5C"/>
    <w:rsid w:val="00667E74"/>
    <w:rsid w:val="00667FAF"/>
    <w:rsid w:val="00667FDC"/>
    <w:rsid w:val="006701A8"/>
    <w:rsid w:val="00670268"/>
    <w:rsid w:val="0067038D"/>
    <w:rsid w:val="00670523"/>
    <w:rsid w:val="00670550"/>
    <w:rsid w:val="00670625"/>
    <w:rsid w:val="00670640"/>
    <w:rsid w:val="0067092A"/>
    <w:rsid w:val="00670A4B"/>
    <w:rsid w:val="00670DA4"/>
    <w:rsid w:val="00670E64"/>
    <w:rsid w:val="00670F42"/>
    <w:rsid w:val="00670F87"/>
    <w:rsid w:val="00671063"/>
    <w:rsid w:val="00671092"/>
    <w:rsid w:val="006711D5"/>
    <w:rsid w:val="00671286"/>
    <w:rsid w:val="00671330"/>
    <w:rsid w:val="006713EC"/>
    <w:rsid w:val="00671617"/>
    <w:rsid w:val="00671693"/>
    <w:rsid w:val="006717D2"/>
    <w:rsid w:val="00671888"/>
    <w:rsid w:val="0067189F"/>
    <w:rsid w:val="006718E2"/>
    <w:rsid w:val="00671969"/>
    <w:rsid w:val="00671A50"/>
    <w:rsid w:val="00671BBF"/>
    <w:rsid w:val="00671C5B"/>
    <w:rsid w:val="00671C75"/>
    <w:rsid w:val="00671F28"/>
    <w:rsid w:val="006724D9"/>
    <w:rsid w:val="00672558"/>
    <w:rsid w:val="006726F7"/>
    <w:rsid w:val="0067280E"/>
    <w:rsid w:val="00672865"/>
    <w:rsid w:val="006728F3"/>
    <w:rsid w:val="00672937"/>
    <w:rsid w:val="00672993"/>
    <w:rsid w:val="006729FF"/>
    <w:rsid w:val="00672B14"/>
    <w:rsid w:val="00672CC2"/>
    <w:rsid w:val="00672D73"/>
    <w:rsid w:val="006731B6"/>
    <w:rsid w:val="00673407"/>
    <w:rsid w:val="006735B1"/>
    <w:rsid w:val="00673666"/>
    <w:rsid w:val="00673736"/>
    <w:rsid w:val="00673C07"/>
    <w:rsid w:val="00673C21"/>
    <w:rsid w:val="00673DD1"/>
    <w:rsid w:val="00673E41"/>
    <w:rsid w:val="00674001"/>
    <w:rsid w:val="00674075"/>
    <w:rsid w:val="00674146"/>
    <w:rsid w:val="00674224"/>
    <w:rsid w:val="0067424A"/>
    <w:rsid w:val="006743D2"/>
    <w:rsid w:val="006745E0"/>
    <w:rsid w:val="00674605"/>
    <w:rsid w:val="006748A0"/>
    <w:rsid w:val="006748BA"/>
    <w:rsid w:val="006748EC"/>
    <w:rsid w:val="00674907"/>
    <w:rsid w:val="0067490C"/>
    <w:rsid w:val="00674996"/>
    <w:rsid w:val="00674BFC"/>
    <w:rsid w:val="006750DE"/>
    <w:rsid w:val="006750E1"/>
    <w:rsid w:val="006750F9"/>
    <w:rsid w:val="006753ED"/>
    <w:rsid w:val="0067545E"/>
    <w:rsid w:val="00675593"/>
    <w:rsid w:val="006756C4"/>
    <w:rsid w:val="00675801"/>
    <w:rsid w:val="00675BE9"/>
    <w:rsid w:val="00675C8C"/>
    <w:rsid w:val="00675D35"/>
    <w:rsid w:val="00675D44"/>
    <w:rsid w:val="00675DC3"/>
    <w:rsid w:val="00675E5A"/>
    <w:rsid w:val="00675EF9"/>
    <w:rsid w:val="00675F47"/>
    <w:rsid w:val="00675F84"/>
    <w:rsid w:val="006760AE"/>
    <w:rsid w:val="006761C2"/>
    <w:rsid w:val="00676284"/>
    <w:rsid w:val="006763C3"/>
    <w:rsid w:val="0067641D"/>
    <w:rsid w:val="00676503"/>
    <w:rsid w:val="0067650E"/>
    <w:rsid w:val="0067658E"/>
    <w:rsid w:val="0067663E"/>
    <w:rsid w:val="006766B4"/>
    <w:rsid w:val="00676942"/>
    <w:rsid w:val="00676B15"/>
    <w:rsid w:val="00676BBF"/>
    <w:rsid w:val="00676D4A"/>
    <w:rsid w:val="00676E17"/>
    <w:rsid w:val="00676F04"/>
    <w:rsid w:val="00676FFE"/>
    <w:rsid w:val="00677043"/>
    <w:rsid w:val="0067712D"/>
    <w:rsid w:val="0067717E"/>
    <w:rsid w:val="006771AF"/>
    <w:rsid w:val="006771D0"/>
    <w:rsid w:val="006772E9"/>
    <w:rsid w:val="00677395"/>
    <w:rsid w:val="006773E1"/>
    <w:rsid w:val="0067745E"/>
    <w:rsid w:val="0067760A"/>
    <w:rsid w:val="006776B1"/>
    <w:rsid w:val="006776BA"/>
    <w:rsid w:val="0067781B"/>
    <w:rsid w:val="00677859"/>
    <w:rsid w:val="00677870"/>
    <w:rsid w:val="006778E9"/>
    <w:rsid w:val="00677985"/>
    <w:rsid w:val="006779C6"/>
    <w:rsid w:val="006779ED"/>
    <w:rsid w:val="00677A22"/>
    <w:rsid w:val="00677AE0"/>
    <w:rsid w:val="00677D22"/>
    <w:rsid w:val="00677D91"/>
    <w:rsid w:val="00677EC3"/>
    <w:rsid w:val="00680045"/>
    <w:rsid w:val="006801DB"/>
    <w:rsid w:val="006801F8"/>
    <w:rsid w:val="00680E1D"/>
    <w:rsid w:val="00680E4D"/>
    <w:rsid w:val="00680F39"/>
    <w:rsid w:val="0068112D"/>
    <w:rsid w:val="006811CF"/>
    <w:rsid w:val="00681226"/>
    <w:rsid w:val="0068122F"/>
    <w:rsid w:val="00681422"/>
    <w:rsid w:val="00681426"/>
    <w:rsid w:val="006814C9"/>
    <w:rsid w:val="006816D5"/>
    <w:rsid w:val="0068173B"/>
    <w:rsid w:val="006817D0"/>
    <w:rsid w:val="00681885"/>
    <w:rsid w:val="00681977"/>
    <w:rsid w:val="006819DE"/>
    <w:rsid w:val="00681A66"/>
    <w:rsid w:val="00681A6F"/>
    <w:rsid w:val="00681B02"/>
    <w:rsid w:val="00681C5C"/>
    <w:rsid w:val="00681E4A"/>
    <w:rsid w:val="00681F92"/>
    <w:rsid w:val="00681FE2"/>
    <w:rsid w:val="006821AF"/>
    <w:rsid w:val="0068220B"/>
    <w:rsid w:val="0068243F"/>
    <w:rsid w:val="006826EC"/>
    <w:rsid w:val="0068278E"/>
    <w:rsid w:val="006827D8"/>
    <w:rsid w:val="006829FC"/>
    <w:rsid w:val="00682A5F"/>
    <w:rsid w:val="00682AF1"/>
    <w:rsid w:val="00682BD6"/>
    <w:rsid w:val="00682C2D"/>
    <w:rsid w:val="00682C3C"/>
    <w:rsid w:val="00682CBE"/>
    <w:rsid w:val="00682D05"/>
    <w:rsid w:val="00682E8B"/>
    <w:rsid w:val="00682F00"/>
    <w:rsid w:val="00682F0A"/>
    <w:rsid w:val="00682F1D"/>
    <w:rsid w:val="00682F3F"/>
    <w:rsid w:val="006830E8"/>
    <w:rsid w:val="00683228"/>
    <w:rsid w:val="006832DE"/>
    <w:rsid w:val="00683359"/>
    <w:rsid w:val="006833AE"/>
    <w:rsid w:val="006833F9"/>
    <w:rsid w:val="00683468"/>
    <w:rsid w:val="006834D0"/>
    <w:rsid w:val="006835EE"/>
    <w:rsid w:val="00683602"/>
    <w:rsid w:val="00683B5C"/>
    <w:rsid w:val="00683BF6"/>
    <w:rsid w:val="00683C4D"/>
    <w:rsid w:val="00683D45"/>
    <w:rsid w:val="00683FE7"/>
    <w:rsid w:val="006841AA"/>
    <w:rsid w:val="006843E2"/>
    <w:rsid w:val="00684700"/>
    <w:rsid w:val="0068471C"/>
    <w:rsid w:val="006847CA"/>
    <w:rsid w:val="006849C0"/>
    <w:rsid w:val="00684A94"/>
    <w:rsid w:val="00684AB5"/>
    <w:rsid w:val="00684BD9"/>
    <w:rsid w:val="00684C14"/>
    <w:rsid w:val="00684C1A"/>
    <w:rsid w:val="00684FF3"/>
    <w:rsid w:val="00685149"/>
    <w:rsid w:val="0068519C"/>
    <w:rsid w:val="006851EF"/>
    <w:rsid w:val="00685252"/>
    <w:rsid w:val="006852B9"/>
    <w:rsid w:val="0068557B"/>
    <w:rsid w:val="0068562B"/>
    <w:rsid w:val="006857F9"/>
    <w:rsid w:val="0068583D"/>
    <w:rsid w:val="006859BB"/>
    <w:rsid w:val="00685AA5"/>
    <w:rsid w:val="00685D12"/>
    <w:rsid w:val="00685D8A"/>
    <w:rsid w:val="00685D8D"/>
    <w:rsid w:val="00685DEF"/>
    <w:rsid w:val="00685EB7"/>
    <w:rsid w:val="00685FE1"/>
    <w:rsid w:val="006861F1"/>
    <w:rsid w:val="0068627C"/>
    <w:rsid w:val="006862A8"/>
    <w:rsid w:val="00686371"/>
    <w:rsid w:val="00686486"/>
    <w:rsid w:val="0068677E"/>
    <w:rsid w:val="00686808"/>
    <w:rsid w:val="00686833"/>
    <w:rsid w:val="006868EA"/>
    <w:rsid w:val="0068690F"/>
    <w:rsid w:val="00686C44"/>
    <w:rsid w:val="00686CD6"/>
    <w:rsid w:val="00686D7A"/>
    <w:rsid w:val="0068750D"/>
    <w:rsid w:val="00687523"/>
    <w:rsid w:val="0068752D"/>
    <w:rsid w:val="006875E5"/>
    <w:rsid w:val="00687722"/>
    <w:rsid w:val="00687809"/>
    <w:rsid w:val="00687B12"/>
    <w:rsid w:val="00687B48"/>
    <w:rsid w:val="00687BD2"/>
    <w:rsid w:val="00687CA6"/>
    <w:rsid w:val="00690222"/>
    <w:rsid w:val="00690247"/>
    <w:rsid w:val="00690253"/>
    <w:rsid w:val="006902CD"/>
    <w:rsid w:val="0069043A"/>
    <w:rsid w:val="00690440"/>
    <w:rsid w:val="00690492"/>
    <w:rsid w:val="00690780"/>
    <w:rsid w:val="006909B5"/>
    <w:rsid w:val="00690A72"/>
    <w:rsid w:val="00690D5B"/>
    <w:rsid w:val="00690DC9"/>
    <w:rsid w:val="00690FA2"/>
    <w:rsid w:val="00690FD3"/>
    <w:rsid w:val="0069128E"/>
    <w:rsid w:val="00691385"/>
    <w:rsid w:val="0069144D"/>
    <w:rsid w:val="00691465"/>
    <w:rsid w:val="006914AC"/>
    <w:rsid w:val="006914B6"/>
    <w:rsid w:val="006915B1"/>
    <w:rsid w:val="006915DA"/>
    <w:rsid w:val="0069164F"/>
    <w:rsid w:val="0069168D"/>
    <w:rsid w:val="00691820"/>
    <w:rsid w:val="0069185E"/>
    <w:rsid w:val="006918E6"/>
    <w:rsid w:val="00691959"/>
    <w:rsid w:val="00691976"/>
    <w:rsid w:val="00691A19"/>
    <w:rsid w:val="00691B61"/>
    <w:rsid w:val="00691B6E"/>
    <w:rsid w:val="00691D09"/>
    <w:rsid w:val="00691D3F"/>
    <w:rsid w:val="006920A1"/>
    <w:rsid w:val="006920B0"/>
    <w:rsid w:val="00692341"/>
    <w:rsid w:val="0069238C"/>
    <w:rsid w:val="00692438"/>
    <w:rsid w:val="00692497"/>
    <w:rsid w:val="0069277D"/>
    <w:rsid w:val="00692A53"/>
    <w:rsid w:val="00692B86"/>
    <w:rsid w:val="00692BE8"/>
    <w:rsid w:val="00692C68"/>
    <w:rsid w:val="00692DA8"/>
    <w:rsid w:val="00693323"/>
    <w:rsid w:val="00693534"/>
    <w:rsid w:val="0069357C"/>
    <w:rsid w:val="00693677"/>
    <w:rsid w:val="00693783"/>
    <w:rsid w:val="006937D7"/>
    <w:rsid w:val="006939EF"/>
    <w:rsid w:val="00693A52"/>
    <w:rsid w:val="00693B14"/>
    <w:rsid w:val="00693B31"/>
    <w:rsid w:val="00693C26"/>
    <w:rsid w:val="00693DBA"/>
    <w:rsid w:val="00693E45"/>
    <w:rsid w:val="00693EE0"/>
    <w:rsid w:val="00693F6F"/>
    <w:rsid w:val="0069400C"/>
    <w:rsid w:val="00694056"/>
    <w:rsid w:val="00694180"/>
    <w:rsid w:val="006941FC"/>
    <w:rsid w:val="00694304"/>
    <w:rsid w:val="006943AC"/>
    <w:rsid w:val="00694424"/>
    <w:rsid w:val="00694476"/>
    <w:rsid w:val="006944E4"/>
    <w:rsid w:val="00694698"/>
    <w:rsid w:val="00694793"/>
    <w:rsid w:val="00694923"/>
    <w:rsid w:val="00694A21"/>
    <w:rsid w:val="00694AA1"/>
    <w:rsid w:val="00694B0A"/>
    <w:rsid w:val="00694D9C"/>
    <w:rsid w:val="00694DF4"/>
    <w:rsid w:val="006950C2"/>
    <w:rsid w:val="006954D8"/>
    <w:rsid w:val="00695592"/>
    <w:rsid w:val="006955D5"/>
    <w:rsid w:val="0069571E"/>
    <w:rsid w:val="006957D8"/>
    <w:rsid w:val="006958A1"/>
    <w:rsid w:val="006958C3"/>
    <w:rsid w:val="00695959"/>
    <w:rsid w:val="00695978"/>
    <w:rsid w:val="00695A07"/>
    <w:rsid w:val="00695A13"/>
    <w:rsid w:val="00695C11"/>
    <w:rsid w:val="00695C73"/>
    <w:rsid w:val="006961F4"/>
    <w:rsid w:val="00696393"/>
    <w:rsid w:val="0069654D"/>
    <w:rsid w:val="006965EC"/>
    <w:rsid w:val="00696611"/>
    <w:rsid w:val="00696693"/>
    <w:rsid w:val="006968BC"/>
    <w:rsid w:val="00696B06"/>
    <w:rsid w:val="00696BC2"/>
    <w:rsid w:val="00696C5A"/>
    <w:rsid w:val="00696D5C"/>
    <w:rsid w:val="00696DAC"/>
    <w:rsid w:val="00696DE9"/>
    <w:rsid w:val="00696F4E"/>
    <w:rsid w:val="00696FA5"/>
    <w:rsid w:val="00696FC7"/>
    <w:rsid w:val="00697022"/>
    <w:rsid w:val="00697073"/>
    <w:rsid w:val="006970EC"/>
    <w:rsid w:val="00697129"/>
    <w:rsid w:val="006972CB"/>
    <w:rsid w:val="00697325"/>
    <w:rsid w:val="006973CB"/>
    <w:rsid w:val="006974A4"/>
    <w:rsid w:val="00697671"/>
    <w:rsid w:val="006976DD"/>
    <w:rsid w:val="00697895"/>
    <w:rsid w:val="006978D2"/>
    <w:rsid w:val="00697B65"/>
    <w:rsid w:val="00697C79"/>
    <w:rsid w:val="00697CB1"/>
    <w:rsid w:val="00697D0E"/>
    <w:rsid w:val="00697D32"/>
    <w:rsid w:val="00697E1D"/>
    <w:rsid w:val="00697E26"/>
    <w:rsid w:val="00697E64"/>
    <w:rsid w:val="00697E89"/>
    <w:rsid w:val="006A00EF"/>
    <w:rsid w:val="006A0367"/>
    <w:rsid w:val="006A03D2"/>
    <w:rsid w:val="006A04B0"/>
    <w:rsid w:val="006A0631"/>
    <w:rsid w:val="006A0782"/>
    <w:rsid w:val="006A0824"/>
    <w:rsid w:val="006A0A52"/>
    <w:rsid w:val="006A0ACF"/>
    <w:rsid w:val="006A0AED"/>
    <w:rsid w:val="006A0B57"/>
    <w:rsid w:val="006A0F44"/>
    <w:rsid w:val="006A0FAA"/>
    <w:rsid w:val="006A0FB1"/>
    <w:rsid w:val="006A125F"/>
    <w:rsid w:val="006A12CE"/>
    <w:rsid w:val="006A1379"/>
    <w:rsid w:val="006A1407"/>
    <w:rsid w:val="006A154E"/>
    <w:rsid w:val="006A161B"/>
    <w:rsid w:val="006A165D"/>
    <w:rsid w:val="006A176B"/>
    <w:rsid w:val="006A1BB3"/>
    <w:rsid w:val="006A1C14"/>
    <w:rsid w:val="006A1D28"/>
    <w:rsid w:val="006A211E"/>
    <w:rsid w:val="006A224E"/>
    <w:rsid w:val="006A2285"/>
    <w:rsid w:val="006A22B8"/>
    <w:rsid w:val="006A23B7"/>
    <w:rsid w:val="006A2643"/>
    <w:rsid w:val="006A26C4"/>
    <w:rsid w:val="006A26C6"/>
    <w:rsid w:val="006A282A"/>
    <w:rsid w:val="006A2ACE"/>
    <w:rsid w:val="006A2C78"/>
    <w:rsid w:val="006A2CB1"/>
    <w:rsid w:val="006A2D2D"/>
    <w:rsid w:val="006A2EA8"/>
    <w:rsid w:val="006A2ECA"/>
    <w:rsid w:val="006A2F2A"/>
    <w:rsid w:val="006A2FBB"/>
    <w:rsid w:val="006A2FD6"/>
    <w:rsid w:val="006A3044"/>
    <w:rsid w:val="006A305A"/>
    <w:rsid w:val="006A30A7"/>
    <w:rsid w:val="006A312D"/>
    <w:rsid w:val="006A3163"/>
    <w:rsid w:val="006A324E"/>
    <w:rsid w:val="006A33CA"/>
    <w:rsid w:val="006A33F3"/>
    <w:rsid w:val="006A35B7"/>
    <w:rsid w:val="006A3633"/>
    <w:rsid w:val="006A371E"/>
    <w:rsid w:val="006A37DC"/>
    <w:rsid w:val="006A3909"/>
    <w:rsid w:val="006A3997"/>
    <w:rsid w:val="006A39EB"/>
    <w:rsid w:val="006A39EF"/>
    <w:rsid w:val="006A3B54"/>
    <w:rsid w:val="006A3C00"/>
    <w:rsid w:val="006A3C45"/>
    <w:rsid w:val="006A3D1A"/>
    <w:rsid w:val="006A3D31"/>
    <w:rsid w:val="006A3E13"/>
    <w:rsid w:val="006A3EB7"/>
    <w:rsid w:val="006A3FF1"/>
    <w:rsid w:val="006A4090"/>
    <w:rsid w:val="006A42C8"/>
    <w:rsid w:val="006A430B"/>
    <w:rsid w:val="006A433C"/>
    <w:rsid w:val="006A434F"/>
    <w:rsid w:val="006A4681"/>
    <w:rsid w:val="006A46AD"/>
    <w:rsid w:val="006A4760"/>
    <w:rsid w:val="006A4949"/>
    <w:rsid w:val="006A4B35"/>
    <w:rsid w:val="006A4B7A"/>
    <w:rsid w:val="006A4BF1"/>
    <w:rsid w:val="006A4CBC"/>
    <w:rsid w:val="006A4FE1"/>
    <w:rsid w:val="006A5031"/>
    <w:rsid w:val="006A5113"/>
    <w:rsid w:val="006A5118"/>
    <w:rsid w:val="006A51DB"/>
    <w:rsid w:val="006A5228"/>
    <w:rsid w:val="006A551E"/>
    <w:rsid w:val="006A56A2"/>
    <w:rsid w:val="006A5719"/>
    <w:rsid w:val="006A593E"/>
    <w:rsid w:val="006A5968"/>
    <w:rsid w:val="006A5B69"/>
    <w:rsid w:val="006A5BF3"/>
    <w:rsid w:val="006A5D38"/>
    <w:rsid w:val="006A5D3B"/>
    <w:rsid w:val="006A60B5"/>
    <w:rsid w:val="006A60F6"/>
    <w:rsid w:val="006A611B"/>
    <w:rsid w:val="006A61BB"/>
    <w:rsid w:val="006A6219"/>
    <w:rsid w:val="006A6284"/>
    <w:rsid w:val="006A62A7"/>
    <w:rsid w:val="006A63D7"/>
    <w:rsid w:val="006A66EB"/>
    <w:rsid w:val="006A675F"/>
    <w:rsid w:val="006A6872"/>
    <w:rsid w:val="006A68DB"/>
    <w:rsid w:val="006A6AFA"/>
    <w:rsid w:val="006A6C2D"/>
    <w:rsid w:val="006A6D2C"/>
    <w:rsid w:val="006A6DC3"/>
    <w:rsid w:val="006A6FCA"/>
    <w:rsid w:val="006A700D"/>
    <w:rsid w:val="006A70E9"/>
    <w:rsid w:val="006A7137"/>
    <w:rsid w:val="006A7250"/>
    <w:rsid w:val="006A72FD"/>
    <w:rsid w:val="006A739E"/>
    <w:rsid w:val="006A74E4"/>
    <w:rsid w:val="006A763E"/>
    <w:rsid w:val="006A76C4"/>
    <w:rsid w:val="006A76ED"/>
    <w:rsid w:val="006A7869"/>
    <w:rsid w:val="006A7998"/>
    <w:rsid w:val="006A79CD"/>
    <w:rsid w:val="006A7C49"/>
    <w:rsid w:val="006A7D26"/>
    <w:rsid w:val="006A7D6B"/>
    <w:rsid w:val="006A7F92"/>
    <w:rsid w:val="006A7FC8"/>
    <w:rsid w:val="006B0098"/>
    <w:rsid w:val="006B01D8"/>
    <w:rsid w:val="006B027B"/>
    <w:rsid w:val="006B0508"/>
    <w:rsid w:val="006B06C6"/>
    <w:rsid w:val="006B06D7"/>
    <w:rsid w:val="006B0809"/>
    <w:rsid w:val="006B0841"/>
    <w:rsid w:val="006B0A25"/>
    <w:rsid w:val="006B0B3D"/>
    <w:rsid w:val="006B0B7E"/>
    <w:rsid w:val="006B0BEB"/>
    <w:rsid w:val="006B0C9C"/>
    <w:rsid w:val="006B0D9C"/>
    <w:rsid w:val="006B0E92"/>
    <w:rsid w:val="006B0FD1"/>
    <w:rsid w:val="006B12B4"/>
    <w:rsid w:val="006B14DF"/>
    <w:rsid w:val="006B165E"/>
    <w:rsid w:val="006B16F5"/>
    <w:rsid w:val="006B1768"/>
    <w:rsid w:val="006B17C0"/>
    <w:rsid w:val="006B17C6"/>
    <w:rsid w:val="006B18CE"/>
    <w:rsid w:val="006B1A1D"/>
    <w:rsid w:val="006B1A3E"/>
    <w:rsid w:val="006B1B0F"/>
    <w:rsid w:val="006B1B1D"/>
    <w:rsid w:val="006B1DC5"/>
    <w:rsid w:val="006B1E00"/>
    <w:rsid w:val="006B1EF0"/>
    <w:rsid w:val="006B1F87"/>
    <w:rsid w:val="006B20C2"/>
    <w:rsid w:val="006B20C4"/>
    <w:rsid w:val="006B22D1"/>
    <w:rsid w:val="006B233C"/>
    <w:rsid w:val="006B2466"/>
    <w:rsid w:val="006B24EB"/>
    <w:rsid w:val="006B2AD5"/>
    <w:rsid w:val="006B2B3E"/>
    <w:rsid w:val="006B2D4D"/>
    <w:rsid w:val="006B39B1"/>
    <w:rsid w:val="006B3A9D"/>
    <w:rsid w:val="006B3C2E"/>
    <w:rsid w:val="006B3C6B"/>
    <w:rsid w:val="006B3D1E"/>
    <w:rsid w:val="006B3D26"/>
    <w:rsid w:val="006B3D3D"/>
    <w:rsid w:val="006B3DA8"/>
    <w:rsid w:val="006B3DD6"/>
    <w:rsid w:val="006B3E06"/>
    <w:rsid w:val="006B3E38"/>
    <w:rsid w:val="006B3EB0"/>
    <w:rsid w:val="006B4014"/>
    <w:rsid w:val="006B4047"/>
    <w:rsid w:val="006B40FE"/>
    <w:rsid w:val="006B4480"/>
    <w:rsid w:val="006B479C"/>
    <w:rsid w:val="006B48DA"/>
    <w:rsid w:val="006B4926"/>
    <w:rsid w:val="006B4AD3"/>
    <w:rsid w:val="006B4B31"/>
    <w:rsid w:val="006B4C4B"/>
    <w:rsid w:val="006B4D21"/>
    <w:rsid w:val="006B518F"/>
    <w:rsid w:val="006B5262"/>
    <w:rsid w:val="006B565C"/>
    <w:rsid w:val="006B567C"/>
    <w:rsid w:val="006B569F"/>
    <w:rsid w:val="006B56E8"/>
    <w:rsid w:val="006B56EC"/>
    <w:rsid w:val="006B5BE9"/>
    <w:rsid w:val="006B5E5A"/>
    <w:rsid w:val="006B5FE2"/>
    <w:rsid w:val="006B618D"/>
    <w:rsid w:val="006B6213"/>
    <w:rsid w:val="006B62FB"/>
    <w:rsid w:val="006B65B3"/>
    <w:rsid w:val="006B6962"/>
    <w:rsid w:val="006B69CC"/>
    <w:rsid w:val="006B6AE5"/>
    <w:rsid w:val="006B6CAF"/>
    <w:rsid w:val="006B6D49"/>
    <w:rsid w:val="006B70D7"/>
    <w:rsid w:val="006B7129"/>
    <w:rsid w:val="006B72DB"/>
    <w:rsid w:val="006B74BC"/>
    <w:rsid w:val="006B7537"/>
    <w:rsid w:val="006B75C7"/>
    <w:rsid w:val="006B75C8"/>
    <w:rsid w:val="006B7609"/>
    <w:rsid w:val="006B7656"/>
    <w:rsid w:val="006B7675"/>
    <w:rsid w:val="006B76F2"/>
    <w:rsid w:val="006B76F5"/>
    <w:rsid w:val="006B785C"/>
    <w:rsid w:val="006B7873"/>
    <w:rsid w:val="006B791F"/>
    <w:rsid w:val="006B79D4"/>
    <w:rsid w:val="006B7A64"/>
    <w:rsid w:val="006B7C01"/>
    <w:rsid w:val="006B7D5F"/>
    <w:rsid w:val="006B7FB9"/>
    <w:rsid w:val="006C0088"/>
    <w:rsid w:val="006C0331"/>
    <w:rsid w:val="006C0341"/>
    <w:rsid w:val="006C034C"/>
    <w:rsid w:val="006C067A"/>
    <w:rsid w:val="006C0BDF"/>
    <w:rsid w:val="006C0CD0"/>
    <w:rsid w:val="006C0F9A"/>
    <w:rsid w:val="006C0FDD"/>
    <w:rsid w:val="006C1139"/>
    <w:rsid w:val="006C1198"/>
    <w:rsid w:val="006C12EA"/>
    <w:rsid w:val="006C157E"/>
    <w:rsid w:val="006C16A7"/>
    <w:rsid w:val="006C16E5"/>
    <w:rsid w:val="006C1AB4"/>
    <w:rsid w:val="006C1C44"/>
    <w:rsid w:val="006C1E32"/>
    <w:rsid w:val="006C1FA6"/>
    <w:rsid w:val="006C2067"/>
    <w:rsid w:val="006C21C1"/>
    <w:rsid w:val="006C220F"/>
    <w:rsid w:val="006C23C1"/>
    <w:rsid w:val="006C2578"/>
    <w:rsid w:val="006C2834"/>
    <w:rsid w:val="006C2AC5"/>
    <w:rsid w:val="006C2B4B"/>
    <w:rsid w:val="006C2BB8"/>
    <w:rsid w:val="006C2C24"/>
    <w:rsid w:val="006C2C9C"/>
    <w:rsid w:val="006C2CCE"/>
    <w:rsid w:val="006C2D04"/>
    <w:rsid w:val="006C2E7B"/>
    <w:rsid w:val="006C2F53"/>
    <w:rsid w:val="006C307C"/>
    <w:rsid w:val="006C30EF"/>
    <w:rsid w:val="006C32A8"/>
    <w:rsid w:val="006C32C1"/>
    <w:rsid w:val="006C3430"/>
    <w:rsid w:val="006C35EE"/>
    <w:rsid w:val="006C37B8"/>
    <w:rsid w:val="006C3809"/>
    <w:rsid w:val="006C3ABF"/>
    <w:rsid w:val="006C3B43"/>
    <w:rsid w:val="006C3D6E"/>
    <w:rsid w:val="006C3F5C"/>
    <w:rsid w:val="006C4060"/>
    <w:rsid w:val="006C4153"/>
    <w:rsid w:val="006C4218"/>
    <w:rsid w:val="006C422F"/>
    <w:rsid w:val="006C4246"/>
    <w:rsid w:val="006C4291"/>
    <w:rsid w:val="006C431D"/>
    <w:rsid w:val="006C4434"/>
    <w:rsid w:val="006C45F2"/>
    <w:rsid w:val="006C478F"/>
    <w:rsid w:val="006C47EB"/>
    <w:rsid w:val="006C486C"/>
    <w:rsid w:val="006C4992"/>
    <w:rsid w:val="006C49B3"/>
    <w:rsid w:val="006C4B89"/>
    <w:rsid w:val="006C4C2E"/>
    <w:rsid w:val="006C509E"/>
    <w:rsid w:val="006C529F"/>
    <w:rsid w:val="006C5537"/>
    <w:rsid w:val="006C56C1"/>
    <w:rsid w:val="006C574C"/>
    <w:rsid w:val="006C5913"/>
    <w:rsid w:val="006C5A54"/>
    <w:rsid w:val="006C5BBF"/>
    <w:rsid w:val="006C5CDC"/>
    <w:rsid w:val="006C5D09"/>
    <w:rsid w:val="006C6141"/>
    <w:rsid w:val="006C61A8"/>
    <w:rsid w:val="006C649F"/>
    <w:rsid w:val="006C65F1"/>
    <w:rsid w:val="006C6709"/>
    <w:rsid w:val="006C678F"/>
    <w:rsid w:val="006C67C9"/>
    <w:rsid w:val="006C6915"/>
    <w:rsid w:val="006C694E"/>
    <w:rsid w:val="006C6972"/>
    <w:rsid w:val="006C6A17"/>
    <w:rsid w:val="006C6A8A"/>
    <w:rsid w:val="006C6BEF"/>
    <w:rsid w:val="006C6DD5"/>
    <w:rsid w:val="006C705D"/>
    <w:rsid w:val="006C7115"/>
    <w:rsid w:val="006C7172"/>
    <w:rsid w:val="006C71A6"/>
    <w:rsid w:val="006C7677"/>
    <w:rsid w:val="006C76D4"/>
    <w:rsid w:val="006C7716"/>
    <w:rsid w:val="006C78EE"/>
    <w:rsid w:val="006C79DB"/>
    <w:rsid w:val="006C7B62"/>
    <w:rsid w:val="006C7D5F"/>
    <w:rsid w:val="006D008E"/>
    <w:rsid w:val="006D0181"/>
    <w:rsid w:val="006D0197"/>
    <w:rsid w:val="006D0357"/>
    <w:rsid w:val="006D03ED"/>
    <w:rsid w:val="006D0421"/>
    <w:rsid w:val="006D0586"/>
    <w:rsid w:val="006D064D"/>
    <w:rsid w:val="006D08CB"/>
    <w:rsid w:val="006D08DE"/>
    <w:rsid w:val="006D08FD"/>
    <w:rsid w:val="006D09B5"/>
    <w:rsid w:val="006D09F2"/>
    <w:rsid w:val="006D0A0C"/>
    <w:rsid w:val="006D0B64"/>
    <w:rsid w:val="006D0C80"/>
    <w:rsid w:val="006D0CA0"/>
    <w:rsid w:val="006D101F"/>
    <w:rsid w:val="006D13E2"/>
    <w:rsid w:val="006D144A"/>
    <w:rsid w:val="006D14DB"/>
    <w:rsid w:val="006D1565"/>
    <w:rsid w:val="006D15CE"/>
    <w:rsid w:val="006D162B"/>
    <w:rsid w:val="006D1645"/>
    <w:rsid w:val="006D173F"/>
    <w:rsid w:val="006D198A"/>
    <w:rsid w:val="006D1B67"/>
    <w:rsid w:val="006D1C02"/>
    <w:rsid w:val="006D1C0D"/>
    <w:rsid w:val="006D1C84"/>
    <w:rsid w:val="006D1CAD"/>
    <w:rsid w:val="006D1CC4"/>
    <w:rsid w:val="006D1E5A"/>
    <w:rsid w:val="006D1EC1"/>
    <w:rsid w:val="006D1F12"/>
    <w:rsid w:val="006D22BC"/>
    <w:rsid w:val="006D26FE"/>
    <w:rsid w:val="006D2786"/>
    <w:rsid w:val="006D280E"/>
    <w:rsid w:val="006D2893"/>
    <w:rsid w:val="006D2A3F"/>
    <w:rsid w:val="006D2B9C"/>
    <w:rsid w:val="006D2BC8"/>
    <w:rsid w:val="006D2D62"/>
    <w:rsid w:val="006D2DC3"/>
    <w:rsid w:val="006D2E18"/>
    <w:rsid w:val="006D304B"/>
    <w:rsid w:val="006D30B9"/>
    <w:rsid w:val="006D331D"/>
    <w:rsid w:val="006D3438"/>
    <w:rsid w:val="006D3580"/>
    <w:rsid w:val="006D3585"/>
    <w:rsid w:val="006D35A0"/>
    <w:rsid w:val="006D35A5"/>
    <w:rsid w:val="006D3644"/>
    <w:rsid w:val="006D37E2"/>
    <w:rsid w:val="006D38D9"/>
    <w:rsid w:val="006D3A76"/>
    <w:rsid w:val="006D3AA4"/>
    <w:rsid w:val="006D3AA9"/>
    <w:rsid w:val="006D3CAA"/>
    <w:rsid w:val="006D3CB2"/>
    <w:rsid w:val="006D3CEC"/>
    <w:rsid w:val="006D3DC0"/>
    <w:rsid w:val="006D3E34"/>
    <w:rsid w:val="006D3F67"/>
    <w:rsid w:val="006D3FBE"/>
    <w:rsid w:val="006D3FEA"/>
    <w:rsid w:val="006D4034"/>
    <w:rsid w:val="006D4058"/>
    <w:rsid w:val="006D4256"/>
    <w:rsid w:val="006D42CF"/>
    <w:rsid w:val="006D4590"/>
    <w:rsid w:val="006D46E9"/>
    <w:rsid w:val="006D4707"/>
    <w:rsid w:val="006D4770"/>
    <w:rsid w:val="006D48CE"/>
    <w:rsid w:val="006D48EB"/>
    <w:rsid w:val="006D48EF"/>
    <w:rsid w:val="006D4A44"/>
    <w:rsid w:val="006D4B25"/>
    <w:rsid w:val="006D4EBC"/>
    <w:rsid w:val="006D4F3F"/>
    <w:rsid w:val="006D4F40"/>
    <w:rsid w:val="006D4FA7"/>
    <w:rsid w:val="006D4FDB"/>
    <w:rsid w:val="006D5059"/>
    <w:rsid w:val="006D513B"/>
    <w:rsid w:val="006D543C"/>
    <w:rsid w:val="006D543E"/>
    <w:rsid w:val="006D56C7"/>
    <w:rsid w:val="006D57E6"/>
    <w:rsid w:val="006D59BA"/>
    <w:rsid w:val="006D5BA0"/>
    <w:rsid w:val="006D5D3A"/>
    <w:rsid w:val="006D5D51"/>
    <w:rsid w:val="006D5D7A"/>
    <w:rsid w:val="006D60F9"/>
    <w:rsid w:val="006D61D5"/>
    <w:rsid w:val="006D62FA"/>
    <w:rsid w:val="006D635E"/>
    <w:rsid w:val="006D6601"/>
    <w:rsid w:val="006D6864"/>
    <w:rsid w:val="006D6A66"/>
    <w:rsid w:val="006D6B73"/>
    <w:rsid w:val="006D6BDD"/>
    <w:rsid w:val="006D6BFF"/>
    <w:rsid w:val="006D6DA4"/>
    <w:rsid w:val="006D6FA7"/>
    <w:rsid w:val="006D701C"/>
    <w:rsid w:val="006D7180"/>
    <w:rsid w:val="006D7206"/>
    <w:rsid w:val="006D7449"/>
    <w:rsid w:val="006D747E"/>
    <w:rsid w:val="006D7484"/>
    <w:rsid w:val="006D7528"/>
    <w:rsid w:val="006D797F"/>
    <w:rsid w:val="006D7B6A"/>
    <w:rsid w:val="006D7C38"/>
    <w:rsid w:val="006D7CA6"/>
    <w:rsid w:val="006D7D20"/>
    <w:rsid w:val="006D7D98"/>
    <w:rsid w:val="006D7F58"/>
    <w:rsid w:val="006E0222"/>
    <w:rsid w:val="006E0389"/>
    <w:rsid w:val="006E0551"/>
    <w:rsid w:val="006E064F"/>
    <w:rsid w:val="006E06E2"/>
    <w:rsid w:val="006E070F"/>
    <w:rsid w:val="006E09D5"/>
    <w:rsid w:val="006E0A79"/>
    <w:rsid w:val="006E0A80"/>
    <w:rsid w:val="006E0B8D"/>
    <w:rsid w:val="006E0BB8"/>
    <w:rsid w:val="006E0BE9"/>
    <w:rsid w:val="006E0C37"/>
    <w:rsid w:val="006E0D1C"/>
    <w:rsid w:val="006E0E39"/>
    <w:rsid w:val="006E1044"/>
    <w:rsid w:val="006E108B"/>
    <w:rsid w:val="006E117C"/>
    <w:rsid w:val="006E12D9"/>
    <w:rsid w:val="006E12ED"/>
    <w:rsid w:val="006E1372"/>
    <w:rsid w:val="006E1425"/>
    <w:rsid w:val="006E1429"/>
    <w:rsid w:val="006E143A"/>
    <w:rsid w:val="006E1447"/>
    <w:rsid w:val="006E15A4"/>
    <w:rsid w:val="006E171D"/>
    <w:rsid w:val="006E1753"/>
    <w:rsid w:val="006E1854"/>
    <w:rsid w:val="006E1875"/>
    <w:rsid w:val="006E19D8"/>
    <w:rsid w:val="006E1A3B"/>
    <w:rsid w:val="006E1A84"/>
    <w:rsid w:val="006E1C57"/>
    <w:rsid w:val="006E1E4B"/>
    <w:rsid w:val="006E1F68"/>
    <w:rsid w:val="006E1F76"/>
    <w:rsid w:val="006E1F87"/>
    <w:rsid w:val="006E2302"/>
    <w:rsid w:val="006E2431"/>
    <w:rsid w:val="006E24A9"/>
    <w:rsid w:val="006E265E"/>
    <w:rsid w:val="006E2751"/>
    <w:rsid w:val="006E2756"/>
    <w:rsid w:val="006E27EC"/>
    <w:rsid w:val="006E27ED"/>
    <w:rsid w:val="006E2825"/>
    <w:rsid w:val="006E28C9"/>
    <w:rsid w:val="006E298D"/>
    <w:rsid w:val="006E299C"/>
    <w:rsid w:val="006E2AEF"/>
    <w:rsid w:val="006E2B6F"/>
    <w:rsid w:val="006E2BA8"/>
    <w:rsid w:val="006E2C5B"/>
    <w:rsid w:val="006E2D6F"/>
    <w:rsid w:val="006E2F6E"/>
    <w:rsid w:val="006E30F5"/>
    <w:rsid w:val="006E31DE"/>
    <w:rsid w:val="006E31F7"/>
    <w:rsid w:val="006E3275"/>
    <w:rsid w:val="006E3292"/>
    <w:rsid w:val="006E32A0"/>
    <w:rsid w:val="006E32F4"/>
    <w:rsid w:val="006E34BE"/>
    <w:rsid w:val="006E35F3"/>
    <w:rsid w:val="006E3631"/>
    <w:rsid w:val="006E366F"/>
    <w:rsid w:val="006E36D1"/>
    <w:rsid w:val="006E375F"/>
    <w:rsid w:val="006E3830"/>
    <w:rsid w:val="006E3899"/>
    <w:rsid w:val="006E38C1"/>
    <w:rsid w:val="006E38EC"/>
    <w:rsid w:val="006E3B9E"/>
    <w:rsid w:val="006E3BA8"/>
    <w:rsid w:val="006E3BDD"/>
    <w:rsid w:val="006E3CD0"/>
    <w:rsid w:val="006E3D9C"/>
    <w:rsid w:val="006E3DAF"/>
    <w:rsid w:val="006E3E51"/>
    <w:rsid w:val="006E3F8B"/>
    <w:rsid w:val="006E3FC6"/>
    <w:rsid w:val="006E3FEC"/>
    <w:rsid w:val="006E4008"/>
    <w:rsid w:val="006E4072"/>
    <w:rsid w:val="006E41CA"/>
    <w:rsid w:val="006E4208"/>
    <w:rsid w:val="006E42BB"/>
    <w:rsid w:val="006E4323"/>
    <w:rsid w:val="006E43D5"/>
    <w:rsid w:val="006E479E"/>
    <w:rsid w:val="006E4909"/>
    <w:rsid w:val="006E4940"/>
    <w:rsid w:val="006E49D4"/>
    <w:rsid w:val="006E4A35"/>
    <w:rsid w:val="006E4A5D"/>
    <w:rsid w:val="006E4B51"/>
    <w:rsid w:val="006E4CF1"/>
    <w:rsid w:val="006E4EBA"/>
    <w:rsid w:val="006E4F9A"/>
    <w:rsid w:val="006E4FC9"/>
    <w:rsid w:val="006E50D6"/>
    <w:rsid w:val="006E510B"/>
    <w:rsid w:val="006E5338"/>
    <w:rsid w:val="006E536A"/>
    <w:rsid w:val="006E5383"/>
    <w:rsid w:val="006E542C"/>
    <w:rsid w:val="006E5459"/>
    <w:rsid w:val="006E54D2"/>
    <w:rsid w:val="006E55E1"/>
    <w:rsid w:val="006E57D8"/>
    <w:rsid w:val="006E580E"/>
    <w:rsid w:val="006E5872"/>
    <w:rsid w:val="006E597A"/>
    <w:rsid w:val="006E59A4"/>
    <w:rsid w:val="006E5ADE"/>
    <w:rsid w:val="006E5AF5"/>
    <w:rsid w:val="006E5B5D"/>
    <w:rsid w:val="006E5BE8"/>
    <w:rsid w:val="006E5C0C"/>
    <w:rsid w:val="006E5F24"/>
    <w:rsid w:val="006E611B"/>
    <w:rsid w:val="006E6296"/>
    <w:rsid w:val="006E653C"/>
    <w:rsid w:val="006E66E0"/>
    <w:rsid w:val="006E67AB"/>
    <w:rsid w:val="006E67B5"/>
    <w:rsid w:val="006E681B"/>
    <w:rsid w:val="006E6943"/>
    <w:rsid w:val="006E6959"/>
    <w:rsid w:val="006E6DEA"/>
    <w:rsid w:val="006E6E0B"/>
    <w:rsid w:val="006E6F57"/>
    <w:rsid w:val="006E6F6A"/>
    <w:rsid w:val="006E700C"/>
    <w:rsid w:val="006E7024"/>
    <w:rsid w:val="006E7086"/>
    <w:rsid w:val="006E70A7"/>
    <w:rsid w:val="006E73C7"/>
    <w:rsid w:val="006E747F"/>
    <w:rsid w:val="006E754E"/>
    <w:rsid w:val="006E760A"/>
    <w:rsid w:val="006E76ED"/>
    <w:rsid w:val="006E770C"/>
    <w:rsid w:val="006E79C4"/>
    <w:rsid w:val="006E7A43"/>
    <w:rsid w:val="006E7B4A"/>
    <w:rsid w:val="006E7BDA"/>
    <w:rsid w:val="006E7CED"/>
    <w:rsid w:val="006E7D9B"/>
    <w:rsid w:val="006E7E27"/>
    <w:rsid w:val="006E7E34"/>
    <w:rsid w:val="006E7FE6"/>
    <w:rsid w:val="006F01AF"/>
    <w:rsid w:val="006F026A"/>
    <w:rsid w:val="006F0367"/>
    <w:rsid w:val="006F03A7"/>
    <w:rsid w:val="006F03DD"/>
    <w:rsid w:val="006F0416"/>
    <w:rsid w:val="006F0499"/>
    <w:rsid w:val="006F04EC"/>
    <w:rsid w:val="006F05E9"/>
    <w:rsid w:val="006F05F2"/>
    <w:rsid w:val="006F0665"/>
    <w:rsid w:val="006F0868"/>
    <w:rsid w:val="006F0995"/>
    <w:rsid w:val="006F09B6"/>
    <w:rsid w:val="006F0A38"/>
    <w:rsid w:val="006F0A7F"/>
    <w:rsid w:val="006F0ACB"/>
    <w:rsid w:val="006F0C59"/>
    <w:rsid w:val="006F0D54"/>
    <w:rsid w:val="006F0D84"/>
    <w:rsid w:val="006F0E6C"/>
    <w:rsid w:val="006F0EAA"/>
    <w:rsid w:val="006F0F64"/>
    <w:rsid w:val="006F1093"/>
    <w:rsid w:val="006F1175"/>
    <w:rsid w:val="006F1255"/>
    <w:rsid w:val="006F1479"/>
    <w:rsid w:val="006F14AB"/>
    <w:rsid w:val="006F14C0"/>
    <w:rsid w:val="006F152F"/>
    <w:rsid w:val="006F158A"/>
    <w:rsid w:val="006F1757"/>
    <w:rsid w:val="006F176C"/>
    <w:rsid w:val="006F179A"/>
    <w:rsid w:val="006F1C56"/>
    <w:rsid w:val="006F1F3F"/>
    <w:rsid w:val="006F1F5F"/>
    <w:rsid w:val="006F1FA5"/>
    <w:rsid w:val="006F1FB4"/>
    <w:rsid w:val="006F1FEB"/>
    <w:rsid w:val="006F205C"/>
    <w:rsid w:val="006F208F"/>
    <w:rsid w:val="006F212B"/>
    <w:rsid w:val="006F2213"/>
    <w:rsid w:val="006F2412"/>
    <w:rsid w:val="006F2438"/>
    <w:rsid w:val="006F2541"/>
    <w:rsid w:val="006F255E"/>
    <w:rsid w:val="006F2761"/>
    <w:rsid w:val="006F281A"/>
    <w:rsid w:val="006F2891"/>
    <w:rsid w:val="006F28BE"/>
    <w:rsid w:val="006F2AE9"/>
    <w:rsid w:val="006F2D4C"/>
    <w:rsid w:val="006F2D68"/>
    <w:rsid w:val="006F2E5D"/>
    <w:rsid w:val="006F2FEE"/>
    <w:rsid w:val="006F2FEF"/>
    <w:rsid w:val="006F310C"/>
    <w:rsid w:val="006F3112"/>
    <w:rsid w:val="006F318D"/>
    <w:rsid w:val="006F31AA"/>
    <w:rsid w:val="006F32BE"/>
    <w:rsid w:val="006F337D"/>
    <w:rsid w:val="006F38F4"/>
    <w:rsid w:val="006F3944"/>
    <w:rsid w:val="006F3B01"/>
    <w:rsid w:val="006F3B2A"/>
    <w:rsid w:val="006F3C19"/>
    <w:rsid w:val="006F3CDB"/>
    <w:rsid w:val="006F3F87"/>
    <w:rsid w:val="006F400C"/>
    <w:rsid w:val="006F43B7"/>
    <w:rsid w:val="006F43F6"/>
    <w:rsid w:val="006F4479"/>
    <w:rsid w:val="006F44D5"/>
    <w:rsid w:val="006F4770"/>
    <w:rsid w:val="006F493E"/>
    <w:rsid w:val="006F49E0"/>
    <w:rsid w:val="006F4A80"/>
    <w:rsid w:val="006F4C02"/>
    <w:rsid w:val="006F4FA4"/>
    <w:rsid w:val="006F507E"/>
    <w:rsid w:val="006F5694"/>
    <w:rsid w:val="006F58BC"/>
    <w:rsid w:val="006F58D9"/>
    <w:rsid w:val="006F5991"/>
    <w:rsid w:val="006F5BD3"/>
    <w:rsid w:val="006F5D08"/>
    <w:rsid w:val="006F6129"/>
    <w:rsid w:val="006F61A6"/>
    <w:rsid w:val="006F63D5"/>
    <w:rsid w:val="006F649E"/>
    <w:rsid w:val="006F651B"/>
    <w:rsid w:val="006F66C4"/>
    <w:rsid w:val="006F67C3"/>
    <w:rsid w:val="006F697E"/>
    <w:rsid w:val="006F6B11"/>
    <w:rsid w:val="006F6B50"/>
    <w:rsid w:val="006F6BB7"/>
    <w:rsid w:val="006F6C2A"/>
    <w:rsid w:val="006F6E4B"/>
    <w:rsid w:val="006F6E63"/>
    <w:rsid w:val="006F6EF9"/>
    <w:rsid w:val="006F6F5C"/>
    <w:rsid w:val="006F70C0"/>
    <w:rsid w:val="006F72A5"/>
    <w:rsid w:val="006F739D"/>
    <w:rsid w:val="006F75AC"/>
    <w:rsid w:val="006F768D"/>
    <w:rsid w:val="006F7708"/>
    <w:rsid w:val="006F7763"/>
    <w:rsid w:val="006F7861"/>
    <w:rsid w:val="006F7A1E"/>
    <w:rsid w:val="006F7BD0"/>
    <w:rsid w:val="006F7C91"/>
    <w:rsid w:val="006F7CD9"/>
    <w:rsid w:val="006F7EC5"/>
    <w:rsid w:val="006F7F32"/>
    <w:rsid w:val="006F7FCF"/>
    <w:rsid w:val="007000EF"/>
    <w:rsid w:val="0070026D"/>
    <w:rsid w:val="007005DF"/>
    <w:rsid w:val="0070074B"/>
    <w:rsid w:val="007007B2"/>
    <w:rsid w:val="00700801"/>
    <w:rsid w:val="0070085B"/>
    <w:rsid w:val="007008E6"/>
    <w:rsid w:val="00700A44"/>
    <w:rsid w:val="00700A4C"/>
    <w:rsid w:val="00700B34"/>
    <w:rsid w:val="00700B3B"/>
    <w:rsid w:val="00700C48"/>
    <w:rsid w:val="00700F36"/>
    <w:rsid w:val="00700F47"/>
    <w:rsid w:val="0070124A"/>
    <w:rsid w:val="007012C3"/>
    <w:rsid w:val="00701383"/>
    <w:rsid w:val="007013F6"/>
    <w:rsid w:val="00701592"/>
    <w:rsid w:val="007016D5"/>
    <w:rsid w:val="00701851"/>
    <w:rsid w:val="007018D6"/>
    <w:rsid w:val="00701C58"/>
    <w:rsid w:val="00701CEA"/>
    <w:rsid w:val="00701D41"/>
    <w:rsid w:val="00701D65"/>
    <w:rsid w:val="00701DD8"/>
    <w:rsid w:val="00701E01"/>
    <w:rsid w:val="00701ED8"/>
    <w:rsid w:val="007021AE"/>
    <w:rsid w:val="0070225D"/>
    <w:rsid w:val="007023C0"/>
    <w:rsid w:val="007024F8"/>
    <w:rsid w:val="0070279F"/>
    <w:rsid w:val="00702963"/>
    <w:rsid w:val="00702B7C"/>
    <w:rsid w:val="00702BD0"/>
    <w:rsid w:val="00702C14"/>
    <w:rsid w:val="00702C42"/>
    <w:rsid w:val="00702D8C"/>
    <w:rsid w:val="00702FA7"/>
    <w:rsid w:val="007030C9"/>
    <w:rsid w:val="0070313E"/>
    <w:rsid w:val="007031F8"/>
    <w:rsid w:val="00703452"/>
    <w:rsid w:val="007034A1"/>
    <w:rsid w:val="0070368F"/>
    <w:rsid w:val="00703867"/>
    <w:rsid w:val="00703885"/>
    <w:rsid w:val="007038DF"/>
    <w:rsid w:val="00703A25"/>
    <w:rsid w:val="00703A8C"/>
    <w:rsid w:val="00703AA8"/>
    <w:rsid w:val="00703BC6"/>
    <w:rsid w:val="00703C95"/>
    <w:rsid w:val="00703DE8"/>
    <w:rsid w:val="00703E37"/>
    <w:rsid w:val="00703E44"/>
    <w:rsid w:val="00703FCE"/>
    <w:rsid w:val="00703FF8"/>
    <w:rsid w:val="0070413D"/>
    <w:rsid w:val="007041CF"/>
    <w:rsid w:val="007041E2"/>
    <w:rsid w:val="0070436C"/>
    <w:rsid w:val="0070455C"/>
    <w:rsid w:val="00704838"/>
    <w:rsid w:val="007048A9"/>
    <w:rsid w:val="007049E6"/>
    <w:rsid w:val="00704AC8"/>
    <w:rsid w:val="00704C2E"/>
    <w:rsid w:val="00704D9C"/>
    <w:rsid w:val="00704DF5"/>
    <w:rsid w:val="0070505D"/>
    <w:rsid w:val="007050C4"/>
    <w:rsid w:val="00705109"/>
    <w:rsid w:val="00705131"/>
    <w:rsid w:val="00705254"/>
    <w:rsid w:val="007053E4"/>
    <w:rsid w:val="00705849"/>
    <w:rsid w:val="00705A10"/>
    <w:rsid w:val="00705B9C"/>
    <w:rsid w:val="00705BA9"/>
    <w:rsid w:val="00705BDD"/>
    <w:rsid w:val="00705C42"/>
    <w:rsid w:val="00705C55"/>
    <w:rsid w:val="00705F1D"/>
    <w:rsid w:val="00705F35"/>
    <w:rsid w:val="00705FD5"/>
    <w:rsid w:val="00706131"/>
    <w:rsid w:val="00706195"/>
    <w:rsid w:val="00706269"/>
    <w:rsid w:val="0070630B"/>
    <w:rsid w:val="00706388"/>
    <w:rsid w:val="00706493"/>
    <w:rsid w:val="00706532"/>
    <w:rsid w:val="0070655A"/>
    <w:rsid w:val="00706613"/>
    <w:rsid w:val="007067D9"/>
    <w:rsid w:val="0070681A"/>
    <w:rsid w:val="007069BD"/>
    <w:rsid w:val="00706AC1"/>
    <w:rsid w:val="00706AFD"/>
    <w:rsid w:val="00706B6C"/>
    <w:rsid w:val="00706CDB"/>
    <w:rsid w:val="00706F05"/>
    <w:rsid w:val="0070709F"/>
    <w:rsid w:val="0070735F"/>
    <w:rsid w:val="0070744E"/>
    <w:rsid w:val="00707583"/>
    <w:rsid w:val="0070773B"/>
    <w:rsid w:val="007077C3"/>
    <w:rsid w:val="007077D2"/>
    <w:rsid w:val="0070788A"/>
    <w:rsid w:val="007079E1"/>
    <w:rsid w:val="00707A3E"/>
    <w:rsid w:val="00707B20"/>
    <w:rsid w:val="00707B26"/>
    <w:rsid w:val="00707B55"/>
    <w:rsid w:val="00707D89"/>
    <w:rsid w:val="00707DAE"/>
    <w:rsid w:val="00707DE8"/>
    <w:rsid w:val="00707FC3"/>
    <w:rsid w:val="00707FF7"/>
    <w:rsid w:val="007100AA"/>
    <w:rsid w:val="007100EA"/>
    <w:rsid w:val="0071010F"/>
    <w:rsid w:val="0071022E"/>
    <w:rsid w:val="00710536"/>
    <w:rsid w:val="007105A8"/>
    <w:rsid w:val="007105AC"/>
    <w:rsid w:val="00710740"/>
    <w:rsid w:val="00710901"/>
    <w:rsid w:val="00710A00"/>
    <w:rsid w:val="00710ACC"/>
    <w:rsid w:val="00710B16"/>
    <w:rsid w:val="00710C98"/>
    <w:rsid w:val="00710CFD"/>
    <w:rsid w:val="00710D4D"/>
    <w:rsid w:val="00710D65"/>
    <w:rsid w:val="00710DAD"/>
    <w:rsid w:val="00710DC7"/>
    <w:rsid w:val="00710EB9"/>
    <w:rsid w:val="00710EF2"/>
    <w:rsid w:val="0071102F"/>
    <w:rsid w:val="0071103B"/>
    <w:rsid w:val="0071106A"/>
    <w:rsid w:val="007111B6"/>
    <w:rsid w:val="007111E0"/>
    <w:rsid w:val="00711307"/>
    <w:rsid w:val="007113FF"/>
    <w:rsid w:val="00711545"/>
    <w:rsid w:val="00711552"/>
    <w:rsid w:val="00711570"/>
    <w:rsid w:val="00711873"/>
    <w:rsid w:val="007118BE"/>
    <w:rsid w:val="007119C2"/>
    <w:rsid w:val="00711AD5"/>
    <w:rsid w:val="00711B70"/>
    <w:rsid w:val="00711DAA"/>
    <w:rsid w:val="00711DD9"/>
    <w:rsid w:val="00711DE5"/>
    <w:rsid w:val="00711E4F"/>
    <w:rsid w:val="00711EF1"/>
    <w:rsid w:val="007120FC"/>
    <w:rsid w:val="00712345"/>
    <w:rsid w:val="0071241F"/>
    <w:rsid w:val="00712492"/>
    <w:rsid w:val="007124B5"/>
    <w:rsid w:val="00712513"/>
    <w:rsid w:val="0071257A"/>
    <w:rsid w:val="00712651"/>
    <w:rsid w:val="00712658"/>
    <w:rsid w:val="00712A69"/>
    <w:rsid w:val="00712ABC"/>
    <w:rsid w:val="00712B30"/>
    <w:rsid w:val="00712B46"/>
    <w:rsid w:val="00712CBA"/>
    <w:rsid w:val="00712D30"/>
    <w:rsid w:val="00712D5C"/>
    <w:rsid w:val="00712D7C"/>
    <w:rsid w:val="0071307B"/>
    <w:rsid w:val="007131EC"/>
    <w:rsid w:val="0071323C"/>
    <w:rsid w:val="007135C4"/>
    <w:rsid w:val="00713852"/>
    <w:rsid w:val="0071390B"/>
    <w:rsid w:val="007139CC"/>
    <w:rsid w:val="00713A99"/>
    <w:rsid w:val="00713AAE"/>
    <w:rsid w:val="00713B24"/>
    <w:rsid w:val="00713C65"/>
    <w:rsid w:val="00713CAD"/>
    <w:rsid w:val="00713CE6"/>
    <w:rsid w:val="00713D75"/>
    <w:rsid w:val="00713E4F"/>
    <w:rsid w:val="00713FF6"/>
    <w:rsid w:val="00714093"/>
    <w:rsid w:val="0071425D"/>
    <w:rsid w:val="00714353"/>
    <w:rsid w:val="00714391"/>
    <w:rsid w:val="007144E8"/>
    <w:rsid w:val="00714517"/>
    <w:rsid w:val="007145DF"/>
    <w:rsid w:val="0071479F"/>
    <w:rsid w:val="007147A7"/>
    <w:rsid w:val="007148BB"/>
    <w:rsid w:val="00714958"/>
    <w:rsid w:val="00714998"/>
    <w:rsid w:val="00714AB4"/>
    <w:rsid w:val="00714B3B"/>
    <w:rsid w:val="00714BAB"/>
    <w:rsid w:val="00714CDF"/>
    <w:rsid w:val="00714CE0"/>
    <w:rsid w:val="00714D8F"/>
    <w:rsid w:val="00714F4C"/>
    <w:rsid w:val="00715000"/>
    <w:rsid w:val="00715075"/>
    <w:rsid w:val="00715179"/>
    <w:rsid w:val="00715211"/>
    <w:rsid w:val="007152C3"/>
    <w:rsid w:val="007152FE"/>
    <w:rsid w:val="00715575"/>
    <w:rsid w:val="007156E9"/>
    <w:rsid w:val="007157BD"/>
    <w:rsid w:val="007157CE"/>
    <w:rsid w:val="0071584C"/>
    <w:rsid w:val="00715894"/>
    <w:rsid w:val="00715A3F"/>
    <w:rsid w:val="00715A8F"/>
    <w:rsid w:val="00715B61"/>
    <w:rsid w:val="00715E20"/>
    <w:rsid w:val="00715E53"/>
    <w:rsid w:val="00715F11"/>
    <w:rsid w:val="00715F2E"/>
    <w:rsid w:val="00716141"/>
    <w:rsid w:val="007161A6"/>
    <w:rsid w:val="007162DA"/>
    <w:rsid w:val="00716606"/>
    <w:rsid w:val="007168B6"/>
    <w:rsid w:val="007169EC"/>
    <w:rsid w:val="00716B07"/>
    <w:rsid w:val="00716B78"/>
    <w:rsid w:val="00716BFD"/>
    <w:rsid w:val="00716CBC"/>
    <w:rsid w:val="00716ECE"/>
    <w:rsid w:val="00716ED5"/>
    <w:rsid w:val="00717003"/>
    <w:rsid w:val="007170D1"/>
    <w:rsid w:val="0071715E"/>
    <w:rsid w:val="007171AB"/>
    <w:rsid w:val="007174A4"/>
    <w:rsid w:val="0071779B"/>
    <w:rsid w:val="007177E8"/>
    <w:rsid w:val="00717949"/>
    <w:rsid w:val="00717983"/>
    <w:rsid w:val="00717AC7"/>
    <w:rsid w:val="00717BCA"/>
    <w:rsid w:val="00717F28"/>
    <w:rsid w:val="00717F96"/>
    <w:rsid w:val="00720117"/>
    <w:rsid w:val="0072024B"/>
    <w:rsid w:val="00720345"/>
    <w:rsid w:val="0072037C"/>
    <w:rsid w:val="007203AC"/>
    <w:rsid w:val="00720463"/>
    <w:rsid w:val="0072060F"/>
    <w:rsid w:val="00720743"/>
    <w:rsid w:val="00720B2A"/>
    <w:rsid w:val="00720B37"/>
    <w:rsid w:val="00720CED"/>
    <w:rsid w:val="007212F9"/>
    <w:rsid w:val="00721418"/>
    <w:rsid w:val="0072165C"/>
    <w:rsid w:val="0072168B"/>
    <w:rsid w:val="0072169A"/>
    <w:rsid w:val="007216EB"/>
    <w:rsid w:val="0072174F"/>
    <w:rsid w:val="00721823"/>
    <w:rsid w:val="00721827"/>
    <w:rsid w:val="007218B8"/>
    <w:rsid w:val="00721937"/>
    <w:rsid w:val="00721AAC"/>
    <w:rsid w:val="00721B2E"/>
    <w:rsid w:val="00721CD2"/>
    <w:rsid w:val="00721DD5"/>
    <w:rsid w:val="00722478"/>
    <w:rsid w:val="00722569"/>
    <w:rsid w:val="0072293A"/>
    <w:rsid w:val="00722977"/>
    <w:rsid w:val="0072298D"/>
    <w:rsid w:val="00722A5E"/>
    <w:rsid w:val="00722D9F"/>
    <w:rsid w:val="00722F52"/>
    <w:rsid w:val="00722FD4"/>
    <w:rsid w:val="00723008"/>
    <w:rsid w:val="00723133"/>
    <w:rsid w:val="00723176"/>
    <w:rsid w:val="007233D7"/>
    <w:rsid w:val="007233E9"/>
    <w:rsid w:val="0072348C"/>
    <w:rsid w:val="007234F8"/>
    <w:rsid w:val="00723552"/>
    <w:rsid w:val="00723638"/>
    <w:rsid w:val="007238CC"/>
    <w:rsid w:val="007238F7"/>
    <w:rsid w:val="00723965"/>
    <w:rsid w:val="00723995"/>
    <w:rsid w:val="007239BB"/>
    <w:rsid w:val="00723BBC"/>
    <w:rsid w:val="00723E95"/>
    <w:rsid w:val="00723F35"/>
    <w:rsid w:val="00723F43"/>
    <w:rsid w:val="00724025"/>
    <w:rsid w:val="007242D5"/>
    <w:rsid w:val="007244D6"/>
    <w:rsid w:val="00724525"/>
    <w:rsid w:val="007245A6"/>
    <w:rsid w:val="00724817"/>
    <w:rsid w:val="007248B0"/>
    <w:rsid w:val="00724947"/>
    <w:rsid w:val="00724AA3"/>
    <w:rsid w:val="00724BEE"/>
    <w:rsid w:val="00724C2A"/>
    <w:rsid w:val="00724C6E"/>
    <w:rsid w:val="00724D38"/>
    <w:rsid w:val="00724FC1"/>
    <w:rsid w:val="00725022"/>
    <w:rsid w:val="007252AF"/>
    <w:rsid w:val="00725348"/>
    <w:rsid w:val="00725435"/>
    <w:rsid w:val="00725618"/>
    <w:rsid w:val="007256B8"/>
    <w:rsid w:val="00725A0B"/>
    <w:rsid w:val="00725A65"/>
    <w:rsid w:val="00725D07"/>
    <w:rsid w:val="00725EB3"/>
    <w:rsid w:val="00725FE5"/>
    <w:rsid w:val="0072607B"/>
    <w:rsid w:val="0072610C"/>
    <w:rsid w:val="00726239"/>
    <w:rsid w:val="007264EE"/>
    <w:rsid w:val="0072653D"/>
    <w:rsid w:val="00726753"/>
    <w:rsid w:val="007267BB"/>
    <w:rsid w:val="007268F6"/>
    <w:rsid w:val="00726973"/>
    <w:rsid w:val="007269AB"/>
    <w:rsid w:val="00726B99"/>
    <w:rsid w:val="00726CAD"/>
    <w:rsid w:val="00726D46"/>
    <w:rsid w:val="00726D62"/>
    <w:rsid w:val="00726D8E"/>
    <w:rsid w:val="00726DD1"/>
    <w:rsid w:val="00727407"/>
    <w:rsid w:val="007275CA"/>
    <w:rsid w:val="007275FB"/>
    <w:rsid w:val="0072776D"/>
    <w:rsid w:val="0072781D"/>
    <w:rsid w:val="00727903"/>
    <w:rsid w:val="0072795E"/>
    <w:rsid w:val="007279BD"/>
    <w:rsid w:val="00727A12"/>
    <w:rsid w:val="00727D83"/>
    <w:rsid w:val="00727F59"/>
    <w:rsid w:val="00727FE4"/>
    <w:rsid w:val="0073005C"/>
    <w:rsid w:val="00730289"/>
    <w:rsid w:val="007302B8"/>
    <w:rsid w:val="0073038F"/>
    <w:rsid w:val="00730396"/>
    <w:rsid w:val="007303D2"/>
    <w:rsid w:val="0073049E"/>
    <w:rsid w:val="007304E5"/>
    <w:rsid w:val="00730C9C"/>
    <w:rsid w:val="00730CC3"/>
    <w:rsid w:val="00730DF8"/>
    <w:rsid w:val="00730E02"/>
    <w:rsid w:val="00730E59"/>
    <w:rsid w:val="00730E77"/>
    <w:rsid w:val="00730F64"/>
    <w:rsid w:val="00731082"/>
    <w:rsid w:val="007310BC"/>
    <w:rsid w:val="00731201"/>
    <w:rsid w:val="0073123F"/>
    <w:rsid w:val="007312A5"/>
    <w:rsid w:val="007313CD"/>
    <w:rsid w:val="00731414"/>
    <w:rsid w:val="0073143D"/>
    <w:rsid w:val="007315AF"/>
    <w:rsid w:val="00731612"/>
    <w:rsid w:val="0073192C"/>
    <w:rsid w:val="00731943"/>
    <w:rsid w:val="00731A10"/>
    <w:rsid w:val="00731AB6"/>
    <w:rsid w:val="00731CEC"/>
    <w:rsid w:val="00731EF3"/>
    <w:rsid w:val="0073223A"/>
    <w:rsid w:val="00732273"/>
    <w:rsid w:val="007322B0"/>
    <w:rsid w:val="0073231B"/>
    <w:rsid w:val="00732343"/>
    <w:rsid w:val="007324BA"/>
    <w:rsid w:val="0073251F"/>
    <w:rsid w:val="00732593"/>
    <w:rsid w:val="007326B1"/>
    <w:rsid w:val="007328F1"/>
    <w:rsid w:val="00732998"/>
    <w:rsid w:val="00732A2F"/>
    <w:rsid w:val="00732AA3"/>
    <w:rsid w:val="00732ACA"/>
    <w:rsid w:val="00732C3A"/>
    <w:rsid w:val="00732D7E"/>
    <w:rsid w:val="007330B6"/>
    <w:rsid w:val="0073328F"/>
    <w:rsid w:val="007334C4"/>
    <w:rsid w:val="007335B3"/>
    <w:rsid w:val="007335F6"/>
    <w:rsid w:val="00733618"/>
    <w:rsid w:val="007338F5"/>
    <w:rsid w:val="0073394E"/>
    <w:rsid w:val="00733AB0"/>
    <w:rsid w:val="00733B0B"/>
    <w:rsid w:val="00733C56"/>
    <w:rsid w:val="00733C80"/>
    <w:rsid w:val="00733D3B"/>
    <w:rsid w:val="00733D4D"/>
    <w:rsid w:val="00733E2A"/>
    <w:rsid w:val="00733E70"/>
    <w:rsid w:val="00733F42"/>
    <w:rsid w:val="00733F64"/>
    <w:rsid w:val="00733F6D"/>
    <w:rsid w:val="00734078"/>
    <w:rsid w:val="0073426B"/>
    <w:rsid w:val="0073431C"/>
    <w:rsid w:val="0073435B"/>
    <w:rsid w:val="007343B0"/>
    <w:rsid w:val="007344AF"/>
    <w:rsid w:val="0073450C"/>
    <w:rsid w:val="00734702"/>
    <w:rsid w:val="00734714"/>
    <w:rsid w:val="00734AE3"/>
    <w:rsid w:val="00734B3A"/>
    <w:rsid w:val="00734BEF"/>
    <w:rsid w:val="00734CE7"/>
    <w:rsid w:val="00734D4F"/>
    <w:rsid w:val="00734E3A"/>
    <w:rsid w:val="00734F88"/>
    <w:rsid w:val="00734FF2"/>
    <w:rsid w:val="007352B0"/>
    <w:rsid w:val="0073537E"/>
    <w:rsid w:val="0073544C"/>
    <w:rsid w:val="007356E2"/>
    <w:rsid w:val="00735807"/>
    <w:rsid w:val="00735944"/>
    <w:rsid w:val="00735A3B"/>
    <w:rsid w:val="00735C73"/>
    <w:rsid w:val="00735D3B"/>
    <w:rsid w:val="00735D9B"/>
    <w:rsid w:val="00735F0B"/>
    <w:rsid w:val="00735F9D"/>
    <w:rsid w:val="00736149"/>
    <w:rsid w:val="00736227"/>
    <w:rsid w:val="00736360"/>
    <w:rsid w:val="0073661B"/>
    <w:rsid w:val="007366D2"/>
    <w:rsid w:val="00736701"/>
    <w:rsid w:val="007367BC"/>
    <w:rsid w:val="007368ED"/>
    <w:rsid w:val="007369CA"/>
    <w:rsid w:val="00736A83"/>
    <w:rsid w:val="00736CC1"/>
    <w:rsid w:val="00736DD2"/>
    <w:rsid w:val="00736E46"/>
    <w:rsid w:val="00736EF9"/>
    <w:rsid w:val="00736F7A"/>
    <w:rsid w:val="007370CB"/>
    <w:rsid w:val="0073712F"/>
    <w:rsid w:val="0073740E"/>
    <w:rsid w:val="0073742E"/>
    <w:rsid w:val="00737513"/>
    <w:rsid w:val="0073764A"/>
    <w:rsid w:val="0073789E"/>
    <w:rsid w:val="00737955"/>
    <w:rsid w:val="007379DC"/>
    <w:rsid w:val="00737A4A"/>
    <w:rsid w:val="00737BF1"/>
    <w:rsid w:val="00737C0B"/>
    <w:rsid w:val="00737F0A"/>
    <w:rsid w:val="007400EF"/>
    <w:rsid w:val="007401C7"/>
    <w:rsid w:val="00740401"/>
    <w:rsid w:val="0074042F"/>
    <w:rsid w:val="007404C8"/>
    <w:rsid w:val="007404F3"/>
    <w:rsid w:val="0074053B"/>
    <w:rsid w:val="0074054D"/>
    <w:rsid w:val="00740661"/>
    <w:rsid w:val="00740825"/>
    <w:rsid w:val="00740A47"/>
    <w:rsid w:val="00740AF4"/>
    <w:rsid w:val="00740C67"/>
    <w:rsid w:val="00740CE8"/>
    <w:rsid w:val="00740D5B"/>
    <w:rsid w:val="00740D66"/>
    <w:rsid w:val="00740DEE"/>
    <w:rsid w:val="00740E12"/>
    <w:rsid w:val="00740F86"/>
    <w:rsid w:val="00740FDB"/>
    <w:rsid w:val="00741015"/>
    <w:rsid w:val="007410FC"/>
    <w:rsid w:val="00741181"/>
    <w:rsid w:val="0074150C"/>
    <w:rsid w:val="00741731"/>
    <w:rsid w:val="00741737"/>
    <w:rsid w:val="007418D6"/>
    <w:rsid w:val="00741934"/>
    <w:rsid w:val="007419BE"/>
    <w:rsid w:val="00741B6D"/>
    <w:rsid w:val="00741C54"/>
    <w:rsid w:val="00741F7C"/>
    <w:rsid w:val="00741F97"/>
    <w:rsid w:val="00741FFA"/>
    <w:rsid w:val="00742031"/>
    <w:rsid w:val="0074216D"/>
    <w:rsid w:val="0074242C"/>
    <w:rsid w:val="0074246D"/>
    <w:rsid w:val="007424BC"/>
    <w:rsid w:val="00742514"/>
    <w:rsid w:val="0074271D"/>
    <w:rsid w:val="00742767"/>
    <w:rsid w:val="0074277B"/>
    <w:rsid w:val="0074278E"/>
    <w:rsid w:val="00742863"/>
    <w:rsid w:val="007428AD"/>
    <w:rsid w:val="00742B13"/>
    <w:rsid w:val="00742BE0"/>
    <w:rsid w:val="00742D28"/>
    <w:rsid w:val="00743174"/>
    <w:rsid w:val="00743226"/>
    <w:rsid w:val="0074323A"/>
    <w:rsid w:val="0074325E"/>
    <w:rsid w:val="00743265"/>
    <w:rsid w:val="007432D4"/>
    <w:rsid w:val="007432E8"/>
    <w:rsid w:val="0074348C"/>
    <w:rsid w:val="00743551"/>
    <w:rsid w:val="00743622"/>
    <w:rsid w:val="00743854"/>
    <w:rsid w:val="00743BC1"/>
    <w:rsid w:val="00743CAD"/>
    <w:rsid w:val="00743E0A"/>
    <w:rsid w:val="00743E77"/>
    <w:rsid w:val="00743E8F"/>
    <w:rsid w:val="007440DC"/>
    <w:rsid w:val="00744242"/>
    <w:rsid w:val="00744290"/>
    <w:rsid w:val="00744433"/>
    <w:rsid w:val="007444C6"/>
    <w:rsid w:val="007444DB"/>
    <w:rsid w:val="00744669"/>
    <w:rsid w:val="00744684"/>
    <w:rsid w:val="007448B6"/>
    <w:rsid w:val="00744909"/>
    <w:rsid w:val="007449ED"/>
    <w:rsid w:val="00744A61"/>
    <w:rsid w:val="00744AED"/>
    <w:rsid w:val="00744DD2"/>
    <w:rsid w:val="00744E11"/>
    <w:rsid w:val="00744FC5"/>
    <w:rsid w:val="00744FF7"/>
    <w:rsid w:val="0074512F"/>
    <w:rsid w:val="00745211"/>
    <w:rsid w:val="00745259"/>
    <w:rsid w:val="0074532C"/>
    <w:rsid w:val="00745392"/>
    <w:rsid w:val="00745539"/>
    <w:rsid w:val="0074556C"/>
    <w:rsid w:val="00745888"/>
    <w:rsid w:val="00745899"/>
    <w:rsid w:val="00745964"/>
    <w:rsid w:val="007459BF"/>
    <w:rsid w:val="00745AD1"/>
    <w:rsid w:val="00745B0A"/>
    <w:rsid w:val="00745B1A"/>
    <w:rsid w:val="00745BDC"/>
    <w:rsid w:val="00745D19"/>
    <w:rsid w:val="00745E3D"/>
    <w:rsid w:val="007461A0"/>
    <w:rsid w:val="0074621E"/>
    <w:rsid w:val="0074624E"/>
    <w:rsid w:val="00746280"/>
    <w:rsid w:val="007462B3"/>
    <w:rsid w:val="0074636C"/>
    <w:rsid w:val="007463B2"/>
    <w:rsid w:val="007465A8"/>
    <w:rsid w:val="007465C3"/>
    <w:rsid w:val="007466F3"/>
    <w:rsid w:val="007467F5"/>
    <w:rsid w:val="007468B0"/>
    <w:rsid w:val="00746AB9"/>
    <w:rsid w:val="00746C41"/>
    <w:rsid w:val="007470BE"/>
    <w:rsid w:val="00747154"/>
    <w:rsid w:val="00747285"/>
    <w:rsid w:val="007473F0"/>
    <w:rsid w:val="0074742C"/>
    <w:rsid w:val="0074744C"/>
    <w:rsid w:val="0074746A"/>
    <w:rsid w:val="00747472"/>
    <w:rsid w:val="00747592"/>
    <w:rsid w:val="00747602"/>
    <w:rsid w:val="00747668"/>
    <w:rsid w:val="0074787D"/>
    <w:rsid w:val="00747A2C"/>
    <w:rsid w:val="00747A78"/>
    <w:rsid w:val="00747D57"/>
    <w:rsid w:val="00747DA9"/>
    <w:rsid w:val="00747E71"/>
    <w:rsid w:val="00747F57"/>
    <w:rsid w:val="00747FE1"/>
    <w:rsid w:val="00750046"/>
    <w:rsid w:val="00750164"/>
    <w:rsid w:val="0075024C"/>
    <w:rsid w:val="007503B4"/>
    <w:rsid w:val="00750677"/>
    <w:rsid w:val="0075077D"/>
    <w:rsid w:val="007507B5"/>
    <w:rsid w:val="007507BA"/>
    <w:rsid w:val="007508C1"/>
    <w:rsid w:val="007508D9"/>
    <w:rsid w:val="007509AF"/>
    <w:rsid w:val="007509B8"/>
    <w:rsid w:val="00750A3D"/>
    <w:rsid w:val="00750ADA"/>
    <w:rsid w:val="00750B70"/>
    <w:rsid w:val="00750B73"/>
    <w:rsid w:val="00750B94"/>
    <w:rsid w:val="00750C27"/>
    <w:rsid w:val="00750DE8"/>
    <w:rsid w:val="0075108A"/>
    <w:rsid w:val="0075108C"/>
    <w:rsid w:val="00751172"/>
    <w:rsid w:val="007511BC"/>
    <w:rsid w:val="007511D3"/>
    <w:rsid w:val="007511EB"/>
    <w:rsid w:val="007513DE"/>
    <w:rsid w:val="007514AF"/>
    <w:rsid w:val="007514E3"/>
    <w:rsid w:val="007516E5"/>
    <w:rsid w:val="0075185A"/>
    <w:rsid w:val="00751A93"/>
    <w:rsid w:val="00751BA2"/>
    <w:rsid w:val="00751BA5"/>
    <w:rsid w:val="00751D02"/>
    <w:rsid w:val="00751D6D"/>
    <w:rsid w:val="00751DB7"/>
    <w:rsid w:val="00752112"/>
    <w:rsid w:val="00752132"/>
    <w:rsid w:val="00752334"/>
    <w:rsid w:val="00752363"/>
    <w:rsid w:val="00752429"/>
    <w:rsid w:val="007525F5"/>
    <w:rsid w:val="007527A9"/>
    <w:rsid w:val="007528D2"/>
    <w:rsid w:val="00752BB9"/>
    <w:rsid w:val="00752C60"/>
    <w:rsid w:val="00752D31"/>
    <w:rsid w:val="00752E16"/>
    <w:rsid w:val="0075302F"/>
    <w:rsid w:val="0075303F"/>
    <w:rsid w:val="00753177"/>
    <w:rsid w:val="007531B8"/>
    <w:rsid w:val="00753326"/>
    <w:rsid w:val="0075337C"/>
    <w:rsid w:val="00753392"/>
    <w:rsid w:val="007533A8"/>
    <w:rsid w:val="007533C6"/>
    <w:rsid w:val="00753438"/>
    <w:rsid w:val="0075344E"/>
    <w:rsid w:val="0075383C"/>
    <w:rsid w:val="00753869"/>
    <w:rsid w:val="00753B4C"/>
    <w:rsid w:val="00753B5D"/>
    <w:rsid w:val="00753BDA"/>
    <w:rsid w:val="00753C7F"/>
    <w:rsid w:val="00753F76"/>
    <w:rsid w:val="0075400D"/>
    <w:rsid w:val="007540C2"/>
    <w:rsid w:val="00754728"/>
    <w:rsid w:val="007548DA"/>
    <w:rsid w:val="007549EC"/>
    <w:rsid w:val="007549FB"/>
    <w:rsid w:val="00754CEF"/>
    <w:rsid w:val="00754EE1"/>
    <w:rsid w:val="00754FCE"/>
    <w:rsid w:val="0075514B"/>
    <w:rsid w:val="00755212"/>
    <w:rsid w:val="00755226"/>
    <w:rsid w:val="00755321"/>
    <w:rsid w:val="007553B7"/>
    <w:rsid w:val="00755403"/>
    <w:rsid w:val="007556C4"/>
    <w:rsid w:val="00755761"/>
    <w:rsid w:val="007557E8"/>
    <w:rsid w:val="0075598D"/>
    <w:rsid w:val="00755A21"/>
    <w:rsid w:val="00755B3D"/>
    <w:rsid w:val="00755B92"/>
    <w:rsid w:val="00755C17"/>
    <w:rsid w:val="00755C39"/>
    <w:rsid w:val="00755C4E"/>
    <w:rsid w:val="00755DB9"/>
    <w:rsid w:val="00755F70"/>
    <w:rsid w:val="0075628C"/>
    <w:rsid w:val="00756381"/>
    <w:rsid w:val="007563AA"/>
    <w:rsid w:val="0075649F"/>
    <w:rsid w:val="007567CA"/>
    <w:rsid w:val="00756890"/>
    <w:rsid w:val="007568AF"/>
    <w:rsid w:val="00756A62"/>
    <w:rsid w:val="00756B19"/>
    <w:rsid w:val="00756BE4"/>
    <w:rsid w:val="00756C61"/>
    <w:rsid w:val="00756D44"/>
    <w:rsid w:val="00756D92"/>
    <w:rsid w:val="00756F39"/>
    <w:rsid w:val="0075716F"/>
    <w:rsid w:val="00757195"/>
    <w:rsid w:val="0075722B"/>
    <w:rsid w:val="0075732C"/>
    <w:rsid w:val="00757365"/>
    <w:rsid w:val="007573F6"/>
    <w:rsid w:val="00757540"/>
    <w:rsid w:val="0075761D"/>
    <w:rsid w:val="0075782B"/>
    <w:rsid w:val="00757AD5"/>
    <w:rsid w:val="00757B0D"/>
    <w:rsid w:val="00757C9B"/>
    <w:rsid w:val="00757CCD"/>
    <w:rsid w:val="00757DED"/>
    <w:rsid w:val="00757E59"/>
    <w:rsid w:val="00757EA2"/>
    <w:rsid w:val="00757EA8"/>
    <w:rsid w:val="007601B9"/>
    <w:rsid w:val="0076038E"/>
    <w:rsid w:val="0076038F"/>
    <w:rsid w:val="007603AB"/>
    <w:rsid w:val="007603F5"/>
    <w:rsid w:val="007604EC"/>
    <w:rsid w:val="00760540"/>
    <w:rsid w:val="007605BA"/>
    <w:rsid w:val="00760647"/>
    <w:rsid w:val="0076064D"/>
    <w:rsid w:val="00760713"/>
    <w:rsid w:val="007609D6"/>
    <w:rsid w:val="00760B2B"/>
    <w:rsid w:val="00760B8E"/>
    <w:rsid w:val="00760CBC"/>
    <w:rsid w:val="00760D99"/>
    <w:rsid w:val="0076108E"/>
    <w:rsid w:val="007610FD"/>
    <w:rsid w:val="0076119E"/>
    <w:rsid w:val="007612C5"/>
    <w:rsid w:val="007616FC"/>
    <w:rsid w:val="00761904"/>
    <w:rsid w:val="0076190A"/>
    <w:rsid w:val="007619B5"/>
    <w:rsid w:val="00761A04"/>
    <w:rsid w:val="00761A16"/>
    <w:rsid w:val="00761B03"/>
    <w:rsid w:val="00761E26"/>
    <w:rsid w:val="00761EE3"/>
    <w:rsid w:val="00761FE6"/>
    <w:rsid w:val="0076211B"/>
    <w:rsid w:val="0076221C"/>
    <w:rsid w:val="00762505"/>
    <w:rsid w:val="007625EE"/>
    <w:rsid w:val="007626E7"/>
    <w:rsid w:val="00762719"/>
    <w:rsid w:val="00762755"/>
    <w:rsid w:val="00762826"/>
    <w:rsid w:val="00762AF3"/>
    <w:rsid w:val="00762BD2"/>
    <w:rsid w:val="00762E3B"/>
    <w:rsid w:val="00762E78"/>
    <w:rsid w:val="00762EDE"/>
    <w:rsid w:val="00763007"/>
    <w:rsid w:val="0076303D"/>
    <w:rsid w:val="007631A6"/>
    <w:rsid w:val="00763288"/>
    <w:rsid w:val="0076342D"/>
    <w:rsid w:val="00763516"/>
    <w:rsid w:val="00763546"/>
    <w:rsid w:val="00763554"/>
    <w:rsid w:val="00763566"/>
    <w:rsid w:val="0076370A"/>
    <w:rsid w:val="0076375D"/>
    <w:rsid w:val="007638C2"/>
    <w:rsid w:val="0076399D"/>
    <w:rsid w:val="00763AA5"/>
    <w:rsid w:val="00763AC8"/>
    <w:rsid w:val="00763AE0"/>
    <w:rsid w:val="00763D97"/>
    <w:rsid w:val="00763FF4"/>
    <w:rsid w:val="007641E1"/>
    <w:rsid w:val="00764224"/>
    <w:rsid w:val="00764431"/>
    <w:rsid w:val="0076447B"/>
    <w:rsid w:val="0076467E"/>
    <w:rsid w:val="007646A4"/>
    <w:rsid w:val="007646DA"/>
    <w:rsid w:val="007646E5"/>
    <w:rsid w:val="0076470D"/>
    <w:rsid w:val="0076489F"/>
    <w:rsid w:val="00764B6B"/>
    <w:rsid w:val="00764C3C"/>
    <w:rsid w:val="00764C4B"/>
    <w:rsid w:val="00764D7C"/>
    <w:rsid w:val="00764E70"/>
    <w:rsid w:val="00764EEB"/>
    <w:rsid w:val="00764F37"/>
    <w:rsid w:val="0076517D"/>
    <w:rsid w:val="007652AF"/>
    <w:rsid w:val="0076539B"/>
    <w:rsid w:val="007653F5"/>
    <w:rsid w:val="007655D2"/>
    <w:rsid w:val="00765C5A"/>
    <w:rsid w:val="00765E76"/>
    <w:rsid w:val="00766125"/>
    <w:rsid w:val="00766383"/>
    <w:rsid w:val="007664B5"/>
    <w:rsid w:val="007665FC"/>
    <w:rsid w:val="00766647"/>
    <w:rsid w:val="0076687C"/>
    <w:rsid w:val="007669FF"/>
    <w:rsid w:val="00766B68"/>
    <w:rsid w:val="00766B9E"/>
    <w:rsid w:val="00766BF1"/>
    <w:rsid w:val="00766C31"/>
    <w:rsid w:val="00766CD1"/>
    <w:rsid w:val="00766CD7"/>
    <w:rsid w:val="00767063"/>
    <w:rsid w:val="007671E6"/>
    <w:rsid w:val="00767383"/>
    <w:rsid w:val="0076741F"/>
    <w:rsid w:val="0076743C"/>
    <w:rsid w:val="007675D3"/>
    <w:rsid w:val="00767747"/>
    <w:rsid w:val="007677A1"/>
    <w:rsid w:val="007678A5"/>
    <w:rsid w:val="00767C24"/>
    <w:rsid w:val="00767E5C"/>
    <w:rsid w:val="00767F91"/>
    <w:rsid w:val="007702C8"/>
    <w:rsid w:val="00770610"/>
    <w:rsid w:val="0077061E"/>
    <w:rsid w:val="00770750"/>
    <w:rsid w:val="00770815"/>
    <w:rsid w:val="00770A7A"/>
    <w:rsid w:val="00770C75"/>
    <w:rsid w:val="00770D09"/>
    <w:rsid w:val="00770D50"/>
    <w:rsid w:val="00770E03"/>
    <w:rsid w:val="00770EE2"/>
    <w:rsid w:val="007713AD"/>
    <w:rsid w:val="0077149C"/>
    <w:rsid w:val="00771640"/>
    <w:rsid w:val="0077168F"/>
    <w:rsid w:val="0077195B"/>
    <w:rsid w:val="00771970"/>
    <w:rsid w:val="00771B57"/>
    <w:rsid w:val="00771BDE"/>
    <w:rsid w:val="00771C48"/>
    <w:rsid w:val="00771CAF"/>
    <w:rsid w:val="00771DAE"/>
    <w:rsid w:val="00771DD6"/>
    <w:rsid w:val="00771E31"/>
    <w:rsid w:val="00771F7B"/>
    <w:rsid w:val="007720CC"/>
    <w:rsid w:val="0077232D"/>
    <w:rsid w:val="007723ED"/>
    <w:rsid w:val="00772576"/>
    <w:rsid w:val="00772682"/>
    <w:rsid w:val="00772A3E"/>
    <w:rsid w:val="00772B0F"/>
    <w:rsid w:val="00772BDD"/>
    <w:rsid w:val="00772BDE"/>
    <w:rsid w:val="00772CF3"/>
    <w:rsid w:val="00772F9C"/>
    <w:rsid w:val="0077303D"/>
    <w:rsid w:val="0077303F"/>
    <w:rsid w:val="0077307D"/>
    <w:rsid w:val="007730A0"/>
    <w:rsid w:val="00773183"/>
    <w:rsid w:val="0077321D"/>
    <w:rsid w:val="007732E7"/>
    <w:rsid w:val="00773331"/>
    <w:rsid w:val="00773342"/>
    <w:rsid w:val="00773381"/>
    <w:rsid w:val="007735BF"/>
    <w:rsid w:val="00773622"/>
    <w:rsid w:val="007736E5"/>
    <w:rsid w:val="007736E6"/>
    <w:rsid w:val="007738F7"/>
    <w:rsid w:val="00773912"/>
    <w:rsid w:val="00773AE1"/>
    <w:rsid w:val="00773B63"/>
    <w:rsid w:val="00773C96"/>
    <w:rsid w:val="00773CB2"/>
    <w:rsid w:val="0077402C"/>
    <w:rsid w:val="007740C4"/>
    <w:rsid w:val="00774469"/>
    <w:rsid w:val="00774551"/>
    <w:rsid w:val="00774625"/>
    <w:rsid w:val="007746A2"/>
    <w:rsid w:val="007747AB"/>
    <w:rsid w:val="00774859"/>
    <w:rsid w:val="00774885"/>
    <w:rsid w:val="00774A12"/>
    <w:rsid w:val="00774B82"/>
    <w:rsid w:val="00774E24"/>
    <w:rsid w:val="007750DE"/>
    <w:rsid w:val="00775140"/>
    <w:rsid w:val="0077523C"/>
    <w:rsid w:val="0077547C"/>
    <w:rsid w:val="00775661"/>
    <w:rsid w:val="007757E2"/>
    <w:rsid w:val="0077596F"/>
    <w:rsid w:val="00775A6E"/>
    <w:rsid w:val="00775B6F"/>
    <w:rsid w:val="00775B81"/>
    <w:rsid w:val="00775BA9"/>
    <w:rsid w:val="00775CAE"/>
    <w:rsid w:val="00775CF0"/>
    <w:rsid w:val="00775E9E"/>
    <w:rsid w:val="00775F65"/>
    <w:rsid w:val="00775FF1"/>
    <w:rsid w:val="0077601F"/>
    <w:rsid w:val="00776064"/>
    <w:rsid w:val="0077608E"/>
    <w:rsid w:val="00776106"/>
    <w:rsid w:val="00776179"/>
    <w:rsid w:val="007761A5"/>
    <w:rsid w:val="0077642E"/>
    <w:rsid w:val="007764A3"/>
    <w:rsid w:val="00776540"/>
    <w:rsid w:val="007765CC"/>
    <w:rsid w:val="007765D6"/>
    <w:rsid w:val="00776685"/>
    <w:rsid w:val="0077674C"/>
    <w:rsid w:val="00776859"/>
    <w:rsid w:val="007768D5"/>
    <w:rsid w:val="00776907"/>
    <w:rsid w:val="00776986"/>
    <w:rsid w:val="00776A10"/>
    <w:rsid w:val="00776A51"/>
    <w:rsid w:val="00776ABF"/>
    <w:rsid w:val="00776C17"/>
    <w:rsid w:val="00776C2A"/>
    <w:rsid w:val="00776C77"/>
    <w:rsid w:val="00776D43"/>
    <w:rsid w:val="0077706D"/>
    <w:rsid w:val="0077718E"/>
    <w:rsid w:val="0077743A"/>
    <w:rsid w:val="007774B4"/>
    <w:rsid w:val="00777701"/>
    <w:rsid w:val="0077780E"/>
    <w:rsid w:val="00777992"/>
    <w:rsid w:val="00777AF9"/>
    <w:rsid w:val="00777D5B"/>
    <w:rsid w:val="00777E86"/>
    <w:rsid w:val="00777EB8"/>
    <w:rsid w:val="00777F77"/>
    <w:rsid w:val="0078016A"/>
    <w:rsid w:val="00780260"/>
    <w:rsid w:val="00780328"/>
    <w:rsid w:val="0078033A"/>
    <w:rsid w:val="00780387"/>
    <w:rsid w:val="00780399"/>
    <w:rsid w:val="00780429"/>
    <w:rsid w:val="00780773"/>
    <w:rsid w:val="0078079E"/>
    <w:rsid w:val="007809F5"/>
    <w:rsid w:val="00780AE1"/>
    <w:rsid w:val="00780C08"/>
    <w:rsid w:val="00780CEC"/>
    <w:rsid w:val="00781022"/>
    <w:rsid w:val="00781145"/>
    <w:rsid w:val="00781162"/>
    <w:rsid w:val="00781307"/>
    <w:rsid w:val="00781365"/>
    <w:rsid w:val="00781553"/>
    <w:rsid w:val="00781565"/>
    <w:rsid w:val="00781649"/>
    <w:rsid w:val="00781722"/>
    <w:rsid w:val="00781863"/>
    <w:rsid w:val="007818DE"/>
    <w:rsid w:val="007818E8"/>
    <w:rsid w:val="00781A2E"/>
    <w:rsid w:val="00781DAD"/>
    <w:rsid w:val="00781EEC"/>
    <w:rsid w:val="00781EFF"/>
    <w:rsid w:val="00781FC0"/>
    <w:rsid w:val="0078205B"/>
    <w:rsid w:val="007820EC"/>
    <w:rsid w:val="00782209"/>
    <w:rsid w:val="007822D5"/>
    <w:rsid w:val="007823C0"/>
    <w:rsid w:val="0078246B"/>
    <w:rsid w:val="00782511"/>
    <w:rsid w:val="0078251E"/>
    <w:rsid w:val="0078262D"/>
    <w:rsid w:val="007826E1"/>
    <w:rsid w:val="0078270C"/>
    <w:rsid w:val="00782815"/>
    <w:rsid w:val="00782938"/>
    <w:rsid w:val="00782B51"/>
    <w:rsid w:val="00782C16"/>
    <w:rsid w:val="00782D5C"/>
    <w:rsid w:val="00782E94"/>
    <w:rsid w:val="00782FEA"/>
    <w:rsid w:val="007830E1"/>
    <w:rsid w:val="007831A7"/>
    <w:rsid w:val="007831DE"/>
    <w:rsid w:val="0078321D"/>
    <w:rsid w:val="0078329A"/>
    <w:rsid w:val="00783322"/>
    <w:rsid w:val="007834C3"/>
    <w:rsid w:val="0078359B"/>
    <w:rsid w:val="00783691"/>
    <w:rsid w:val="007839DE"/>
    <w:rsid w:val="00783C02"/>
    <w:rsid w:val="00783DE4"/>
    <w:rsid w:val="00783F13"/>
    <w:rsid w:val="007841C3"/>
    <w:rsid w:val="00784326"/>
    <w:rsid w:val="0078435F"/>
    <w:rsid w:val="007843A1"/>
    <w:rsid w:val="007844A5"/>
    <w:rsid w:val="007847EC"/>
    <w:rsid w:val="007848DB"/>
    <w:rsid w:val="00784B40"/>
    <w:rsid w:val="00784DBE"/>
    <w:rsid w:val="00784F62"/>
    <w:rsid w:val="00785036"/>
    <w:rsid w:val="007851E8"/>
    <w:rsid w:val="00785457"/>
    <w:rsid w:val="00785496"/>
    <w:rsid w:val="0078552A"/>
    <w:rsid w:val="007855BF"/>
    <w:rsid w:val="007856D7"/>
    <w:rsid w:val="00785803"/>
    <w:rsid w:val="00785837"/>
    <w:rsid w:val="0078589A"/>
    <w:rsid w:val="00785920"/>
    <w:rsid w:val="0078593B"/>
    <w:rsid w:val="00785A97"/>
    <w:rsid w:val="00785D88"/>
    <w:rsid w:val="00785E1C"/>
    <w:rsid w:val="00785F5A"/>
    <w:rsid w:val="00785FEF"/>
    <w:rsid w:val="00786065"/>
    <w:rsid w:val="007860DE"/>
    <w:rsid w:val="007861E5"/>
    <w:rsid w:val="0078627C"/>
    <w:rsid w:val="00786354"/>
    <w:rsid w:val="0078639E"/>
    <w:rsid w:val="00786496"/>
    <w:rsid w:val="00786499"/>
    <w:rsid w:val="007864BC"/>
    <w:rsid w:val="00786560"/>
    <w:rsid w:val="00786742"/>
    <w:rsid w:val="007867AF"/>
    <w:rsid w:val="007867B0"/>
    <w:rsid w:val="007867DC"/>
    <w:rsid w:val="0078682F"/>
    <w:rsid w:val="00786831"/>
    <w:rsid w:val="00786899"/>
    <w:rsid w:val="0078690B"/>
    <w:rsid w:val="00786941"/>
    <w:rsid w:val="007869C6"/>
    <w:rsid w:val="00786A20"/>
    <w:rsid w:val="00786A54"/>
    <w:rsid w:val="00786A5F"/>
    <w:rsid w:val="00786DFE"/>
    <w:rsid w:val="00786F6F"/>
    <w:rsid w:val="007870D6"/>
    <w:rsid w:val="00787233"/>
    <w:rsid w:val="007872DC"/>
    <w:rsid w:val="00787379"/>
    <w:rsid w:val="007874A4"/>
    <w:rsid w:val="007874CF"/>
    <w:rsid w:val="00787516"/>
    <w:rsid w:val="0078787E"/>
    <w:rsid w:val="007878D7"/>
    <w:rsid w:val="00787988"/>
    <w:rsid w:val="00787992"/>
    <w:rsid w:val="007879F4"/>
    <w:rsid w:val="00787A14"/>
    <w:rsid w:val="00787B5F"/>
    <w:rsid w:val="00787B8F"/>
    <w:rsid w:val="00787B96"/>
    <w:rsid w:val="00787D31"/>
    <w:rsid w:val="00787E4E"/>
    <w:rsid w:val="007900EF"/>
    <w:rsid w:val="007901E5"/>
    <w:rsid w:val="0079020D"/>
    <w:rsid w:val="00790464"/>
    <w:rsid w:val="007906FE"/>
    <w:rsid w:val="0079078A"/>
    <w:rsid w:val="007909B6"/>
    <w:rsid w:val="00790AE5"/>
    <w:rsid w:val="00790F6C"/>
    <w:rsid w:val="00791044"/>
    <w:rsid w:val="007911D5"/>
    <w:rsid w:val="007912DA"/>
    <w:rsid w:val="007915A0"/>
    <w:rsid w:val="007915F5"/>
    <w:rsid w:val="00791834"/>
    <w:rsid w:val="00791881"/>
    <w:rsid w:val="00791989"/>
    <w:rsid w:val="00791B2A"/>
    <w:rsid w:val="00791B6C"/>
    <w:rsid w:val="00791B70"/>
    <w:rsid w:val="00791C7F"/>
    <w:rsid w:val="00791C82"/>
    <w:rsid w:val="00791EB9"/>
    <w:rsid w:val="00791ECE"/>
    <w:rsid w:val="00791FC1"/>
    <w:rsid w:val="00791FEA"/>
    <w:rsid w:val="0079207C"/>
    <w:rsid w:val="0079209C"/>
    <w:rsid w:val="007920CE"/>
    <w:rsid w:val="0079236B"/>
    <w:rsid w:val="00792397"/>
    <w:rsid w:val="0079239E"/>
    <w:rsid w:val="007923BB"/>
    <w:rsid w:val="00792599"/>
    <w:rsid w:val="0079266C"/>
    <w:rsid w:val="00792689"/>
    <w:rsid w:val="007927E9"/>
    <w:rsid w:val="007929F4"/>
    <w:rsid w:val="00792A88"/>
    <w:rsid w:val="00792C29"/>
    <w:rsid w:val="00792C47"/>
    <w:rsid w:val="00792C8D"/>
    <w:rsid w:val="00792CC4"/>
    <w:rsid w:val="00792D22"/>
    <w:rsid w:val="007930EB"/>
    <w:rsid w:val="00793127"/>
    <w:rsid w:val="00793169"/>
    <w:rsid w:val="00793187"/>
    <w:rsid w:val="007932EF"/>
    <w:rsid w:val="007933B8"/>
    <w:rsid w:val="007933FA"/>
    <w:rsid w:val="00793497"/>
    <w:rsid w:val="0079364F"/>
    <w:rsid w:val="007937A4"/>
    <w:rsid w:val="007938B2"/>
    <w:rsid w:val="007938C8"/>
    <w:rsid w:val="007938E5"/>
    <w:rsid w:val="00793A00"/>
    <w:rsid w:val="00793A14"/>
    <w:rsid w:val="00793A9B"/>
    <w:rsid w:val="00793B59"/>
    <w:rsid w:val="00793B5C"/>
    <w:rsid w:val="00793C51"/>
    <w:rsid w:val="00793D33"/>
    <w:rsid w:val="00793E0A"/>
    <w:rsid w:val="00793F0E"/>
    <w:rsid w:val="007942C5"/>
    <w:rsid w:val="00794740"/>
    <w:rsid w:val="00794787"/>
    <w:rsid w:val="007947E1"/>
    <w:rsid w:val="0079484C"/>
    <w:rsid w:val="0079489D"/>
    <w:rsid w:val="00794AE1"/>
    <w:rsid w:val="00794B02"/>
    <w:rsid w:val="00794B28"/>
    <w:rsid w:val="00794B52"/>
    <w:rsid w:val="00794CF5"/>
    <w:rsid w:val="00794F30"/>
    <w:rsid w:val="00794F9D"/>
    <w:rsid w:val="00795142"/>
    <w:rsid w:val="00795143"/>
    <w:rsid w:val="00795311"/>
    <w:rsid w:val="00795542"/>
    <w:rsid w:val="007955C1"/>
    <w:rsid w:val="0079567A"/>
    <w:rsid w:val="0079577D"/>
    <w:rsid w:val="007958B9"/>
    <w:rsid w:val="007958C9"/>
    <w:rsid w:val="0079595E"/>
    <w:rsid w:val="007959A9"/>
    <w:rsid w:val="007959B3"/>
    <w:rsid w:val="00795A9F"/>
    <w:rsid w:val="00795ACA"/>
    <w:rsid w:val="00795C55"/>
    <w:rsid w:val="00795D1E"/>
    <w:rsid w:val="00795FC5"/>
    <w:rsid w:val="00796161"/>
    <w:rsid w:val="00796331"/>
    <w:rsid w:val="007965A2"/>
    <w:rsid w:val="0079688F"/>
    <w:rsid w:val="00796A0D"/>
    <w:rsid w:val="00796B1F"/>
    <w:rsid w:val="00796B5E"/>
    <w:rsid w:val="00796C75"/>
    <w:rsid w:val="00796C83"/>
    <w:rsid w:val="00796DCD"/>
    <w:rsid w:val="00796E32"/>
    <w:rsid w:val="00796E95"/>
    <w:rsid w:val="00796F20"/>
    <w:rsid w:val="00796F36"/>
    <w:rsid w:val="00796F4A"/>
    <w:rsid w:val="007970FD"/>
    <w:rsid w:val="007973E1"/>
    <w:rsid w:val="007974F1"/>
    <w:rsid w:val="0079763F"/>
    <w:rsid w:val="007977C1"/>
    <w:rsid w:val="007978D5"/>
    <w:rsid w:val="0079799C"/>
    <w:rsid w:val="007979FE"/>
    <w:rsid w:val="00797D3E"/>
    <w:rsid w:val="00797D97"/>
    <w:rsid w:val="00797DD4"/>
    <w:rsid w:val="00797EA5"/>
    <w:rsid w:val="00797F02"/>
    <w:rsid w:val="00797F45"/>
    <w:rsid w:val="007A000D"/>
    <w:rsid w:val="007A0163"/>
    <w:rsid w:val="007A0283"/>
    <w:rsid w:val="007A02E4"/>
    <w:rsid w:val="007A0431"/>
    <w:rsid w:val="007A0441"/>
    <w:rsid w:val="007A04E1"/>
    <w:rsid w:val="007A08F0"/>
    <w:rsid w:val="007A0946"/>
    <w:rsid w:val="007A09FA"/>
    <w:rsid w:val="007A0AAA"/>
    <w:rsid w:val="007A0B49"/>
    <w:rsid w:val="007A0BB0"/>
    <w:rsid w:val="007A0D17"/>
    <w:rsid w:val="007A0DDE"/>
    <w:rsid w:val="007A0E50"/>
    <w:rsid w:val="007A1042"/>
    <w:rsid w:val="007A106D"/>
    <w:rsid w:val="007A10E0"/>
    <w:rsid w:val="007A1187"/>
    <w:rsid w:val="007A11DB"/>
    <w:rsid w:val="007A12D0"/>
    <w:rsid w:val="007A1436"/>
    <w:rsid w:val="007A1469"/>
    <w:rsid w:val="007A14EE"/>
    <w:rsid w:val="007A153A"/>
    <w:rsid w:val="007A16CD"/>
    <w:rsid w:val="007A17BF"/>
    <w:rsid w:val="007A18D3"/>
    <w:rsid w:val="007A18FC"/>
    <w:rsid w:val="007A1B36"/>
    <w:rsid w:val="007A1D42"/>
    <w:rsid w:val="007A1E23"/>
    <w:rsid w:val="007A1FDE"/>
    <w:rsid w:val="007A2102"/>
    <w:rsid w:val="007A227F"/>
    <w:rsid w:val="007A2314"/>
    <w:rsid w:val="007A23A7"/>
    <w:rsid w:val="007A253F"/>
    <w:rsid w:val="007A2704"/>
    <w:rsid w:val="007A271E"/>
    <w:rsid w:val="007A27CC"/>
    <w:rsid w:val="007A2863"/>
    <w:rsid w:val="007A288E"/>
    <w:rsid w:val="007A28AE"/>
    <w:rsid w:val="007A2AE7"/>
    <w:rsid w:val="007A2BF7"/>
    <w:rsid w:val="007A2C1F"/>
    <w:rsid w:val="007A2E2A"/>
    <w:rsid w:val="007A2ECB"/>
    <w:rsid w:val="007A30C9"/>
    <w:rsid w:val="007A331B"/>
    <w:rsid w:val="007A358D"/>
    <w:rsid w:val="007A35F6"/>
    <w:rsid w:val="007A3624"/>
    <w:rsid w:val="007A364D"/>
    <w:rsid w:val="007A369C"/>
    <w:rsid w:val="007A36E4"/>
    <w:rsid w:val="007A3735"/>
    <w:rsid w:val="007A3A98"/>
    <w:rsid w:val="007A3BEE"/>
    <w:rsid w:val="007A3ED6"/>
    <w:rsid w:val="007A3F2A"/>
    <w:rsid w:val="007A4220"/>
    <w:rsid w:val="007A4280"/>
    <w:rsid w:val="007A459B"/>
    <w:rsid w:val="007A45DF"/>
    <w:rsid w:val="007A4641"/>
    <w:rsid w:val="007A4646"/>
    <w:rsid w:val="007A480B"/>
    <w:rsid w:val="007A4838"/>
    <w:rsid w:val="007A4966"/>
    <w:rsid w:val="007A4B70"/>
    <w:rsid w:val="007A4BA7"/>
    <w:rsid w:val="007A4D42"/>
    <w:rsid w:val="007A4E97"/>
    <w:rsid w:val="007A4F1A"/>
    <w:rsid w:val="007A4F2E"/>
    <w:rsid w:val="007A4F31"/>
    <w:rsid w:val="007A5177"/>
    <w:rsid w:val="007A5218"/>
    <w:rsid w:val="007A528D"/>
    <w:rsid w:val="007A531B"/>
    <w:rsid w:val="007A5521"/>
    <w:rsid w:val="007A5664"/>
    <w:rsid w:val="007A567F"/>
    <w:rsid w:val="007A5799"/>
    <w:rsid w:val="007A58AC"/>
    <w:rsid w:val="007A5C5E"/>
    <w:rsid w:val="007A5DD3"/>
    <w:rsid w:val="007A6076"/>
    <w:rsid w:val="007A61E5"/>
    <w:rsid w:val="007A6365"/>
    <w:rsid w:val="007A6412"/>
    <w:rsid w:val="007A66B6"/>
    <w:rsid w:val="007A6850"/>
    <w:rsid w:val="007A68CE"/>
    <w:rsid w:val="007A690C"/>
    <w:rsid w:val="007A6912"/>
    <w:rsid w:val="007A6B52"/>
    <w:rsid w:val="007A6D4B"/>
    <w:rsid w:val="007A6DA2"/>
    <w:rsid w:val="007A7019"/>
    <w:rsid w:val="007A732C"/>
    <w:rsid w:val="007A74D3"/>
    <w:rsid w:val="007A74F1"/>
    <w:rsid w:val="007A74FC"/>
    <w:rsid w:val="007A7704"/>
    <w:rsid w:val="007A7978"/>
    <w:rsid w:val="007A79E4"/>
    <w:rsid w:val="007A7ABB"/>
    <w:rsid w:val="007A7AC0"/>
    <w:rsid w:val="007A7B01"/>
    <w:rsid w:val="007A7CF7"/>
    <w:rsid w:val="007A7EDB"/>
    <w:rsid w:val="007A7F0F"/>
    <w:rsid w:val="007A7F75"/>
    <w:rsid w:val="007A7F9B"/>
    <w:rsid w:val="007A7FA1"/>
    <w:rsid w:val="007A7FC6"/>
    <w:rsid w:val="007B0053"/>
    <w:rsid w:val="007B00F3"/>
    <w:rsid w:val="007B0316"/>
    <w:rsid w:val="007B049D"/>
    <w:rsid w:val="007B0505"/>
    <w:rsid w:val="007B0618"/>
    <w:rsid w:val="007B075A"/>
    <w:rsid w:val="007B086C"/>
    <w:rsid w:val="007B08C3"/>
    <w:rsid w:val="007B0AF0"/>
    <w:rsid w:val="007B0F52"/>
    <w:rsid w:val="007B1063"/>
    <w:rsid w:val="007B10A3"/>
    <w:rsid w:val="007B1131"/>
    <w:rsid w:val="007B1177"/>
    <w:rsid w:val="007B1326"/>
    <w:rsid w:val="007B13A9"/>
    <w:rsid w:val="007B1485"/>
    <w:rsid w:val="007B151B"/>
    <w:rsid w:val="007B157B"/>
    <w:rsid w:val="007B1672"/>
    <w:rsid w:val="007B16AE"/>
    <w:rsid w:val="007B16CA"/>
    <w:rsid w:val="007B17B3"/>
    <w:rsid w:val="007B1820"/>
    <w:rsid w:val="007B187A"/>
    <w:rsid w:val="007B192B"/>
    <w:rsid w:val="007B1AE5"/>
    <w:rsid w:val="007B1AF9"/>
    <w:rsid w:val="007B1BCA"/>
    <w:rsid w:val="007B1C5F"/>
    <w:rsid w:val="007B1D6F"/>
    <w:rsid w:val="007B1ECA"/>
    <w:rsid w:val="007B1F42"/>
    <w:rsid w:val="007B20A6"/>
    <w:rsid w:val="007B21A4"/>
    <w:rsid w:val="007B235B"/>
    <w:rsid w:val="007B2377"/>
    <w:rsid w:val="007B249F"/>
    <w:rsid w:val="007B252A"/>
    <w:rsid w:val="007B25CD"/>
    <w:rsid w:val="007B29CC"/>
    <w:rsid w:val="007B2EBC"/>
    <w:rsid w:val="007B2EDD"/>
    <w:rsid w:val="007B2F0A"/>
    <w:rsid w:val="007B2F63"/>
    <w:rsid w:val="007B30A0"/>
    <w:rsid w:val="007B314D"/>
    <w:rsid w:val="007B31C3"/>
    <w:rsid w:val="007B3204"/>
    <w:rsid w:val="007B320F"/>
    <w:rsid w:val="007B3272"/>
    <w:rsid w:val="007B33FB"/>
    <w:rsid w:val="007B351E"/>
    <w:rsid w:val="007B3560"/>
    <w:rsid w:val="007B35C4"/>
    <w:rsid w:val="007B360B"/>
    <w:rsid w:val="007B3676"/>
    <w:rsid w:val="007B36BB"/>
    <w:rsid w:val="007B36BC"/>
    <w:rsid w:val="007B37D9"/>
    <w:rsid w:val="007B3864"/>
    <w:rsid w:val="007B38D3"/>
    <w:rsid w:val="007B3C05"/>
    <w:rsid w:val="007B3D29"/>
    <w:rsid w:val="007B3E6E"/>
    <w:rsid w:val="007B3EBB"/>
    <w:rsid w:val="007B441B"/>
    <w:rsid w:val="007B445D"/>
    <w:rsid w:val="007B4581"/>
    <w:rsid w:val="007B45D9"/>
    <w:rsid w:val="007B4639"/>
    <w:rsid w:val="007B4688"/>
    <w:rsid w:val="007B47AD"/>
    <w:rsid w:val="007B47FB"/>
    <w:rsid w:val="007B48FC"/>
    <w:rsid w:val="007B4A62"/>
    <w:rsid w:val="007B4ACA"/>
    <w:rsid w:val="007B4B24"/>
    <w:rsid w:val="007B4B2F"/>
    <w:rsid w:val="007B4BB1"/>
    <w:rsid w:val="007B4CEA"/>
    <w:rsid w:val="007B4E32"/>
    <w:rsid w:val="007B4F15"/>
    <w:rsid w:val="007B505C"/>
    <w:rsid w:val="007B51DE"/>
    <w:rsid w:val="007B51E9"/>
    <w:rsid w:val="007B52EB"/>
    <w:rsid w:val="007B5472"/>
    <w:rsid w:val="007B553F"/>
    <w:rsid w:val="007B561C"/>
    <w:rsid w:val="007B56C8"/>
    <w:rsid w:val="007B56DA"/>
    <w:rsid w:val="007B57D3"/>
    <w:rsid w:val="007B584C"/>
    <w:rsid w:val="007B5975"/>
    <w:rsid w:val="007B5AB6"/>
    <w:rsid w:val="007B5BB4"/>
    <w:rsid w:val="007B5F47"/>
    <w:rsid w:val="007B61AD"/>
    <w:rsid w:val="007B6242"/>
    <w:rsid w:val="007B627C"/>
    <w:rsid w:val="007B63B8"/>
    <w:rsid w:val="007B6403"/>
    <w:rsid w:val="007B6654"/>
    <w:rsid w:val="007B676A"/>
    <w:rsid w:val="007B67AA"/>
    <w:rsid w:val="007B68BE"/>
    <w:rsid w:val="007B68C2"/>
    <w:rsid w:val="007B691A"/>
    <w:rsid w:val="007B6C77"/>
    <w:rsid w:val="007B6D8F"/>
    <w:rsid w:val="007B6DB4"/>
    <w:rsid w:val="007B6F1D"/>
    <w:rsid w:val="007B6F6B"/>
    <w:rsid w:val="007B6FF1"/>
    <w:rsid w:val="007B701C"/>
    <w:rsid w:val="007B703A"/>
    <w:rsid w:val="007B708B"/>
    <w:rsid w:val="007B7200"/>
    <w:rsid w:val="007B7256"/>
    <w:rsid w:val="007B7266"/>
    <w:rsid w:val="007B72FE"/>
    <w:rsid w:val="007B73DE"/>
    <w:rsid w:val="007B77E3"/>
    <w:rsid w:val="007B7931"/>
    <w:rsid w:val="007B794C"/>
    <w:rsid w:val="007B79C3"/>
    <w:rsid w:val="007B7C6B"/>
    <w:rsid w:val="007B7D11"/>
    <w:rsid w:val="007B7E00"/>
    <w:rsid w:val="007C003D"/>
    <w:rsid w:val="007C00B4"/>
    <w:rsid w:val="007C0309"/>
    <w:rsid w:val="007C0340"/>
    <w:rsid w:val="007C0634"/>
    <w:rsid w:val="007C0678"/>
    <w:rsid w:val="007C073B"/>
    <w:rsid w:val="007C0826"/>
    <w:rsid w:val="007C08E9"/>
    <w:rsid w:val="007C090F"/>
    <w:rsid w:val="007C0968"/>
    <w:rsid w:val="007C09A9"/>
    <w:rsid w:val="007C09BB"/>
    <w:rsid w:val="007C0A69"/>
    <w:rsid w:val="007C0DF3"/>
    <w:rsid w:val="007C0E4D"/>
    <w:rsid w:val="007C0ED4"/>
    <w:rsid w:val="007C0FD2"/>
    <w:rsid w:val="007C0FF3"/>
    <w:rsid w:val="007C0FFF"/>
    <w:rsid w:val="007C1100"/>
    <w:rsid w:val="007C1133"/>
    <w:rsid w:val="007C1137"/>
    <w:rsid w:val="007C1182"/>
    <w:rsid w:val="007C118C"/>
    <w:rsid w:val="007C136B"/>
    <w:rsid w:val="007C13C8"/>
    <w:rsid w:val="007C1408"/>
    <w:rsid w:val="007C151A"/>
    <w:rsid w:val="007C15A7"/>
    <w:rsid w:val="007C16E5"/>
    <w:rsid w:val="007C1848"/>
    <w:rsid w:val="007C19B7"/>
    <w:rsid w:val="007C1C29"/>
    <w:rsid w:val="007C1E58"/>
    <w:rsid w:val="007C1E76"/>
    <w:rsid w:val="007C1EFB"/>
    <w:rsid w:val="007C1F59"/>
    <w:rsid w:val="007C2065"/>
    <w:rsid w:val="007C226A"/>
    <w:rsid w:val="007C23F4"/>
    <w:rsid w:val="007C258F"/>
    <w:rsid w:val="007C26E0"/>
    <w:rsid w:val="007C27B2"/>
    <w:rsid w:val="007C27EB"/>
    <w:rsid w:val="007C2889"/>
    <w:rsid w:val="007C296B"/>
    <w:rsid w:val="007C299F"/>
    <w:rsid w:val="007C2A10"/>
    <w:rsid w:val="007C2A7A"/>
    <w:rsid w:val="007C2B37"/>
    <w:rsid w:val="007C2D0B"/>
    <w:rsid w:val="007C2D3D"/>
    <w:rsid w:val="007C2D54"/>
    <w:rsid w:val="007C2E95"/>
    <w:rsid w:val="007C2E97"/>
    <w:rsid w:val="007C2F29"/>
    <w:rsid w:val="007C3254"/>
    <w:rsid w:val="007C348B"/>
    <w:rsid w:val="007C3663"/>
    <w:rsid w:val="007C36DF"/>
    <w:rsid w:val="007C3946"/>
    <w:rsid w:val="007C399D"/>
    <w:rsid w:val="007C3B2D"/>
    <w:rsid w:val="007C3B62"/>
    <w:rsid w:val="007C3C3B"/>
    <w:rsid w:val="007C3F75"/>
    <w:rsid w:val="007C40FA"/>
    <w:rsid w:val="007C4167"/>
    <w:rsid w:val="007C41F0"/>
    <w:rsid w:val="007C4248"/>
    <w:rsid w:val="007C42B7"/>
    <w:rsid w:val="007C4342"/>
    <w:rsid w:val="007C440E"/>
    <w:rsid w:val="007C44CD"/>
    <w:rsid w:val="007C44FF"/>
    <w:rsid w:val="007C458B"/>
    <w:rsid w:val="007C45A5"/>
    <w:rsid w:val="007C4693"/>
    <w:rsid w:val="007C4735"/>
    <w:rsid w:val="007C4967"/>
    <w:rsid w:val="007C49D8"/>
    <w:rsid w:val="007C4A74"/>
    <w:rsid w:val="007C4A7C"/>
    <w:rsid w:val="007C4CAD"/>
    <w:rsid w:val="007C4D04"/>
    <w:rsid w:val="007C4D64"/>
    <w:rsid w:val="007C505D"/>
    <w:rsid w:val="007C5078"/>
    <w:rsid w:val="007C50E2"/>
    <w:rsid w:val="007C5182"/>
    <w:rsid w:val="007C51E4"/>
    <w:rsid w:val="007C5250"/>
    <w:rsid w:val="007C5562"/>
    <w:rsid w:val="007C564E"/>
    <w:rsid w:val="007C5658"/>
    <w:rsid w:val="007C58E8"/>
    <w:rsid w:val="007C5C0D"/>
    <w:rsid w:val="007C5C68"/>
    <w:rsid w:val="007C5D4D"/>
    <w:rsid w:val="007C5DD6"/>
    <w:rsid w:val="007C5F1F"/>
    <w:rsid w:val="007C6061"/>
    <w:rsid w:val="007C61C7"/>
    <w:rsid w:val="007C6277"/>
    <w:rsid w:val="007C62A6"/>
    <w:rsid w:val="007C64A8"/>
    <w:rsid w:val="007C6608"/>
    <w:rsid w:val="007C6658"/>
    <w:rsid w:val="007C678C"/>
    <w:rsid w:val="007C6860"/>
    <w:rsid w:val="007C68F1"/>
    <w:rsid w:val="007C6946"/>
    <w:rsid w:val="007C697B"/>
    <w:rsid w:val="007C6BA2"/>
    <w:rsid w:val="007C6EA4"/>
    <w:rsid w:val="007C6EB6"/>
    <w:rsid w:val="007C7075"/>
    <w:rsid w:val="007C731D"/>
    <w:rsid w:val="007C732E"/>
    <w:rsid w:val="007C73E0"/>
    <w:rsid w:val="007C745E"/>
    <w:rsid w:val="007C74B4"/>
    <w:rsid w:val="007C755E"/>
    <w:rsid w:val="007C7737"/>
    <w:rsid w:val="007C77A9"/>
    <w:rsid w:val="007C7B8D"/>
    <w:rsid w:val="007C7C4B"/>
    <w:rsid w:val="007C7CEE"/>
    <w:rsid w:val="007C7D55"/>
    <w:rsid w:val="007C7E1D"/>
    <w:rsid w:val="007C7E9C"/>
    <w:rsid w:val="007C7EC1"/>
    <w:rsid w:val="007C7F18"/>
    <w:rsid w:val="007D00C7"/>
    <w:rsid w:val="007D0198"/>
    <w:rsid w:val="007D0274"/>
    <w:rsid w:val="007D0374"/>
    <w:rsid w:val="007D0441"/>
    <w:rsid w:val="007D05AF"/>
    <w:rsid w:val="007D0749"/>
    <w:rsid w:val="007D08DB"/>
    <w:rsid w:val="007D0A29"/>
    <w:rsid w:val="007D0A40"/>
    <w:rsid w:val="007D0AB1"/>
    <w:rsid w:val="007D0B87"/>
    <w:rsid w:val="007D0C1F"/>
    <w:rsid w:val="007D0C32"/>
    <w:rsid w:val="007D0CF4"/>
    <w:rsid w:val="007D0F4B"/>
    <w:rsid w:val="007D0FC0"/>
    <w:rsid w:val="007D10DF"/>
    <w:rsid w:val="007D1298"/>
    <w:rsid w:val="007D12CD"/>
    <w:rsid w:val="007D1323"/>
    <w:rsid w:val="007D1452"/>
    <w:rsid w:val="007D148F"/>
    <w:rsid w:val="007D15BC"/>
    <w:rsid w:val="007D16DE"/>
    <w:rsid w:val="007D1D4C"/>
    <w:rsid w:val="007D1DE3"/>
    <w:rsid w:val="007D1E5F"/>
    <w:rsid w:val="007D1EB2"/>
    <w:rsid w:val="007D1F7F"/>
    <w:rsid w:val="007D1F8E"/>
    <w:rsid w:val="007D2079"/>
    <w:rsid w:val="007D20AE"/>
    <w:rsid w:val="007D2168"/>
    <w:rsid w:val="007D216F"/>
    <w:rsid w:val="007D217F"/>
    <w:rsid w:val="007D24F5"/>
    <w:rsid w:val="007D25AB"/>
    <w:rsid w:val="007D2726"/>
    <w:rsid w:val="007D2899"/>
    <w:rsid w:val="007D28B9"/>
    <w:rsid w:val="007D2A00"/>
    <w:rsid w:val="007D2D24"/>
    <w:rsid w:val="007D2E30"/>
    <w:rsid w:val="007D2FB1"/>
    <w:rsid w:val="007D3254"/>
    <w:rsid w:val="007D3288"/>
    <w:rsid w:val="007D33D6"/>
    <w:rsid w:val="007D341F"/>
    <w:rsid w:val="007D3506"/>
    <w:rsid w:val="007D3604"/>
    <w:rsid w:val="007D3668"/>
    <w:rsid w:val="007D36C4"/>
    <w:rsid w:val="007D37A4"/>
    <w:rsid w:val="007D38A2"/>
    <w:rsid w:val="007D390D"/>
    <w:rsid w:val="007D3B78"/>
    <w:rsid w:val="007D3B80"/>
    <w:rsid w:val="007D3C97"/>
    <w:rsid w:val="007D3CDA"/>
    <w:rsid w:val="007D3D2B"/>
    <w:rsid w:val="007D40A2"/>
    <w:rsid w:val="007D40D9"/>
    <w:rsid w:val="007D4375"/>
    <w:rsid w:val="007D43E1"/>
    <w:rsid w:val="007D43EE"/>
    <w:rsid w:val="007D4489"/>
    <w:rsid w:val="007D46D3"/>
    <w:rsid w:val="007D4738"/>
    <w:rsid w:val="007D47BC"/>
    <w:rsid w:val="007D49D0"/>
    <w:rsid w:val="007D4B16"/>
    <w:rsid w:val="007D4B8D"/>
    <w:rsid w:val="007D4BB8"/>
    <w:rsid w:val="007D4BBA"/>
    <w:rsid w:val="007D4D24"/>
    <w:rsid w:val="007D506C"/>
    <w:rsid w:val="007D509F"/>
    <w:rsid w:val="007D511E"/>
    <w:rsid w:val="007D5177"/>
    <w:rsid w:val="007D51A8"/>
    <w:rsid w:val="007D527C"/>
    <w:rsid w:val="007D52DC"/>
    <w:rsid w:val="007D531B"/>
    <w:rsid w:val="007D54C1"/>
    <w:rsid w:val="007D56F3"/>
    <w:rsid w:val="007D5718"/>
    <w:rsid w:val="007D583F"/>
    <w:rsid w:val="007D596F"/>
    <w:rsid w:val="007D5B66"/>
    <w:rsid w:val="007D5C78"/>
    <w:rsid w:val="007D5C92"/>
    <w:rsid w:val="007D5CB2"/>
    <w:rsid w:val="007D5CC8"/>
    <w:rsid w:val="007D5D30"/>
    <w:rsid w:val="007D5D95"/>
    <w:rsid w:val="007D634D"/>
    <w:rsid w:val="007D63DE"/>
    <w:rsid w:val="007D64B2"/>
    <w:rsid w:val="007D65A6"/>
    <w:rsid w:val="007D671B"/>
    <w:rsid w:val="007D67CD"/>
    <w:rsid w:val="007D691E"/>
    <w:rsid w:val="007D6C5E"/>
    <w:rsid w:val="007D6C68"/>
    <w:rsid w:val="007D6F7F"/>
    <w:rsid w:val="007D71A5"/>
    <w:rsid w:val="007D740E"/>
    <w:rsid w:val="007D742D"/>
    <w:rsid w:val="007D7778"/>
    <w:rsid w:val="007D788D"/>
    <w:rsid w:val="007D7895"/>
    <w:rsid w:val="007D79D6"/>
    <w:rsid w:val="007D7BE3"/>
    <w:rsid w:val="007D7C6A"/>
    <w:rsid w:val="007D7DD2"/>
    <w:rsid w:val="007D7EB3"/>
    <w:rsid w:val="007D7FED"/>
    <w:rsid w:val="007E00C1"/>
    <w:rsid w:val="007E00D4"/>
    <w:rsid w:val="007E01ED"/>
    <w:rsid w:val="007E02F5"/>
    <w:rsid w:val="007E0397"/>
    <w:rsid w:val="007E039E"/>
    <w:rsid w:val="007E044A"/>
    <w:rsid w:val="007E05B0"/>
    <w:rsid w:val="007E0601"/>
    <w:rsid w:val="007E0C6E"/>
    <w:rsid w:val="007E0DD2"/>
    <w:rsid w:val="007E0E10"/>
    <w:rsid w:val="007E0E36"/>
    <w:rsid w:val="007E103F"/>
    <w:rsid w:val="007E1065"/>
    <w:rsid w:val="007E1152"/>
    <w:rsid w:val="007E1274"/>
    <w:rsid w:val="007E12F4"/>
    <w:rsid w:val="007E1303"/>
    <w:rsid w:val="007E1376"/>
    <w:rsid w:val="007E13CA"/>
    <w:rsid w:val="007E14C9"/>
    <w:rsid w:val="007E16C9"/>
    <w:rsid w:val="007E1903"/>
    <w:rsid w:val="007E1A2F"/>
    <w:rsid w:val="007E1D51"/>
    <w:rsid w:val="007E24C9"/>
    <w:rsid w:val="007E261E"/>
    <w:rsid w:val="007E26AC"/>
    <w:rsid w:val="007E285C"/>
    <w:rsid w:val="007E2863"/>
    <w:rsid w:val="007E287B"/>
    <w:rsid w:val="007E29BB"/>
    <w:rsid w:val="007E2A8A"/>
    <w:rsid w:val="007E2B7E"/>
    <w:rsid w:val="007E2C45"/>
    <w:rsid w:val="007E2C70"/>
    <w:rsid w:val="007E2C7A"/>
    <w:rsid w:val="007E2CB6"/>
    <w:rsid w:val="007E2CBC"/>
    <w:rsid w:val="007E2CF9"/>
    <w:rsid w:val="007E2DF3"/>
    <w:rsid w:val="007E305F"/>
    <w:rsid w:val="007E31EF"/>
    <w:rsid w:val="007E322B"/>
    <w:rsid w:val="007E32B4"/>
    <w:rsid w:val="007E3385"/>
    <w:rsid w:val="007E33B3"/>
    <w:rsid w:val="007E350D"/>
    <w:rsid w:val="007E366E"/>
    <w:rsid w:val="007E37DD"/>
    <w:rsid w:val="007E37E6"/>
    <w:rsid w:val="007E3906"/>
    <w:rsid w:val="007E3998"/>
    <w:rsid w:val="007E3B04"/>
    <w:rsid w:val="007E3B9F"/>
    <w:rsid w:val="007E3C33"/>
    <w:rsid w:val="007E3C6E"/>
    <w:rsid w:val="007E3D0D"/>
    <w:rsid w:val="007E3DE1"/>
    <w:rsid w:val="007E3F2C"/>
    <w:rsid w:val="007E3FE6"/>
    <w:rsid w:val="007E40AD"/>
    <w:rsid w:val="007E4140"/>
    <w:rsid w:val="007E4179"/>
    <w:rsid w:val="007E42DE"/>
    <w:rsid w:val="007E437B"/>
    <w:rsid w:val="007E43E2"/>
    <w:rsid w:val="007E43EC"/>
    <w:rsid w:val="007E4523"/>
    <w:rsid w:val="007E45FB"/>
    <w:rsid w:val="007E46D0"/>
    <w:rsid w:val="007E489A"/>
    <w:rsid w:val="007E49A0"/>
    <w:rsid w:val="007E4B83"/>
    <w:rsid w:val="007E4D65"/>
    <w:rsid w:val="007E4DB5"/>
    <w:rsid w:val="007E4E3D"/>
    <w:rsid w:val="007E5039"/>
    <w:rsid w:val="007E5095"/>
    <w:rsid w:val="007E5137"/>
    <w:rsid w:val="007E5365"/>
    <w:rsid w:val="007E546F"/>
    <w:rsid w:val="007E5515"/>
    <w:rsid w:val="007E5652"/>
    <w:rsid w:val="007E569A"/>
    <w:rsid w:val="007E583F"/>
    <w:rsid w:val="007E5B02"/>
    <w:rsid w:val="007E5B2D"/>
    <w:rsid w:val="007E5C09"/>
    <w:rsid w:val="007E5C24"/>
    <w:rsid w:val="007E5DEE"/>
    <w:rsid w:val="007E5E08"/>
    <w:rsid w:val="007E6006"/>
    <w:rsid w:val="007E6072"/>
    <w:rsid w:val="007E6089"/>
    <w:rsid w:val="007E6447"/>
    <w:rsid w:val="007E6522"/>
    <w:rsid w:val="007E65B8"/>
    <w:rsid w:val="007E6743"/>
    <w:rsid w:val="007E681C"/>
    <w:rsid w:val="007E6916"/>
    <w:rsid w:val="007E6BD5"/>
    <w:rsid w:val="007E6C6E"/>
    <w:rsid w:val="007E6DC8"/>
    <w:rsid w:val="007E6EDB"/>
    <w:rsid w:val="007E6F36"/>
    <w:rsid w:val="007E6F86"/>
    <w:rsid w:val="007E6F93"/>
    <w:rsid w:val="007E725E"/>
    <w:rsid w:val="007E726A"/>
    <w:rsid w:val="007E736E"/>
    <w:rsid w:val="007E73B1"/>
    <w:rsid w:val="007E754D"/>
    <w:rsid w:val="007E76A3"/>
    <w:rsid w:val="007E7963"/>
    <w:rsid w:val="007E798F"/>
    <w:rsid w:val="007E7A99"/>
    <w:rsid w:val="007E7ACF"/>
    <w:rsid w:val="007E7B45"/>
    <w:rsid w:val="007E7B64"/>
    <w:rsid w:val="007E7BB8"/>
    <w:rsid w:val="007E7C9C"/>
    <w:rsid w:val="007F0292"/>
    <w:rsid w:val="007F03C9"/>
    <w:rsid w:val="007F08E0"/>
    <w:rsid w:val="007F096A"/>
    <w:rsid w:val="007F09EC"/>
    <w:rsid w:val="007F0B69"/>
    <w:rsid w:val="007F0C1F"/>
    <w:rsid w:val="007F0CC4"/>
    <w:rsid w:val="007F0D49"/>
    <w:rsid w:val="007F0FB3"/>
    <w:rsid w:val="007F10D0"/>
    <w:rsid w:val="007F1238"/>
    <w:rsid w:val="007F1659"/>
    <w:rsid w:val="007F16C8"/>
    <w:rsid w:val="007F195B"/>
    <w:rsid w:val="007F1AAA"/>
    <w:rsid w:val="007F1B92"/>
    <w:rsid w:val="007F1DFA"/>
    <w:rsid w:val="007F1EAF"/>
    <w:rsid w:val="007F1FBD"/>
    <w:rsid w:val="007F2029"/>
    <w:rsid w:val="007F2196"/>
    <w:rsid w:val="007F2545"/>
    <w:rsid w:val="007F260D"/>
    <w:rsid w:val="007F2614"/>
    <w:rsid w:val="007F26DC"/>
    <w:rsid w:val="007F28AF"/>
    <w:rsid w:val="007F2937"/>
    <w:rsid w:val="007F295A"/>
    <w:rsid w:val="007F2A53"/>
    <w:rsid w:val="007F2EB6"/>
    <w:rsid w:val="007F313A"/>
    <w:rsid w:val="007F31CB"/>
    <w:rsid w:val="007F322D"/>
    <w:rsid w:val="007F36B5"/>
    <w:rsid w:val="007F36C4"/>
    <w:rsid w:val="007F3702"/>
    <w:rsid w:val="007F3753"/>
    <w:rsid w:val="007F39C0"/>
    <w:rsid w:val="007F3A40"/>
    <w:rsid w:val="007F3B85"/>
    <w:rsid w:val="007F3EB9"/>
    <w:rsid w:val="007F3F42"/>
    <w:rsid w:val="007F3FEA"/>
    <w:rsid w:val="007F4069"/>
    <w:rsid w:val="007F4102"/>
    <w:rsid w:val="007F4147"/>
    <w:rsid w:val="007F41AC"/>
    <w:rsid w:val="007F4233"/>
    <w:rsid w:val="007F4375"/>
    <w:rsid w:val="007F43C8"/>
    <w:rsid w:val="007F443E"/>
    <w:rsid w:val="007F44C2"/>
    <w:rsid w:val="007F4975"/>
    <w:rsid w:val="007F49CD"/>
    <w:rsid w:val="007F4A20"/>
    <w:rsid w:val="007F4CE8"/>
    <w:rsid w:val="007F4D6F"/>
    <w:rsid w:val="007F4E08"/>
    <w:rsid w:val="007F4EE1"/>
    <w:rsid w:val="007F4F67"/>
    <w:rsid w:val="007F5058"/>
    <w:rsid w:val="007F5081"/>
    <w:rsid w:val="007F51E8"/>
    <w:rsid w:val="007F5353"/>
    <w:rsid w:val="007F544C"/>
    <w:rsid w:val="007F557E"/>
    <w:rsid w:val="007F5661"/>
    <w:rsid w:val="007F5961"/>
    <w:rsid w:val="007F5AAD"/>
    <w:rsid w:val="007F5B0F"/>
    <w:rsid w:val="007F5BBD"/>
    <w:rsid w:val="007F6118"/>
    <w:rsid w:val="007F614D"/>
    <w:rsid w:val="007F61DB"/>
    <w:rsid w:val="007F62A1"/>
    <w:rsid w:val="007F661B"/>
    <w:rsid w:val="007F67F0"/>
    <w:rsid w:val="007F6858"/>
    <w:rsid w:val="007F6864"/>
    <w:rsid w:val="007F6962"/>
    <w:rsid w:val="007F69F3"/>
    <w:rsid w:val="007F6B1D"/>
    <w:rsid w:val="007F6C42"/>
    <w:rsid w:val="007F6CA6"/>
    <w:rsid w:val="007F6E9C"/>
    <w:rsid w:val="007F6FD4"/>
    <w:rsid w:val="007F70A6"/>
    <w:rsid w:val="007F711B"/>
    <w:rsid w:val="007F7310"/>
    <w:rsid w:val="007F7715"/>
    <w:rsid w:val="007F77CB"/>
    <w:rsid w:val="007F7889"/>
    <w:rsid w:val="007F7A4F"/>
    <w:rsid w:val="007F7B16"/>
    <w:rsid w:val="007F7B96"/>
    <w:rsid w:val="007F7BF5"/>
    <w:rsid w:val="007F7C60"/>
    <w:rsid w:val="007F7C7C"/>
    <w:rsid w:val="007F7EE9"/>
    <w:rsid w:val="007F7F22"/>
    <w:rsid w:val="008000C2"/>
    <w:rsid w:val="00800295"/>
    <w:rsid w:val="0080047D"/>
    <w:rsid w:val="00800583"/>
    <w:rsid w:val="008006CA"/>
    <w:rsid w:val="00800706"/>
    <w:rsid w:val="00800726"/>
    <w:rsid w:val="0080075D"/>
    <w:rsid w:val="00800BCE"/>
    <w:rsid w:val="00800CFF"/>
    <w:rsid w:val="00800D37"/>
    <w:rsid w:val="00800EED"/>
    <w:rsid w:val="00800F22"/>
    <w:rsid w:val="00800F82"/>
    <w:rsid w:val="00800F89"/>
    <w:rsid w:val="00800F9B"/>
    <w:rsid w:val="00800F9C"/>
    <w:rsid w:val="00801162"/>
    <w:rsid w:val="008011FC"/>
    <w:rsid w:val="0080129B"/>
    <w:rsid w:val="0080145F"/>
    <w:rsid w:val="008014A8"/>
    <w:rsid w:val="008014AD"/>
    <w:rsid w:val="00801574"/>
    <w:rsid w:val="0080163A"/>
    <w:rsid w:val="00801762"/>
    <w:rsid w:val="0080191A"/>
    <w:rsid w:val="008019BA"/>
    <w:rsid w:val="00801B09"/>
    <w:rsid w:val="00801BD8"/>
    <w:rsid w:val="00801C12"/>
    <w:rsid w:val="00801D1F"/>
    <w:rsid w:val="00801DFE"/>
    <w:rsid w:val="00801E1D"/>
    <w:rsid w:val="00801E27"/>
    <w:rsid w:val="00801EBF"/>
    <w:rsid w:val="00801F1C"/>
    <w:rsid w:val="008022C0"/>
    <w:rsid w:val="008022CC"/>
    <w:rsid w:val="008023A7"/>
    <w:rsid w:val="008027F1"/>
    <w:rsid w:val="0080284D"/>
    <w:rsid w:val="008028DA"/>
    <w:rsid w:val="00802CDE"/>
    <w:rsid w:val="00802D01"/>
    <w:rsid w:val="00802D7F"/>
    <w:rsid w:val="00802E65"/>
    <w:rsid w:val="00802E72"/>
    <w:rsid w:val="008034CC"/>
    <w:rsid w:val="00803507"/>
    <w:rsid w:val="008035E1"/>
    <w:rsid w:val="0080373E"/>
    <w:rsid w:val="00803751"/>
    <w:rsid w:val="00803A75"/>
    <w:rsid w:val="00803B4A"/>
    <w:rsid w:val="00803DE8"/>
    <w:rsid w:val="0080408F"/>
    <w:rsid w:val="008043D1"/>
    <w:rsid w:val="0080461B"/>
    <w:rsid w:val="00804661"/>
    <w:rsid w:val="00804765"/>
    <w:rsid w:val="0080483C"/>
    <w:rsid w:val="00804840"/>
    <w:rsid w:val="008048D1"/>
    <w:rsid w:val="0080496E"/>
    <w:rsid w:val="00804A5F"/>
    <w:rsid w:val="00804AEF"/>
    <w:rsid w:val="00804B1A"/>
    <w:rsid w:val="00804C6D"/>
    <w:rsid w:val="00804C7D"/>
    <w:rsid w:val="00804D94"/>
    <w:rsid w:val="00804F65"/>
    <w:rsid w:val="00804F6F"/>
    <w:rsid w:val="0080501E"/>
    <w:rsid w:val="008050A4"/>
    <w:rsid w:val="008050D0"/>
    <w:rsid w:val="0080515A"/>
    <w:rsid w:val="008051A2"/>
    <w:rsid w:val="00805321"/>
    <w:rsid w:val="00805322"/>
    <w:rsid w:val="00805323"/>
    <w:rsid w:val="008054EA"/>
    <w:rsid w:val="00805613"/>
    <w:rsid w:val="008056ED"/>
    <w:rsid w:val="00805726"/>
    <w:rsid w:val="008057EC"/>
    <w:rsid w:val="008058CA"/>
    <w:rsid w:val="008058FE"/>
    <w:rsid w:val="0080593D"/>
    <w:rsid w:val="0080599D"/>
    <w:rsid w:val="00805A8A"/>
    <w:rsid w:val="00805AF2"/>
    <w:rsid w:val="00805B5B"/>
    <w:rsid w:val="00805BB6"/>
    <w:rsid w:val="00805D9A"/>
    <w:rsid w:val="00805DEB"/>
    <w:rsid w:val="00805EAD"/>
    <w:rsid w:val="00806175"/>
    <w:rsid w:val="00806190"/>
    <w:rsid w:val="008062B7"/>
    <w:rsid w:val="008063E2"/>
    <w:rsid w:val="008065E7"/>
    <w:rsid w:val="008066C0"/>
    <w:rsid w:val="00806740"/>
    <w:rsid w:val="008067F5"/>
    <w:rsid w:val="008067FB"/>
    <w:rsid w:val="00806809"/>
    <w:rsid w:val="00806841"/>
    <w:rsid w:val="008068D5"/>
    <w:rsid w:val="00806991"/>
    <w:rsid w:val="00806ADD"/>
    <w:rsid w:val="00806B97"/>
    <w:rsid w:val="00806BC0"/>
    <w:rsid w:val="00806BE4"/>
    <w:rsid w:val="00806C94"/>
    <w:rsid w:val="00806CDF"/>
    <w:rsid w:val="00806D9C"/>
    <w:rsid w:val="00806FBA"/>
    <w:rsid w:val="0080707F"/>
    <w:rsid w:val="00807207"/>
    <w:rsid w:val="0080786C"/>
    <w:rsid w:val="008079F7"/>
    <w:rsid w:val="00807D0D"/>
    <w:rsid w:val="00807D3F"/>
    <w:rsid w:val="00807EB5"/>
    <w:rsid w:val="00810185"/>
    <w:rsid w:val="008102D3"/>
    <w:rsid w:val="008102EC"/>
    <w:rsid w:val="00810300"/>
    <w:rsid w:val="00810413"/>
    <w:rsid w:val="00810484"/>
    <w:rsid w:val="008104E3"/>
    <w:rsid w:val="008104FA"/>
    <w:rsid w:val="00810616"/>
    <w:rsid w:val="00810797"/>
    <w:rsid w:val="00810886"/>
    <w:rsid w:val="008109EB"/>
    <w:rsid w:val="00810A1C"/>
    <w:rsid w:val="00810AE8"/>
    <w:rsid w:val="00810B2E"/>
    <w:rsid w:val="00810B74"/>
    <w:rsid w:val="00810B83"/>
    <w:rsid w:val="00810C61"/>
    <w:rsid w:val="00810C75"/>
    <w:rsid w:val="00810CAB"/>
    <w:rsid w:val="00810F95"/>
    <w:rsid w:val="008110A5"/>
    <w:rsid w:val="008110C5"/>
    <w:rsid w:val="008113E8"/>
    <w:rsid w:val="00811404"/>
    <w:rsid w:val="00811471"/>
    <w:rsid w:val="00811593"/>
    <w:rsid w:val="008115AE"/>
    <w:rsid w:val="0081166E"/>
    <w:rsid w:val="0081170B"/>
    <w:rsid w:val="00811832"/>
    <w:rsid w:val="0081192E"/>
    <w:rsid w:val="00811A45"/>
    <w:rsid w:val="00811AE8"/>
    <w:rsid w:val="00811AF3"/>
    <w:rsid w:val="00811BE6"/>
    <w:rsid w:val="00811C68"/>
    <w:rsid w:val="00811DCA"/>
    <w:rsid w:val="00811DF2"/>
    <w:rsid w:val="008120CC"/>
    <w:rsid w:val="008122DF"/>
    <w:rsid w:val="00812404"/>
    <w:rsid w:val="0081255B"/>
    <w:rsid w:val="008125CE"/>
    <w:rsid w:val="008126D4"/>
    <w:rsid w:val="00812748"/>
    <w:rsid w:val="008127FF"/>
    <w:rsid w:val="0081295E"/>
    <w:rsid w:val="00812A05"/>
    <w:rsid w:val="00812EB4"/>
    <w:rsid w:val="00813036"/>
    <w:rsid w:val="0081304F"/>
    <w:rsid w:val="00813196"/>
    <w:rsid w:val="00813243"/>
    <w:rsid w:val="00813471"/>
    <w:rsid w:val="008134C1"/>
    <w:rsid w:val="00813630"/>
    <w:rsid w:val="00813736"/>
    <w:rsid w:val="00813875"/>
    <w:rsid w:val="0081395B"/>
    <w:rsid w:val="00813AD7"/>
    <w:rsid w:val="00813B9D"/>
    <w:rsid w:val="00813BA8"/>
    <w:rsid w:val="00813C0C"/>
    <w:rsid w:val="00813D16"/>
    <w:rsid w:val="00813D79"/>
    <w:rsid w:val="008141F2"/>
    <w:rsid w:val="00814208"/>
    <w:rsid w:val="0081426F"/>
    <w:rsid w:val="00814276"/>
    <w:rsid w:val="008142E8"/>
    <w:rsid w:val="0081433A"/>
    <w:rsid w:val="008143EA"/>
    <w:rsid w:val="00814442"/>
    <w:rsid w:val="0081480F"/>
    <w:rsid w:val="00814901"/>
    <w:rsid w:val="008149A9"/>
    <w:rsid w:val="008149BE"/>
    <w:rsid w:val="008149DF"/>
    <w:rsid w:val="00814A0F"/>
    <w:rsid w:val="00814C35"/>
    <w:rsid w:val="00814D8F"/>
    <w:rsid w:val="00814E9E"/>
    <w:rsid w:val="00814F47"/>
    <w:rsid w:val="008150E9"/>
    <w:rsid w:val="008151B6"/>
    <w:rsid w:val="0081532E"/>
    <w:rsid w:val="008157F5"/>
    <w:rsid w:val="008157FE"/>
    <w:rsid w:val="00815802"/>
    <w:rsid w:val="00815905"/>
    <w:rsid w:val="00815998"/>
    <w:rsid w:val="008159B1"/>
    <w:rsid w:val="008159D2"/>
    <w:rsid w:val="00815ABA"/>
    <w:rsid w:val="00815B35"/>
    <w:rsid w:val="00815E67"/>
    <w:rsid w:val="00815EDB"/>
    <w:rsid w:val="00815F42"/>
    <w:rsid w:val="00815F63"/>
    <w:rsid w:val="00815F8C"/>
    <w:rsid w:val="0081635D"/>
    <w:rsid w:val="008163D7"/>
    <w:rsid w:val="00816450"/>
    <w:rsid w:val="00816585"/>
    <w:rsid w:val="0081662F"/>
    <w:rsid w:val="008166E4"/>
    <w:rsid w:val="008168C9"/>
    <w:rsid w:val="008168CC"/>
    <w:rsid w:val="00816A29"/>
    <w:rsid w:val="00816AA7"/>
    <w:rsid w:val="00816D2F"/>
    <w:rsid w:val="00817051"/>
    <w:rsid w:val="0081744D"/>
    <w:rsid w:val="008174DC"/>
    <w:rsid w:val="008175EF"/>
    <w:rsid w:val="0081764C"/>
    <w:rsid w:val="008176BB"/>
    <w:rsid w:val="00817710"/>
    <w:rsid w:val="00817736"/>
    <w:rsid w:val="00817742"/>
    <w:rsid w:val="008177AC"/>
    <w:rsid w:val="008177B2"/>
    <w:rsid w:val="00817946"/>
    <w:rsid w:val="00817A26"/>
    <w:rsid w:val="00817A49"/>
    <w:rsid w:val="00817A62"/>
    <w:rsid w:val="00817AA2"/>
    <w:rsid w:val="00817AC9"/>
    <w:rsid w:val="00817C05"/>
    <w:rsid w:val="00817C75"/>
    <w:rsid w:val="00817D0B"/>
    <w:rsid w:val="00817D47"/>
    <w:rsid w:val="00817EC8"/>
    <w:rsid w:val="00817F5A"/>
    <w:rsid w:val="00820067"/>
    <w:rsid w:val="0082006D"/>
    <w:rsid w:val="0082016D"/>
    <w:rsid w:val="00820200"/>
    <w:rsid w:val="008204CC"/>
    <w:rsid w:val="008207B4"/>
    <w:rsid w:val="0082089C"/>
    <w:rsid w:val="008208B4"/>
    <w:rsid w:val="008209B6"/>
    <w:rsid w:val="00820A9C"/>
    <w:rsid w:val="00820C1E"/>
    <w:rsid w:val="00820D08"/>
    <w:rsid w:val="00820D58"/>
    <w:rsid w:val="00820EFB"/>
    <w:rsid w:val="00820F37"/>
    <w:rsid w:val="00820FB1"/>
    <w:rsid w:val="00820FBF"/>
    <w:rsid w:val="0082100C"/>
    <w:rsid w:val="008210CD"/>
    <w:rsid w:val="00821268"/>
    <w:rsid w:val="008212DC"/>
    <w:rsid w:val="0082130C"/>
    <w:rsid w:val="008213A6"/>
    <w:rsid w:val="00821585"/>
    <w:rsid w:val="008217A3"/>
    <w:rsid w:val="00821829"/>
    <w:rsid w:val="00821A06"/>
    <w:rsid w:val="00821A48"/>
    <w:rsid w:val="00821BBB"/>
    <w:rsid w:val="00821DAE"/>
    <w:rsid w:val="00821ED5"/>
    <w:rsid w:val="00821F1E"/>
    <w:rsid w:val="00822078"/>
    <w:rsid w:val="0082208A"/>
    <w:rsid w:val="008220A5"/>
    <w:rsid w:val="00822182"/>
    <w:rsid w:val="008223F2"/>
    <w:rsid w:val="008224E6"/>
    <w:rsid w:val="00822801"/>
    <w:rsid w:val="00822A42"/>
    <w:rsid w:val="00822AF8"/>
    <w:rsid w:val="00822B16"/>
    <w:rsid w:val="00822BE0"/>
    <w:rsid w:val="00822CC0"/>
    <w:rsid w:val="00822E78"/>
    <w:rsid w:val="00822F76"/>
    <w:rsid w:val="00823059"/>
    <w:rsid w:val="008230E6"/>
    <w:rsid w:val="00823206"/>
    <w:rsid w:val="00823257"/>
    <w:rsid w:val="008232AE"/>
    <w:rsid w:val="008233BB"/>
    <w:rsid w:val="008234C7"/>
    <w:rsid w:val="0082355F"/>
    <w:rsid w:val="00823560"/>
    <w:rsid w:val="00823588"/>
    <w:rsid w:val="0082366E"/>
    <w:rsid w:val="008237C0"/>
    <w:rsid w:val="008237C6"/>
    <w:rsid w:val="008238A1"/>
    <w:rsid w:val="00823AE3"/>
    <w:rsid w:val="00823C29"/>
    <w:rsid w:val="00823D2C"/>
    <w:rsid w:val="00823D7C"/>
    <w:rsid w:val="00823DEF"/>
    <w:rsid w:val="00823ED8"/>
    <w:rsid w:val="0082409B"/>
    <w:rsid w:val="0082415F"/>
    <w:rsid w:val="0082419A"/>
    <w:rsid w:val="008245C4"/>
    <w:rsid w:val="00824641"/>
    <w:rsid w:val="0082484E"/>
    <w:rsid w:val="008248EC"/>
    <w:rsid w:val="00824A15"/>
    <w:rsid w:val="00824A3B"/>
    <w:rsid w:val="00824B70"/>
    <w:rsid w:val="00824BD0"/>
    <w:rsid w:val="00824C4C"/>
    <w:rsid w:val="00824DD3"/>
    <w:rsid w:val="00824F03"/>
    <w:rsid w:val="008250A0"/>
    <w:rsid w:val="008250EC"/>
    <w:rsid w:val="00825535"/>
    <w:rsid w:val="00825582"/>
    <w:rsid w:val="008255DB"/>
    <w:rsid w:val="0082577D"/>
    <w:rsid w:val="00825836"/>
    <w:rsid w:val="00825B67"/>
    <w:rsid w:val="00825C09"/>
    <w:rsid w:val="00825E94"/>
    <w:rsid w:val="00825EB1"/>
    <w:rsid w:val="0082607D"/>
    <w:rsid w:val="0082608F"/>
    <w:rsid w:val="0082655D"/>
    <w:rsid w:val="0082657A"/>
    <w:rsid w:val="0082660F"/>
    <w:rsid w:val="00826696"/>
    <w:rsid w:val="008266A5"/>
    <w:rsid w:val="00826A5B"/>
    <w:rsid w:val="00826A5E"/>
    <w:rsid w:val="00826B45"/>
    <w:rsid w:val="00826BCE"/>
    <w:rsid w:val="00826CD3"/>
    <w:rsid w:val="0082703C"/>
    <w:rsid w:val="00827239"/>
    <w:rsid w:val="0082728E"/>
    <w:rsid w:val="0082730E"/>
    <w:rsid w:val="008273A8"/>
    <w:rsid w:val="00827433"/>
    <w:rsid w:val="008275BB"/>
    <w:rsid w:val="008276B0"/>
    <w:rsid w:val="008277B3"/>
    <w:rsid w:val="008278DD"/>
    <w:rsid w:val="00827901"/>
    <w:rsid w:val="00827C10"/>
    <w:rsid w:val="00827CD1"/>
    <w:rsid w:val="00827D05"/>
    <w:rsid w:val="00827DDD"/>
    <w:rsid w:val="00827E2D"/>
    <w:rsid w:val="008300A5"/>
    <w:rsid w:val="0083028C"/>
    <w:rsid w:val="00830345"/>
    <w:rsid w:val="0083046E"/>
    <w:rsid w:val="00830564"/>
    <w:rsid w:val="008305EC"/>
    <w:rsid w:val="008306A8"/>
    <w:rsid w:val="00830728"/>
    <w:rsid w:val="008307DB"/>
    <w:rsid w:val="00830994"/>
    <w:rsid w:val="008309E8"/>
    <w:rsid w:val="008309F9"/>
    <w:rsid w:val="00830AD6"/>
    <w:rsid w:val="00830C39"/>
    <w:rsid w:val="00830E7C"/>
    <w:rsid w:val="00830F11"/>
    <w:rsid w:val="00830FD6"/>
    <w:rsid w:val="00830FFE"/>
    <w:rsid w:val="0083105C"/>
    <w:rsid w:val="00831192"/>
    <w:rsid w:val="008312ED"/>
    <w:rsid w:val="00831418"/>
    <w:rsid w:val="00831560"/>
    <w:rsid w:val="008316A2"/>
    <w:rsid w:val="00831A7E"/>
    <w:rsid w:val="00831A8C"/>
    <w:rsid w:val="00831AA8"/>
    <w:rsid w:val="00831AC3"/>
    <w:rsid w:val="00831B57"/>
    <w:rsid w:val="00831CD4"/>
    <w:rsid w:val="00831D3E"/>
    <w:rsid w:val="00831DC8"/>
    <w:rsid w:val="00831DD0"/>
    <w:rsid w:val="0083208F"/>
    <w:rsid w:val="0083213A"/>
    <w:rsid w:val="00832398"/>
    <w:rsid w:val="008323BA"/>
    <w:rsid w:val="00832510"/>
    <w:rsid w:val="008325AA"/>
    <w:rsid w:val="008325F1"/>
    <w:rsid w:val="008325FD"/>
    <w:rsid w:val="0083268C"/>
    <w:rsid w:val="00832799"/>
    <w:rsid w:val="008327EB"/>
    <w:rsid w:val="00832839"/>
    <w:rsid w:val="008328A4"/>
    <w:rsid w:val="008328BE"/>
    <w:rsid w:val="008329B7"/>
    <w:rsid w:val="00832A86"/>
    <w:rsid w:val="00832AC9"/>
    <w:rsid w:val="00832C94"/>
    <w:rsid w:val="00832D23"/>
    <w:rsid w:val="00832D53"/>
    <w:rsid w:val="00832DCE"/>
    <w:rsid w:val="00832E51"/>
    <w:rsid w:val="00832EE7"/>
    <w:rsid w:val="00832F21"/>
    <w:rsid w:val="00832FA0"/>
    <w:rsid w:val="00832FD8"/>
    <w:rsid w:val="00833315"/>
    <w:rsid w:val="00833330"/>
    <w:rsid w:val="00833361"/>
    <w:rsid w:val="008334F8"/>
    <w:rsid w:val="0083359E"/>
    <w:rsid w:val="008336C6"/>
    <w:rsid w:val="008337AB"/>
    <w:rsid w:val="008338EB"/>
    <w:rsid w:val="00833A2B"/>
    <w:rsid w:val="00833AAD"/>
    <w:rsid w:val="00833C61"/>
    <w:rsid w:val="00833C90"/>
    <w:rsid w:val="00833CA3"/>
    <w:rsid w:val="00833E94"/>
    <w:rsid w:val="00833F17"/>
    <w:rsid w:val="00833F3C"/>
    <w:rsid w:val="00833FDD"/>
    <w:rsid w:val="00834284"/>
    <w:rsid w:val="00834291"/>
    <w:rsid w:val="0083430A"/>
    <w:rsid w:val="00834373"/>
    <w:rsid w:val="0083439C"/>
    <w:rsid w:val="008343F7"/>
    <w:rsid w:val="00834417"/>
    <w:rsid w:val="0083454C"/>
    <w:rsid w:val="008347C3"/>
    <w:rsid w:val="00834937"/>
    <w:rsid w:val="00834A01"/>
    <w:rsid w:val="00834B28"/>
    <w:rsid w:val="00834B4C"/>
    <w:rsid w:val="00834BAE"/>
    <w:rsid w:val="00834C05"/>
    <w:rsid w:val="00834D95"/>
    <w:rsid w:val="00834D9B"/>
    <w:rsid w:val="00834E4C"/>
    <w:rsid w:val="00834E79"/>
    <w:rsid w:val="00834F16"/>
    <w:rsid w:val="00834F6D"/>
    <w:rsid w:val="00834FF5"/>
    <w:rsid w:val="00835169"/>
    <w:rsid w:val="008352B4"/>
    <w:rsid w:val="0083541F"/>
    <w:rsid w:val="00835596"/>
    <w:rsid w:val="008357BF"/>
    <w:rsid w:val="00835803"/>
    <w:rsid w:val="008358D0"/>
    <w:rsid w:val="00835A26"/>
    <w:rsid w:val="00835D2B"/>
    <w:rsid w:val="00835DF2"/>
    <w:rsid w:val="00836129"/>
    <w:rsid w:val="0083616F"/>
    <w:rsid w:val="0083628E"/>
    <w:rsid w:val="008363BF"/>
    <w:rsid w:val="008364A8"/>
    <w:rsid w:val="00836508"/>
    <w:rsid w:val="00836611"/>
    <w:rsid w:val="00836827"/>
    <w:rsid w:val="008368C5"/>
    <w:rsid w:val="00836A4F"/>
    <w:rsid w:val="00836B12"/>
    <w:rsid w:val="00836BDF"/>
    <w:rsid w:val="00836C29"/>
    <w:rsid w:val="00836CEB"/>
    <w:rsid w:val="00836D12"/>
    <w:rsid w:val="00836F73"/>
    <w:rsid w:val="00837018"/>
    <w:rsid w:val="00837086"/>
    <w:rsid w:val="008370DA"/>
    <w:rsid w:val="00837137"/>
    <w:rsid w:val="00837198"/>
    <w:rsid w:val="0083744C"/>
    <w:rsid w:val="00837475"/>
    <w:rsid w:val="008374DE"/>
    <w:rsid w:val="0083755A"/>
    <w:rsid w:val="00837790"/>
    <w:rsid w:val="00837950"/>
    <w:rsid w:val="00837B42"/>
    <w:rsid w:val="00837CE3"/>
    <w:rsid w:val="00837E2A"/>
    <w:rsid w:val="00840036"/>
    <w:rsid w:val="008401AC"/>
    <w:rsid w:val="00840200"/>
    <w:rsid w:val="00840294"/>
    <w:rsid w:val="00840354"/>
    <w:rsid w:val="008403C8"/>
    <w:rsid w:val="008403DA"/>
    <w:rsid w:val="00840407"/>
    <w:rsid w:val="00840496"/>
    <w:rsid w:val="008405B7"/>
    <w:rsid w:val="00840602"/>
    <w:rsid w:val="00840703"/>
    <w:rsid w:val="008408D7"/>
    <w:rsid w:val="00840A2A"/>
    <w:rsid w:val="00840AA3"/>
    <w:rsid w:val="00840C40"/>
    <w:rsid w:val="00840C4A"/>
    <w:rsid w:val="00840C8D"/>
    <w:rsid w:val="00840CD5"/>
    <w:rsid w:val="00840D24"/>
    <w:rsid w:val="00840DCC"/>
    <w:rsid w:val="00840DD2"/>
    <w:rsid w:val="00840DFB"/>
    <w:rsid w:val="00840EF7"/>
    <w:rsid w:val="00840F0A"/>
    <w:rsid w:val="00840F6D"/>
    <w:rsid w:val="0084103D"/>
    <w:rsid w:val="0084114A"/>
    <w:rsid w:val="00841210"/>
    <w:rsid w:val="008412CF"/>
    <w:rsid w:val="00841976"/>
    <w:rsid w:val="00841AC4"/>
    <w:rsid w:val="00841C12"/>
    <w:rsid w:val="00841CD7"/>
    <w:rsid w:val="0084201F"/>
    <w:rsid w:val="0084209C"/>
    <w:rsid w:val="008421E3"/>
    <w:rsid w:val="008422EA"/>
    <w:rsid w:val="00842301"/>
    <w:rsid w:val="00842303"/>
    <w:rsid w:val="00842528"/>
    <w:rsid w:val="008425B7"/>
    <w:rsid w:val="008425EC"/>
    <w:rsid w:val="00842A34"/>
    <w:rsid w:val="00842A5E"/>
    <w:rsid w:val="00842BA7"/>
    <w:rsid w:val="00842F62"/>
    <w:rsid w:val="00842FBA"/>
    <w:rsid w:val="00842FBE"/>
    <w:rsid w:val="00842FF8"/>
    <w:rsid w:val="008432D1"/>
    <w:rsid w:val="00843519"/>
    <w:rsid w:val="008435EF"/>
    <w:rsid w:val="00843645"/>
    <w:rsid w:val="00843803"/>
    <w:rsid w:val="008438F2"/>
    <w:rsid w:val="0084393D"/>
    <w:rsid w:val="008439DC"/>
    <w:rsid w:val="00843A0D"/>
    <w:rsid w:val="00843A16"/>
    <w:rsid w:val="00843A36"/>
    <w:rsid w:val="00843B2E"/>
    <w:rsid w:val="00843CA6"/>
    <w:rsid w:val="00843E08"/>
    <w:rsid w:val="008441EC"/>
    <w:rsid w:val="008442D2"/>
    <w:rsid w:val="0084475D"/>
    <w:rsid w:val="0084489D"/>
    <w:rsid w:val="00844A19"/>
    <w:rsid w:val="00844A71"/>
    <w:rsid w:val="00844BD8"/>
    <w:rsid w:val="00844F9E"/>
    <w:rsid w:val="0084509B"/>
    <w:rsid w:val="0084522D"/>
    <w:rsid w:val="0084523C"/>
    <w:rsid w:val="00845408"/>
    <w:rsid w:val="00845483"/>
    <w:rsid w:val="0084567A"/>
    <w:rsid w:val="00845710"/>
    <w:rsid w:val="008457F9"/>
    <w:rsid w:val="008458EB"/>
    <w:rsid w:val="00845994"/>
    <w:rsid w:val="00845A4A"/>
    <w:rsid w:val="00845ADE"/>
    <w:rsid w:val="00845AF7"/>
    <w:rsid w:val="00845B62"/>
    <w:rsid w:val="00845BE0"/>
    <w:rsid w:val="00845ECB"/>
    <w:rsid w:val="00845ED5"/>
    <w:rsid w:val="008464A2"/>
    <w:rsid w:val="00846514"/>
    <w:rsid w:val="008466C6"/>
    <w:rsid w:val="008466EF"/>
    <w:rsid w:val="00846941"/>
    <w:rsid w:val="00846976"/>
    <w:rsid w:val="00846999"/>
    <w:rsid w:val="00846A9A"/>
    <w:rsid w:val="00846B49"/>
    <w:rsid w:val="00846E63"/>
    <w:rsid w:val="00846EF6"/>
    <w:rsid w:val="00846F1A"/>
    <w:rsid w:val="00846F80"/>
    <w:rsid w:val="0084707E"/>
    <w:rsid w:val="00847085"/>
    <w:rsid w:val="008470AC"/>
    <w:rsid w:val="008470EE"/>
    <w:rsid w:val="0084715F"/>
    <w:rsid w:val="0084728D"/>
    <w:rsid w:val="00847424"/>
    <w:rsid w:val="0084748B"/>
    <w:rsid w:val="008474D6"/>
    <w:rsid w:val="00847651"/>
    <w:rsid w:val="0084777A"/>
    <w:rsid w:val="00847AEE"/>
    <w:rsid w:val="00847C80"/>
    <w:rsid w:val="00847CCB"/>
    <w:rsid w:val="00847CE9"/>
    <w:rsid w:val="00847DE1"/>
    <w:rsid w:val="00850071"/>
    <w:rsid w:val="008500D8"/>
    <w:rsid w:val="00850181"/>
    <w:rsid w:val="00850195"/>
    <w:rsid w:val="008501DB"/>
    <w:rsid w:val="00850264"/>
    <w:rsid w:val="0085058B"/>
    <w:rsid w:val="00850647"/>
    <w:rsid w:val="00850669"/>
    <w:rsid w:val="00850805"/>
    <w:rsid w:val="0085080C"/>
    <w:rsid w:val="00850A9F"/>
    <w:rsid w:val="00850CEB"/>
    <w:rsid w:val="00850D26"/>
    <w:rsid w:val="00850D86"/>
    <w:rsid w:val="00850FD9"/>
    <w:rsid w:val="0085104C"/>
    <w:rsid w:val="00851340"/>
    <w:rsid w:val="0085140E"/>
    <w:rsid w:val="008514D8"/>
    <w:rsid w:val="00851630"/>
    <w:rsid w:val="008516FE"/>
    <w:rsid w:val="0085170E"/>
    <w:rsid w:val="008517E5"/>
    <w:rsid w:val="00851801"/>
    <w:rsid w:val="00851931"/>
    <w:rsid w:val="00851A30"/>
    <w:rsid w:val="00851B5D"/>
    <w:rsid w:val="00851B70"/>
    <w:rsid w:val="00851BCB"/>
    <w:rsid w:val="00851BE0"/>
    <w:rsid w:val="00851C0E"/>
    <w:rsid w:val="00851C3B"/>
    <w:rsid w:val="00851DE0"/>
    <w:rsid w:val="00851E13"/>
    <w:rsid w:val="00851F4B"/>
    <w:rsid w:val="0085224A"/>
    <w:rsid w:val="008522DC"/>
    <w:rsid w:val="0085247E"/>
    <w:rsid w:val="0085258F"/>
    <w:rsid w:val="00852592"/>
    <w:rsid w:val="008525D2"/>
    <w:rsid w:val="008525D4"/>
    <w:rsid w:val="00852630"/>
    <w:rsid w:val="008526CD"/>
    <w:rsid w:val="0085272E"/>
    <w:rsid w:val="0085278F"/>
    <w:rsid w:val="00852975"/>
    <w:rsid w:val="008529F1"/>
    <w:rsid w:val="00852B38"/>
    <w:rsid w:val="00852C21"/>
    <w:rsid w:val="00852D38"/>
    <w:rsid w:val="00852D3A"/>
    <w:rsid w:val="00852D82"/>
    <w:rsid w:val="00852E2D"/>
    <w:rsid w:val="00852F12"/>
    <w:rsid w:val="00852F7B"/>
    <w:rsid w:val="008530B0"/>
    <w:rsid w:val="00853256"/>
    <w:rsid w:val="008532A2"/>
    <w:rsid w:val="0085344A"/>
    <w:rsid w:val="008534BE"/>
    <w:rsid w:val="00853628"/>
    <w:rsid w:val="00853647"/>
    <w:rsid w:val="008537C3"/>
    <w:rsid w:val="008537C9"/>
    <w:rsid w:val="00853A06"/>
    <w:rsid w:val="00853B4D"/>
    <w:rsid w:val="00853BD8"/>
    <w:rsid w:val="00853D78"/>
    <w:rsid w:val="00854087"/>
    <w:rsid w:val="00854194"/>
    <w:rsid w:val="0085419F"/>
    <w:rsid w:val="0085440B"/>
    <w:rsid w:val="0085456E"/>
    <w:rsid w:val="008545DA"/>
    <w:rsid w:val="00854605"/>
    <w:rsid w:val="00854681"/>
    <w:rsid w:val="00854697"/>
    <w:rsid w:val="008547B7"/>
    <w:rsid w:val="008547ED"/>
    <w:rsid w:val="00854828"/>
    <w:rsid w:val="008548CC"/>
    <w:rsid w:val="00854B44"/>
    <w:rsid w:val="00855000"/>
    <w:rsid w:val="00855067"/>
    <w:rsid w:val="008551AE"/>
    <w:rsid w:val="008551BA"/>
    <w:rsid w:val="008552A9"/>
    <w:rsid w:val="008552E6"/>
    <w:rsid w:val="00855306"/>
    <w:rsid w:val="00855407"/>
    <w:rsid w:val="008554BE"/>
    <w:rsid w:val="00855597"/>
    <w:rsid w:val="008555BF"/>
    <w:rsid w:val="00855697"/>
    <w:rsid w:val="00855727"/>
    <w:rsid w:val="0085578B"/>
    <w:rsid w:val="008558DD"/>
    <w:rsid w:val="008558E0"/>
    <w:rsid w:val="00855A09"/>
    <w:rsid w:val="00855B4D"/>
    <w:rsid w:val="00855E4F"/>
    <w:rsid w:val="00855FEA"/>
    <w:rsid w:val="00856167"/>
    <w:rsid w:val="008565C4"/>
    <w:rsid w:val="00856700"/>
    <w:rsid w:val="00856763"/>
    <w:rsid w:val="00856809"/>
    <w:rsid w:val="00856901"/>
    <w:rsid w:val="008569FA"/>
    <w:rsid w:val="00856B37"/>
    <w:rsid w:val="00856E7C"/>
    <w:rsid w:val="00856F30"/>
    <w:rsid w:val="00857117"/>
    <w:rsid w:val="0085721F"/>
    <w:rsid w:val="00857299"/>
    <w:rsid w:val="008573FE"/>
    <w:rsid w:val="0085742F"/>
    <w:rsid w:val="00857516"/>
    <w:rsid w:val="008575DD"/>
    <w:rsid w:val="008575FD"/>
    <w:rsid w:val="00857694"/>
    <w:rsid w:val="008576D3"/>
    <w:rsid w:val="008577BF"/>
    <w:rsid w:val="00857901"/>
    <w:rsid w:val="0085798D"/>
    <w:rsid w:val="008579B4"/>
    <w:rsid w:val="00857A02"/>
    <w:rsid w:val="00857D08"/>
    <w:rsid w:val="00857ECA"/>
    <w:rsid w:val="00857F63"/>
    <w:rsid w:val="00857F76"/>
    <w:rsid w:val="00860127"/>
    <w:rsid w:val="0086012D"/>
    <w:rsid w:val="00860228"/>
    <w:rsid w:val="0086025E"/>
    <w:rsid w:val="00860348"/>
    <w:rsid w:val="008603F1"/>
    <w:rsid w:val="0086044F"/>
    <w:rsid w:val="008606F9"/>
    <w:rsid w:val="00860800"/>
    <w:rsid w:val="00860882"/>
    <w:rsid w:val="008609DD"/>
    <w:rsid w:val="00860A56"/>
    <w:rsid w:val="00860A95"/>
    <w:rsid w:val="00860ABE"/>
    <w:rsid w:val="00860B22"/>
    <w:rsid w:val="00860B8B"/>
    <w:rsid w:val="00860C54"/>
    <w:rsid w:val="00860C80"/>
    <w:rsid w:val="00860CDA"/>
    <w:rsid w:val="00860D06"/>
    <w:rsid w:val="00860D60"/>
    <w:rsid w:val="00860E51"/>
    <w:rsid w:val="00860EBC"/>
    <w:rsid w:val="00861024"/>
    <w:rsid w:val="00861029"/>
    <w:rsid w:val="008612C3"/>
    <w:rsid w:val="008612C8"/>
    <w:rsid w:val="00861434"/>
    <w:rsid w:val="0086157D"/>
    <w:rsid w:val="008615E0"/>
    <w:rsid w:val="00861647"/>
    <w:rsid w:val="0086165D"/>
    <w:rsid w:val="00861882"/>
    <w:rsid w:val="008618BF"/>
    <w:rsid w:val="008618C4"/>
    <w:rsid w:val="00861919"/>
    <w:rsid w:val="008619DA"/>
    <w:rsid w:val="00861A32"/>
    <w:rsid w:val="00861ADF"/>
    <w:rsid w:val="00861B49"/>
    <w:rsid w:val="00861B7D"/>
    <w:rsid w:val="00861BBD"/>
    <w:rsid w:val="00861BE0"/>
    <w:rsid w:val="00861D31"/>
    <w:rsid w:val="00861DA9"/>
    <w:rsid w:val="00861EC0"/>
    <w:rsid w:val="00861FF1"/>
    <w:rsid w:val="008620B4"/>
    <w:rsid w:val="00862126"/>
    <w:rsid w:val="0086225A"/>
    <w:rsid w:val="008622A7"/>
    <w:rsid w:val="00862318"/>
    <w:rsid w:val="00862361"/>
    <w:rsid w:val="008624B6"/>
    <w:rsid w:val="008626CC"/>
    <w:rsid w:val="008626FF"/>
    <w:rsid w:val="00862837"/>
    <w:rsid w:val="00862839"/>
    <w:rsid w:val="0086291B"/>
    <w:rsid w:val="00862BAC"/>
    <w:rsid w:val="00862C8C"/>
    <w:rsid w:val="00862CB1"/>
    <w:rsid w:val="00862CFE"/>
    <w:rsid w:val="00862DC1"/>
    <w:rsid w:val="008630CA"/>
    <w:rsid w:val="008631F4"/>
    <w:rsid w:val="00863308"/>
    <w:rsid w:val="0086333B"/>
    <w:rsid w:val="00863519"/>
    <w:rsid w:val="00863651"/>
    <w:rsid w:val="008636A8"/>
    <w:rsid w:val="008637FD"/>
    <w:rsid w:val="0086380C"/>
    <w:rsid w:val="00863A5F"/>
    <w:rsid w:val="00863AA2"/>
    <w:rsid w:val="00863ACE"/>
    <w:rsid w:val="00863B7A"/>
    <w:rsid w:val="00863CC4"/>
    <w:rsid w:val="00863DDF"/>
    <w:rsid w:val="00863EBA"/>
    <w:rsid w:val="00863F2A"/>
    <w:rsid w:val="0086402D"/>
    <w:rsid w:val="008641C3"/>
    <w:rsid w:val="0086422D"/>
    <w:rsid w:val="00864302"/>
    <w:rsid w:val="00864363"/>
    <w:rsid w:val="008643DE"/>
    <w:rsid w:val="008644C0"/>
    <w:rsid w:val="00864644"/>
    <w:rsid w:val="00864645"/>
    <w:rsid w:val="008647EA"/>
    <w:rsid w:val="0086486D"/>
    <w:rsid w:val="00864B5B"/>
    <w:rsid w:val="00864E24"/>
    <w:rsid w:val="00864F6E"/>
    <w:rsid w:val="008650D2"/>
    <w:rsid w:val="00865133"/>
    <w:rsid w:val="00865141"/>
    <w:rsid w:val="00865312"/>
    <w:rsid w:val="00865648"/>
    <w:rsid w:val="0086568D"/>
    <w:rsid w:val="00865706"/>
    <w:rsid w:val="00865886"/>
    <w:rsid w:val="008658DD"/>
    <w:rsid w:val="008659E1"/>
    <w:rsid w:val="00865A12"/>
    <w:rsid w:val="00865A2E"/>
    <w:rsid w:val="00865AE3"/>
    <w:rsid w:val="00865B56"/>
    <w:rsid w:val="00865B7D"/>
    <w:rsid w:val="00865D00"/>
    <w:rsid w:val="00866126"/>
    <w:rsid w:val="0086630B"/>
    <w:rsid w:val="00866395"/>
    <w:rsid w:val="008663FB"/>
    <w:rsid w:val="0086649C"/>
    <w:rsid w:val="008665EF"/>
    <w:rsid w:val="008667D4"/>
    <w:rsid w:val="008668F7"/>
    <w:rsid w:val="00866A96"/>
    <w:rsid w:val="00866BEF"/>
    <w:rsid w:val="00867019"/>
    <w:rsid w:val="00867063"/>
    <w:rsid w:val="008670D7"/>
    <w:rsid w:val="00867117"/>
    <w:rsid w:val="008671B4"/>
    <w:rsid w:val="0086727C"/>
    <w:rsid w:val="008672A8"/>
    <w:rsid w:val="008672B0"/>
    <w:rsid w:val="008672C7"/>
    <w:rsid w:val="0086732A"/>
    <w:rsid w:val="00867355"/>
    <w:rsid w:val="00867459"/>
    <w:rsid w:val="00867515"/>
    <w:rsid w:val="008675AD"/>
    <w:rsid w:val="00867626"/>
    <w:rsid w:val="00867649"/>
    <w:rsid w:val="008676A8"/>
    <w:rsid w:val="00867719"/>
    <w:rsid w:val="008677BF"/>
    <w:rsid w:val="00867841"/>
    <w:rsid w:val="00867955"/>
    <w:rsid w:val="008679BD"/>
    <w:rsid w:val="00867AA2"/>
    <w:rsid w:val="00867B16"/>
    <w:rsid w:val="00870004"/>
    <w:rsid w:val="00870037"/>
    <w:rsid w:val="00870086"/>
    <w:rsid w:val="00870115"/>
    <w:rsid w:val="008701E4"/>
    <w:rsid w:val="00870550"/>
    <w:rsid w:val="00870593"/>
    <w:rsid w:val="0087066B"/>
    <w:rsid w:val="00870692"/>
    <w:rsid w:val="0087079A"/>
    <w:rsid w:val="00870863"/>
    <w:rsid w:val="00870866"/>
    <w:rsid w:val="00870A15"/>
    <w:rsid w:val="00870AF7"/>
    <w:rsid w:val="00870D36"/>
    <w:rsid w:val="00870D78"/>
    <w:rsid w:val="00870E0F"/>
    <w:rsid w:val="00870FEC"/>
    <w:rsid w:val="0087150E"/>
    <w:rsid w:val="00871761"/>
    <w:rsid w:val="00871ABB"/>
    <w:rsid w:val="00871D41"/>
    <w:rsid w:val="00872170"/>
    <w:rsid w:val="008722A8"/>
    <w:rsid w:val="00872338"/>
    <w:rsid w:val="00872489"/>
    <w:rsid w:val="0087251B"/>
    <w:rsid w:val="008725B6"/>
    <w:rsid w:val="008725C2"/>
    <w:rsid w:val="008727DB"/>
    <w:rsid w:val="00872862"/>
    <w:rsid w:val="00872A20"/>
    <w:rsid w:val="00872A9F"/>
    <w:rsid w:val="00872AA1"/>
    <w:rsid w:val="00872B15"/>
    <w:rsid w:val="00872DA2"/>
    <w:rsid w:val="00872DC2"/>
    <w:rsid w:val="00872E3A"/>
    <w:rsid w:val="00872FC9"/>
    <w:rsid w:val="00872FE2"/>
    <w:rsid w:val="00873009"/>
    <w:rsid w:val="0087301B"/>
    <w:rsid w:val="0087321D"/>
    <w:rsid w:val="008732D3"/>
    <w:rsid w:val="00873471"/>
    <w:rsid w:val="008735EE"/>
    <w:rsid w:val="0087385A"/>
    <w:rsid w:val="0087394F"/>
    <w:rsid w:val="008739C7"/>
    <w:rsid w:val="00873AE5"/>
    <w:rsid w:val="00873C46"/>
    <w:rsid w:val="00873E2A"/>
    <w:rsid w:val="00873E3E"/>
    <w:rsid w:val="00874007"/>
    <w:rsid w:val="0087443A"/>
    <w:rsid w:val="0087448A"/>
    <w:rsid w:val="00874528"/>
    <w:rsid w:val="00874683"/>
    <w:rsid w:val="0087469C"/>
    <w:rsid w:val="008746DD"/>
    <w:rsid w:val="00874866"/>
    <w:rsid w:val="00874883"/>
    <w:rsid w:val="008748FA"/>
    <w:rsid w:val="008749C7"/>
    <w:rsid w:val="008749D3"/>
    <w:rsid w:val="00874B44"/>
    <w:rsid w:val="00874CDC"/>
    <w:rsid w:val="00874D22"/>
    <w:rsid w:val="00874E86"/>
    <w:rsid w:val="00874EFF"/>
    <w:rsid w:val="00874F38"/>
    <w:rsid w:val="00874F5A"/>
    <w:rsid w:val="00875086"/>
    <w:rsid w:val="008751FE"/>
    <w:rsid w:val="00875267"/>
    <w:rsid w:val="0087567C"/>
    <w:rsid w:val="008756F1"/>
    <w:rsid w:val="00875887"/>
    <w:rsid w:val="00875909"/>
    <w:rsid w:val="00875918"/>
    <w:rsid w:val="00875ACF"/>
    <w:rsid w:val="00875B34"/>
    <w:rsid w:val="00875D01"/>
    <w:rsid w:val="00875E0E"/>
    <w:rsid w:val="00875E27"/>
    <w:rsid w:val="00876021"/>
    <w:rsid w:val="0087606F"/>
    <w:rsid w:val="00876175"/>
    <w:rsid w:val="008762C5"/>
    <w:rsid w:val="0087659C"/>
    <w:rsid w:val="0087674A"/>
    <w:rsid w:val="008767CD"/>
    <w:rsid w:val="008768B8"/>
    <w:rsid w:val="00876973"/>
    <w:rsid w:val="008769F7"/>
    <w:rsid w:val="00876A2A"/>
    <w:rsid w:val="00876A93"/>
    <w:rsid w:val="00876A9D"/>
    <w:rsid w:val="00876DCE"/>
    <w:rsid w:val="008770EF"/>
    <w:rsid w:val="0087715C"/>
    <w:rsid w:val="00877178"/>
    <w:rsid w:val="00877245"/>
    <w:rsid w:val="00877438"/>
    <w:rsid w:val="008774A0"/>
    <w:rsid w:val="00877510"/>
    <w:rsid w:val="00877789"/>
    <w:rsid w:val="0087783C"/>
    <w:rsid w:val="008778A7"/>
    <w:rsid w:val="00877A1F"/>
    <w:rsid w:val="00877BE6"/>
    <w:rsid w:val="00877CCA"/>
    <w:rsid w:val="00877CE6"/>
    <w:rsid w:val="00877DD4"/>
    <w:rsid w:val="00877DE5"/>
    <w:rsid w:val="00877EC8"/>
    <w:rsid w:val="00877F1A"/>
    <w:rsid w:val="00877F72"/>
    <w:rsid w:val="00877FA1"/>
    <w:rsid w:val="00877FAB"/>
    <w:rsid w:val="00877FB4"/>
    <w:rsid w:val="00877FFE"/>
    <w:rsid w:val="00880043"/>
    <w:rsid w:val="00880280"/>
    <w:rsid w:val="008804BE"/>
    <w:rsid w:val="008808B5"/>
    <w:rsid w:val="00880946"/>
    <w:rsid w:val="008809EA"/>
    <w:rsid w:val="00880DB6"/>
    <w:rsid w:val="00881040"/>
    <w:rsid w:val="0088105F"/>
    <w:rsid w:val="00881118"/>
    <w:rsid w:val="00881156"/>
    <w:rsid w:val="00881227"/>
    <w:rsid w:val="0088185A"/>
    <w:rsid w:val="00881869"/>
    <w:rsid w:val="00881929"/>
    <w:rsid w:val="00881987"/>
    <w:rsid w:val="00881AD8"/>
    <w:rsid w:val="00881B73"/>
    <w:rsid w:val="00881BFE"/>
    <w:rsid w:val="00881D12"/>
    <w:rsid w:val="00881D17"/>
    <w:rsid w:val="00881D8E"/>
    <w:rsid w:val="00881E56"/>
    <w:rsid w:val="00881F05"/>
    <w:rsid w:val="00881F36"/>
    <w:rsid w:val="00881F99"/>
    <w:rsid w:val="00881FC1"/>
    <w:rsid w:val="00881FE8"/>
    <w:rsid w:val="0088209C"/>
    <w:rsid w:val="008820E4"/>
    <w:rsid w:val="00882105"/>
    <w:rsid w:val="00882271"/>
    <w:rsid w:val="0088235B"/>
    <w:rsid w:val="008823A3"/>
    <w:rsid w:val="008823D2"/>
    <w:rsid w:val="008824BD"/>
    <w:rsid w:val="00882521"/>
    <w:rsid w:val="008827C0"/>
    <w:rsid w:val="00882977"/>
    <w:rsid w:val="00882A36"/>
    <w:rsid w:val="00882D98"/>
    <w:rsid w:val="00882F14"/>
    <w:rsid w:val="008831C8"/>
    <w:rsid w:val="0088323A"/>
    <w:rsid w:val="008832AA"/>
    <w:rsid w:val="0088339C"/>
    <w:rsid w:val="0088368A"/>
    <w:rsid w:val="008836F6"/>
    <w:rsid w:val="008837FE"/>
    <w:rsid w:val="008838C1"/>
    <w:rsid w:val="00883A03"/>
    <w:rsid w:val="00883B75"/>
    <w:rsid w:val="00883CF7"/>
    <w:rsid w:val="00883DBA"/>
    <w:rsid w:val="00883F36"/>
    <w:rsid w:val="00884056"/>
    <w:rsid w:val="0088419B"/>
    <w:rsid w:val="0088421F"/>
    <w:rsid w:val="0088431E"/>
    <w:rsid w:val="00884378"/>
    <w:rsid w:val="0088453E"/>
    <w:rsid w:val="008845C3"/>
    <w:rsid w:val="0088471E"/>
    <w:rsid w:val="008847AC"/>
    <w:rsid w:val="008849F5"/>
    <w:rsid w:val="00884AC3"/>
    <w:rsid w:val="00884D41"/>
    <w:rsid w:val="00884E74"/>
    <w:rsid w:val="00884EBD"/>
    <w:rsid w:val="00885012"/>
    <w:rsid w:val="0088503C"/>
    <w:rsid w:val="008852E1"/>
    <w:rsid w:val="00885301"/>
    <w:rsid w:val="0088537C"/>
    <w:rsid w:val="008853B9"/>
    <w:rsid w:val="008853C6"/>
    <w:rsid w:val="008853CA"/>
    <w:rsid w:val="00885431"/>
    <w:rsid w:val="0088545A"/>
    <w:rsid w:val="008855D7"/>
    <w:rsid w:val="00885604"/>
    <w:rsid w:val="00885689"/>
    <w:rsid w:val="008856B8"/>
    <w:rsid w:val="008858D1"/>
    <w:rsid w:val="00885C77"/>
    <w:rsid w:val="00885CE6"/>
    <w:rsid w:val="00885DBA"/>
    <w:rsid w:val="00885F5D"/>
    <w:rsid w:val="00885F9B"/>
    <w:rsid w:val="00886162"/>
    <w:rsid w:val="0088627A"/>
    <w:rsid w:val="00886696"/>
    <w:rsid w:val="008866DF"/>
    <w:rsid w:val="008867B1"/>
    <w:rsid w:val="00886826"/>
    <w:rsid w:val="00886A47"/>
    <w:rsid w:val="00886B89"/>
    <w:rsid w:val="00886D05"/>
    <w:rsid w:val="00886D45"/>
    <w:rsid w:val="00886DA1"/>
    <w:rsid w:val="00886DC0"/>
    <w:rsid w:val="008870B7"/>
    <w:rsid w:val="0088733C"/>
    <w:rsid w:val="008873C6"/>
    <w:rsid w:val="008873E1"/>
    <w:rsid w:val="00887457"/>
    <w:rsid w:val="00887563"/>
    <w:rsid w:val="0088772B"/>
    <w:rsid w:val="00887772"/>
    <w:rsid w:val="0088777A"/>
    <w:rsid w:val="0088799E"/>
    <w:rsid w:val="00887A3E"/>
    <w:rsid w:val="00887AF9"/>
    <w:rsid w:val="00887BB6"/>
    <w:rsid w:val="00887BDD"/>
    <w:rsid w:val="00887C77"/>
    <w:rsid w:val="00887D1C"/>
    <w:rsid w:val="00887E50"/>
    <w:rsid w:val="00890149"/>
    <w:rsid w:val="00890260"/>
    <w:rsid w:val="00890487"/>
    <w:rsid w:val="008904F0"/>
    <w:rsid w:val="0089065A"/>
    <w:rsid w:val="00890A1F"/>
    <w:rsid w:val="00890A34"/>
    <w:rsid w:val="00890A38"/>
    <w:rsid w:val="00890CD3"/>
    <w:rsid w:val="00890E56"/>
    <w:rsid w:val="00890F35"/>
    <w:rsid w:val="00891022"/>
    <w:rsid w:val="00891452"/>
    <w:rsid w:val="00891B10"/>
    <w:rsid w:val="00891BF4"/>
    <w:rsid w:val="00891C9E"/>
    <w:rsid w:val="00891DDE"/>
    <w:rsid w:val="00891E5A"/>
    <w:rsid w:val="00891F0F"/>
    <w:rsid w:val="00891FD1"/>
    <w:rsid w:val="00892268"/>
    <w:rsid w:val="0089229A"/>
    <w:rsid w:val="008923A2"/>
    <w:rsid w:val="0089261D"/>
    <w:rsid w:val="008926A3"/>
    <w:rsid w:val="008927C0"/>
    <w:rsid w:val="0089281E"/>
    <w:rsid w:val="00892867"/>
    <w:rsid w:val="0089291A"/>
    <w:rsid w:val="0089291E"/>
    <w:rsid w:val="0089292F"/>
    <w:rsid w:val="00892A9C"/>
    <w:rsid w:val="00892B5C"/>
    <w:rsid w:val="00892CF1"/>
    <w:rsid w:val="00892D96"/>
    <w:rsid w:val="00892DBE"/>
    <w:rsid w:val="00892E35"/>
    <w:rsid w:val="0089315F"/>
    <w:rsid w:val="008932C4"/>
    <w:rsid w:val="00893449"/>
    <w:rsid w:val="00893471"/>
    <w:rsid w:val="00893491"/>
    <w:rsid w:val="008936FE"/>
    <w:rsid w:val="0089370F"/>
    <w:rsid w:val="00893760"/>
    <w:rsid w:val="008937E5"/>
    <w:rsid w:val="00893A07"/>
    <w:rsid w:val="00893DE0"/>
    <w:rsid w:val="00893EAA"/>
    <w:rsid w:val="00893F81"/>
    <w:rsid w:val="008941A8"/>
    <w:rsid w:val="00894262"/>
    <w:rsid w:val="0089430B"/>
    <w:rsid w:val="00894353"/>
    <w:rsid w:val="00894596"/>
    <w:rsid w:val="00894701"/>
    <w:rsid w:val="00894880"/>
    <w:rsid w:val="008948F4"/>
    <w:rsid w:val="00894A37"/>
    <w:rsid w:val="00894AAA"/>
    <w:rsid w:val="00894D44"/>
    <w:rsid w:val="00894D7F"/>
    <w:rsid w:val="00894F1F"/>
    <w:rsid w:val="00894F28"/>
    <w:rsid w:val="00895004"/>
    <w:rsid w:val="008950CA"/>
    <w:rsid w:val="0089512D"/>
    <w:rsid w:val="0089516A"/>
    <w:rsid w:val="008951B2"/>
    <w:rsid w:val="0089524E"/>
    <w:rsid w:val="008954C0"/>
    <w:rsid w:val="0089558C"/>
    <w:rsid w:val="0089559A"/>
    <w:rsid w:val="008956E9"/>
    <w:rsid w:val="008957F5"/>
    <w:rsid w:val="008958A8"/>
    <w:rsid w:val="0089592F"/>
    <w:rsid w:val="008959CA"/>
    <w:rsid w:val="00895ADF"/>
    <w:rsid w:val="00895BE6"/>
    <w:rsid w:val="00895CA9"/>
    <w:rsid w:val="00895DD7"/>
    <w:rsid w:val="00895E1F"/>
    <w:rsid w:val="00895EA1"/>
    <w:rsid w:val="00895EE4"/>
    <w:rsid w:val="00895EF1"/>
    <w:rsid w:val="00896042"/>
    <w:rsid w:val="00896094"/>
    <w:rsid w:val="008961B2"/>
    <w:rsid w:val="008961D1"/>
    <w:rsid w:val="008961E7"/>
    <w:rsid w:val="00896219"/>
    <w:rsid w:val="00896244"/>
    <w:rsid w:val="008962DD"/>
    <w:rsid w:val="008963EE"/>
    <w:rsid w:val="008964AC"/>
    <w:rsid w:val="008964C3"/>
    <w:rsid w:val="00896584"/>
    <w:rsid w:val="0089658A"/>
    <w:rsid w:val="008965CB"/>
    <w:rsid w:val="008965D1"/>
    <w:rsid w:val="00896803"/>
    <w:rsid w:val="00896942"/>
    <w:rsid w:val="00896B6A"/>
    <w:rsid w:val="00896BFA"/>
    <w:rsid w:val="00896C82"/>
    <w:rsid w:val="00896D57"/>
    <w:rsid w:val="00896DEF"/>
    <w:rsid w:val="00896E3A"/>
    <w:rsid w:val="00896EB1"/>
    <w:rsid w:val="00897265"/>
    <w:rsid w:val="0089726D"/>
    <w:rsid w:val="00897354"/>
    <w:rsid w:val="0089748C"/>
    <w:rsid w:val="008974AF"/>
    <w:rsid w:val="008977C1"/>
    <w:rsid w:val="0089780C"/>
    <w:rsid w:val="008978DC"/>
    <w:rsid w:val="0089794F"/>
    <w:rsid w:val="00897A14"/>
    <w:rsid w:val="00897C6E"/>
    <w:rsid w:val="00897D19"/>
    <w:rsid w:val="00897D21"/>
    <w:rsid w:val="00897DEE"/>
    <w:rsid w:val="008A0143"/>
    <w:rsid w:val="008A0322"/>
    <w:rsid w:val="008A05C7"/>
    <w:rsid w:val="008A0742"/>
    <w:rsid w:val="008A07AA"/>
    <w:rsid w:val="008A08DB"/>
    <w:rsid w:val="008A08F4"/>
    <w:rsid w:val="008A0BD0"/>
    <w:rsid w:val="008A0BFA"/>
    <w:rsid w:val="008A0D20"/>
    <w:rsid w:val="008A0E79"/>
    <w:rsid w:val="008A0EAB"/>
    <w:rsid w:val="008A0ECA"/>
    <w:rsid w:val="008A0F79"/>
    <w:rsid w:val="008A1055"/>
    <w:rsid w:val="008A1161"/>
    <w:rsid w:val="008A119E"/>
    <w:rsid w:val="008A1236"/>
    <w:rsid w:val="008A1264"/>
    <w:rsid w:val="008A1456"/>
    <w:rsid w:val="008A14CB"/>
    <w:rsid w:val="008A15C4"/>
    <w:rsid w:val="008A17C9"/>
    <w:rsid w:val="008A17F6"/>
    <w:rsid w:val="008A17F9"/>
    <w:rsid w:val="008A18A1"/>
    <w:rsid w:val="008A1B79"/>
    <w:rsid w:val="008A1BCB"/>
    <w:rsid w:val="008A1C1F"/>
    <w:rsid w:val="008A1C30"/>
    <w:rsid w:val="008A1EDC"/>
    <w:rsid w:val="008A1F40"/>
    <w:rsid w:val="008A22AC"/>
    <w:rsid w:val="008A2364"/>
    <w:rsid w:val="008A2366"/>
    <w:rsid w:val="008A242A"/>
    <w:rsid w:val="008A272F"/>
    <w:rsid w:val="008A2914"/>
    <w:rsid w:val="008A2AB0"/>
    <w:rsid w:val="008A2D91"/>
    <w:rsid w:val="008A30CB"/>
    <w:rsid w:val="008A31A3"/>
    <w:rsid w:val="008A31BB"/>
    <w:rsid w:val="008A320C"/>
    <w:rsid w:val="008A3237"/>
    <w:rsid w:val="008A34C6"/>
    <w:rsid w:val="008A353E"/>
    <w:rsid w:val="008A35A6"/>
    <w:rsid w:val="008A3604"/>
    <w:rsid w:val="008A36F3"/>
    <w:rsid w:val="008A3717"/>
    <w:rsid w:val="008A38FC"/>
    <w:rsid w:val="008A3BB5"/>
    <w:rsid w:val="008A3FF1"/>
    <w:rsid w:val="008A3FFF"/>
    <w:rsid w:val="008A41F0"/>
    <w:rsid w:val="008A41FB"/>
    <w:rsid w:val="008A42F7"/>
    <w:rsid w:val="008A43D6"/>
    <w:rsid w:val="008A491E"/>
    <w:rsid w:val="008A4A79"/>
    <w:rsid w:val="008A4ABD"/>
    <w:rsid w:val="008A4B4E"/>
    <w:rsid w:val="008A4E36"/>
    <w:rsid w:val="008A4E3E"/>
    <w:rsid w:val="008A4E50"/>
    <w:rsid w:val="008A4F29"/>
    <w:rsid w:val="008A5009"/>
    <w:rsid w:val="008A5133"/>
    <w:rsid w:val="008A513D"/>
    <w:rsid w:val="008A51ED"/>
    <w:rsid w:val="008A5335"/>
    <w:rsid w:val="008A5351"/>
    <w:rsid w:val="008A537C"/>
    <w:rsid w:val="008A55C4"/>
    <w:rsid w:val="008A55D6"/>
    <w:rsid w:val="008A568C"/>
    <w:rsid w:val="008A5720"/>
    <w:rsid w:val="008A5D00"/>
    <w:rsid w:val="008A5EE5"/>
    <w:rsid w:val="008A5F21"/>
    <w:rsid w:val="008A5FDC"/>
    <w:rsid w:val="008A60FA"/>
    <w:rsid w:val="008A6115"/>
    <w:rsid w:val="008A6434"/>
    <w:rsid w:val="008A64B1"/>
    <w:rsid w:val="008A6879"/>
    <w:rsid w:val="008A68AD"/>
    <w:rsid w:val="008A692E"/>
    <w:rsid w:val="008A69D9"/>
    <w:rsid w:val="008A69DB"/>
    <w:rsid w:val="008A6B7F"/>
    <w:rsid w:val="008A6DC0"/>
    <w:rsid w:val="008A6DE9"/>
    <w:rsid w:val="008A6EE7"/>
    <w:rsid w:val="008A6FF3"/>
    <w:rsid w:val="008A7019"/>
    <w:rsid w:val="008A70AD"/>
    <w:rsid w:val="008A7237"/>
    <w:rsid w:val="008A7532"/>
    <w:rsid w:val="008A7607"/>
    <w:rsid w:val="008A78A8"/>
    <w:rsid w:val="008A78DC"/>
    <w:rsid w:val="008A7906"/>
    <w:rsid w:val="008A799E"/>
    <w:rsid w:val="008A79E0"/>
    <w:rsid w:val="008A7B8D"/>
    <w:rsid w:val="008A7BD1"/>
    <w:rsid w:val="008A7EAF"/>
    <w:rsid w:val="008A7EF2"/>
    <w:rsid w:val="008AC0BE"/>
    <w:rsid w:val="008B007B"/>
    <w:rsid w:val="008B0090"/>
    <w:rsid w:val="008B0127"/>
    <w:rsid w:val="008B0207"/>
    <w:rsid w:val="008B0233"/>
    <w:rsid w:val="008B024D"/>
    <w:rsid w:val="008B0305"/>
    <w:rsid w:val="008B0374"/>
    <w:rsid w:val="008B048B"/>
    <w:rsid w:val="008B06C5"/>
    <w:rsid w:val="008B0724"/>
    <w:rsid w:val="008B073E"/>
    <w:rsid w:val="008B08F9"/>
    <w:rsid w:val="008B09BA"/>
    <w:rsid w:val="008B0AAA"/>
    <w:rsid w:val="008B0B35"/>
    <w:rsid w:val="008B1321"/>
    <w:rsid w:val="008B152F"/>
    <w:rsid w:val="008B1662"/>
    <w:rsid w:val="008B17A9"/>
    <w:rsid w:val="008B192B"/>
    <w:rsid w:val="008B1B00"/>
    <w:rsid w:val="008B1B22"/>
    <w:rsid w:val="008B1B3F"/>
    <w:rsid w:val="008B1B4C"/>
    <w:rsid w:val="008B1BE7"/>
    <w:rsid w:val="008B1C00"/>
    <w:rsid w:val="008B1C23"/>
    <w:rsid w:val="008B1F3B"/>
    <w:rsid w:val="008B1F6E"/>
    <w:rsid w:val="008B1FA0"/>
    <w:rsid w:val="008B212A"/>
    <w:rsid w:val="008B21D5"/>
    <w:rsid w:val="008B26B1"/>
    <w:rsid w:val="008B27CD"/>
    <w:rsid w:val="008B27E9"/>
    <w:rsid w:val="008B2819"/>
    <w:rsid w:val="008B2955"/>
    <w:rsid w:val="008B2BBD"/>
    <w:rsid w:val="008B2C3C"/>
    <w:rsid w:val="008B2C40"/>
    <w:rsid w:val="008B2C65"/>
    <w:rsid w:val="008B2C70"/>
    <w:rsid w:val="008B2D69"/>
    <w:rsid w:val="008B2D9E"/>
    <w:rsid w:val="008B2E71"/>
    <w:rsid w:val="008B2FFD"/>
    <w:rsid w:val="008B31AE"/>
    <w:rsid w:val="008B31CA"/>
    <w:rsid w:val="008B31F1"/>
    <w:rsid w:val="008B3231"/>
    <w:rsid w:val="008B33D5"/>
    <w:rsid w:val="008B3541"/>
    <w:rsid w:val="008B359E"/>
    <w:rsid w:val="008B3608"/>
    <w:rsid w:val="008B3675"/>
    <w:rsid w:val="008B36D5"/>
    <w:rsid w:val="008B3825"/>
    <w:rsid w:val="008B3882"/>
    <w:rsid w:val="008B38F0"/>
    <w:rsid w:val="008B3917"/>
    <w:rsid w:val="008B3A0A"/>
    <w:rsid w:val="008B3B32"/>
    <w:rsid w:val="008B3C6D"/>
    <w:rsid w:val="008B3C71"/>
    <w:rsid w:val="008B3DA8"/>
    <w:rsid w:val="008B3DBF"/>
    <w:rsid w:val="008B3E69"/>
    <w:rsid w:val="008B4040"/>
    <w:rsid w:val="008B406D"/>
    <w:rsid w:val="008B42C6"/>
    <w:rsid w:val="008B431B"/>
    <w:rsid w:val="008B4339"/>
    <w:rsid w:val="008B44BE"/>
    <w:rsid w:val="008B4672"/>
    <w:rsid w:val="008B4711"/>
    <w:rsid w:val="008B4719"/>
    <w:rsid w:val="008B4765"/>
    <w:rsid w:val="008B486C"/>
    <w:rsid w:val="008B49B5"/>
    <w:rsid w:val="008B4B0A"/>
    <w:rsid w:val="008B4CC8"/>
    <w:rsid w:val="008B5071"/>
    <w:rsid w:val="008B509E"/>
    <w:rsid w:val="008B519C"/>
    <w:rsid w:val="008B564D"/>
    <w:rsid w:val="008B5745"/>
    <w:rsid w:val="008B5AA7"/>
    <w:rsid w:val="008B5BE3"/>
    <w:rsid w:val="008B5C0F"/>
    <w:rsid w:val="008B5E0F"/>
    <w:rsid w:val="008B5EF4"/>
    <w:rsid w:val="008B607B"/>
    <w:rsid w:val="008B60B7"/>
    <w:rsid w:val="008B6270"/>
    <w:rsid w:val="008B62DF"/>
    <w:rsid w:val="008B6404"/>
    <w:rsid w:val="008B64F9"/>
    <w:rsid w:val="008B6804"/>
    <w:rsid w:val="008B69A3"/>
    <w:rsid w:val="008B69D7"/>
    <w:rsid w:val="008B6AAE"/>
    <w:rsid w:val="008B6B06"/>
    <w:rsid w:val="008B6B3C"/>
    <w:rsid w:val="008B6BCA"/>
    <w:rsid w:val="008B6C59"/>
    <w:rsid w:val="008B6F14"/>
    <w:rsid w:val="008B6FD0"/>
    <w:rsid w:val="008B71BF"/>
    <w:rsid w:val="008B7212"/>
    <w:rsid w:val="008B72EA"/>
    <w:rsid w:val="008B73EE"/>
    <w:rsid w:val="008B741C"/>
    <w:rsid w:val="008B771A"/>
    <w:rsid w:val="008B78DA"/>
    <w:rsid w:val="008B7C95"/>
    <w:rsid w:val="008B7E6B"/>
    <w:rsid w:val="008B7EF3"/>
    <w:rsid w:val="008B7EF7"/>
    <w:rsid w:val="008B7F20"/>
    <w:rsid w:val="008C0001"/>
    <w:rsid w:val="008C0072"/>
    <w:rsid w:val="008C00DA"/>
    <w:rsid w:val="008C00DB"/>
    <w:rsid w:val="008C01B9"/>
    <w:rsid w:val="008C065E"/>
    <w:rsid w:val="008C066F"/>
    <w:rsid w:val="008C0713"/>
    <w:rsid w:val="008C080C"/>
    <w:rsid w:val="008C088B"/>
    <w:rsid w:val="008C08CF"/>
    <w:rsid w:val="008C0ACE"/>
    <w:rsid w:val="008C0ACF"/>
    <w:rsid w:val="008C0B18"/>
    <w:rsid w:val="008C0BF2"/>
    <w:rsid w:val="008C0D70"/>
    <w:rsid w:val="008C0DEB"/>
    <w:rsid w:val="008C0F2E"/>
    <w:rsid w:val="008C10FA"/>
    <w:rsid w:val="008C1133"/>
    <w:rsid w:val="008C1358"/>
    <w:rsid w:val="008C158F"/>
    <w:rsid w:val="008C1645"/>
    <w:rsid w:val="008C178E"/>
    <w:rsid w:val="008C19B7"/>
    <w:rsid w:val="008C19E7"/>
    <w:rsid w:val="008C1B40"/>
    <w:rsid w:val="008C1B8B"/>
    <w:rsid w:val="008C1CD6"/>
    <w:rsid w:val="008C1E00"/>
    <w:rsid w:val="008C1E32"/>
    <w:rsid w:val="008C1E9B"/>
    <w:rsid w:val="008C1F7F"/>
    <w:rsid w:val="008C1F95"/>
    <w:rsid w:val="008C1FB7"/>
    <w:rsid w:val="008C1FCE"/>
    <w:rsid w:val="008C205A"/>
    <w:rsid w:val="008C2090"/>
    <w:rsid w:val="008C20A0"/>
    <w:rsid w:val="008C2245"/>
    <w:rsid w:val="008C2507"/>
    <w:rsid w:val="008C2518"/>
    <w:rsid w:val="008C26B7"/>
    <w:rsid w:val="008C2A23"/>
    <w:rsid w:val="008C2BF0"/>
    <w:rsid w:val="008C2BF2"/>
    <w:rsid w:val="008C2E9D"/>
    <w:rsid w:val="008C2ED9"/>
    <w:rsid w:val="008C32C0"/>
    <w:rsid w:val="008C32C5"/>
    <w:rsid w:val="008C33E8"/>
    <w:rsid w:val="008C3920"/>
    <w:rsid w:val="008C39F9"/>
    <w:rsid w:val="008C3B8A"/>
    <w:rsid w:val="008C3BA7"/>
    <w:rsid w:val="008C3CC3"/>
    <w:rsid w:val="008C3DE8"/>
    <w:rsid w:val="008C3E41"/>
    <w:rsid w:val="008C3E88"/>
    <w:rsid w:val="008C411A"/>
    <w:rsid w:val="008C4220"/>
    <w:rsid w:val="008C433E"/>
    <w:rsid w:val="008C451E"/>
    <w:rsid w:val="008C45DE"/>
    <w:rsid w:val="008C46D8"/>
    <w:rsid w:val="008C4B66"/>
    <w:rsid w:val="008C4B88"/>
    <w:rsid w:val="008C503C"/>
    <w:rsid w:val="008C5119"/>
    <w:rsid w:val="008C517A"/>
    <w:rsid w:val="008C519C"/>
    <w:rsid w:val="008C51B6"/>
    <w:rsid w:val="008C5203"/>
    <w:rsid w:val="008C52A2"/>
    <w:rsid w:val="008C533B"/>
    <w:rsid w:val="008C53B2"/>
    <w:rsid w:val="008C540D"/>
    <w:rsid w:val="008C55C1"/>
    <w:rsid w:val="008C55F1"/>
    <w:rsid w:val="008C5756"/>
    <w:rsid w:val="008C58E9"/>
    <w:rsid w:val="008C59F9"/>
    <w:rsid w:val="008C5B75"/>
    <w:rsid w:val="008C5DEC"/>
    <w:rsid w:val="008C5DFB"/>
    <w:rsid w:val="008C5EC7"/>
    <w:rsid w:val="008C5FCC"/>
    <w:rsid w:val="008C6146"/>
    <w:rsid w:val="008C6624"/>
    <w:rsid w:val="008C66F7"/>
    <w:rsid w:val="008C6867"/>
    <w:rsid w:val="008C68B7"/>
    <w:rsid w:val="008C68CA"/>
    <w:rsid w:val="008C69B0"/>
    <w:rsid w:val="008C69C6"/>
    <w:rsid w:val="008C6AAC"/>
    <w:rsid w:val="008C6B0E"/>
    <w:rsid w:val="008C6B8B"/>
    <w:rsid w:val="008C6BF6"/>
    <w:rsid w:val="008C6C2C"/>
    <w:rsid w:val="008C6C43"/>
    <w:rsid w:val="008C6C49"/>
    <w:rsid w:val="008C6D5D"/>
    <w:rsid w:val="008C71F9"/>
    <w:rsid w:val="008C7253"/>
    <w:rsid w:val="008C7284"/>
    <w:rsid w:val="008C72B6"/>
    <w:rsid w:val="008C72E6"/>
    <w:rsid w:val="008C7417"/>
    <w:rsid w:val="008C7549"/>
    <w:rsid w:val="008C7584"/>
    <w:rsid w:val="008C7695"/>
    <w:rsid w:val="008C770F"/>
    <w:rsid w:val="008C7781"/>
    <w:rsid w:val="008C77F5"/>
    <w:rsid w:val="008C7821"/>
    <w:rsid w:val="008C7B8C"/>
    <w:rsid w:val="008C7C36"/>
    <w:rsid w:val="008C7CEA"/>
    <w:rsid w:val="008C7D31"/>
    <w:rsid w:val="008D0270"/>
    <w:rsid w:val="008D03A7"/>
    <w:rsid w:val="008D045D"/>
    <w:rsid w:val="008D0478"/>
    <w:rsid w:val="008D050B"/>
    <w:rsid w:val="008D05DD"/>
    <w:rsid w:val="008D07F0"/>
    <w:rsid w:val="008D0822"/>
    <w:rsid w:val="008D084A"/>
    <w:rsid w:val="008D098F"/>
    <w:rsid w:val="008D0ABA"/>
    <w:rsid w:val="008D0CE2"/>
    <w:rsid w:val="008D0D7A"/>
    <w:rsid w:val="008D0D9A"/>
    <w:rsid w:val="008D0F03"/>
    <w:rsid w:val="008D0F6A"/>
    <w:rsid w:val="008D145F"/>
    <w:rsid w:val="008D14BB"/>
    <w:rsid w:val="008D170D"/>
    <w:rsid w:val="008D1749"/>
    <w:rsid w:val="008D175E"/>
    <w:rsid w:val="008D1804"/>
    <w:rsid w:val="008D18BA"/>
    <w:rsid w:val="008D1907"/>
    <w:rsid w:val="008D1A9B"/>
    <w:rsid w:val="008D1BE7"/>
    <w:rsid w:val="008D1FB0"/>
    <w:rsid w:val="008D1FF5"/>
    <w:rsid w:val="008D20B3"/>
    <w:rsid w:val="008D21FC"/>
    <w:rsid w:val="008D220F"/>
    <w:rsid w:val="008D228F"/>
    <w:rsid w:val="008D2319"/>
    <w:rsid w:val="008D23CA"/>
    <w:rsid w:val="008D25AE"/>
    <w:rsid w:val="008D27A1"/>
    <w:rsid w:val="008D2859"/>
    <w:rsid w:val="008D2903"/>
    <w:rsid w:val="008D2904"/>
    <w:rsid w:val="008D2AA7"/>
    <w:rsid w:val="008D2C48"/>
    <w:rsid w:val="008D2D7A"/>
    <w:rsid w:val="008D2D9F"/>
    <w:rsid w:val="008D2F34"/>
    <w:rsid w:val="008D2F4C"/>
    <w:rsid w:val="008D30E3"/>
    <w:rsid w:val="008D3119"/>
    <w:rsid w:val="008D3287"/>
    <w:rsid w:val="008D3290"/>
    <w:rsid w:val="008D330A"/>
    <w:rsid w:val="008D335B"/>
    <w:rsid w:val="008D3427"/>
    <w:rsid w:val="008D3489"/>
    <w:rsid w:val="008D3538"/>
    <w:rsid w:val="008D35AC"/>
    <w:rsid w:val="008D3621"/>
    <w:rsid w:val="008D3748"/>
    <w:rsid w:val="008D37E5"/>
    <w:rsid w:val="008D37F9"/>
    <w:rsid w:val="008D3821"/>
    <w:rsid w:val="008D39B4"/>
    <w:rsid w:val="008D3A64"/>
    <w:rsid w:val="008D3AB2"/>
    <w:rsid w:val="008D3BE6"/>
    <w:rsid w:val="008D3CD8"/>
    <w:rsid w:val="008D3D23"/>
    <w:rsid w:val="008D3E1A"/>
    <w:rsid w:val="008D3E54"/>
    <w:rsid w:val="008D3E76"/>
    <w:rsid w:val="008D3EF6"/>
    <w:rsid w:val="008D3F8D"/>
    <w:rsid w:val="008D3FD8"/>
    <w:rsid w:val="008D3FFB"/>
    <w:rsid w:val="008D4197"/>
    <w:rsid w:val="008D41B6"/>
    <w:rsid w:val="008D426A"/>
    <w:rsid w:val="008D43C8"/>
    <w:rsid w:val="008D4476"/>
    <w:rsid w:val="008D47B0"/>
    <w:rsid w:val="008D4A2B"/>
    <w:rsid w:val="008D4B03"/>
    <w:rsid w:val="008D4BC7"/>
    <w:rsid w:val="008D4C67"/>
    <w:rsid w:val="008D4E0F"/>
    <w:rsid w:val="008D4E50"/>
    <w:rsid w:val="008D4F21"/>
    <w:rsid w:val="008D517A"/>
    <w:rsid w:val="008D524F"/>
    <w:rsid w:val="008D52A7"/>
    <w:rsid w:val="008D52CA"/>
    <w:rsid w:val="008D5489"/>
    <w:rsid w:val="008D573F"/>
    <w:rsid w:val="008D57AF"/>
    <w:rsid w:val="008D57BA"/>
    <w:rsid w:val="008D57D3"/>
    <w:rsid w:val="008D57F4"/>
    <w:rsid w:val="008D5813"/>
    <w:rsid w:val="008D58A1"/>
    <w:rsid w:val="008D598F"/>
    <w:rsid w:val="008D5AC7"/>
    <w:rsid w:val="008D5C98"/>
    <w:rsid w:val="008D5F95"/>
    <w:rsid w:val="008D6035"/>
    <w:rsid w:val="008D6307"/>
    <w:rsid w:val="008D6415"/>
    <w:rsid w:val="008D6520"/>
    <w:rsid w:val="008D652D"/>
    <w:rsid w:val="008D65DE"/>
    <w:rsid w:val="008D6689"/>
    <w:rsid w:val="008D6725"/>
    <w:rsid w:val="008D67E8"/>
    <w:rsid w:val="008D6940"/>
    <w:rsid w:val="008D6C8A"/>
    <w:rsid w:val="008D72F1"/>
    <w:rsid w:val="008D736C"/>
    <w:rsid w:val="008D75C9"/>
    <w:rsid w:val="008D76B8"/>
    <w:rsid w:val="008D774A"/>
    <w:rsid w:val="008D77D6"/>
    <w:rsid w:val="008D7A1D"/>
    <w:rsid w:val="008D7B85"/>
    <w:rsid w:val="008D7CAC"/>
    <w:rsid w:val="008D7CB2"/>
    <w:rsid w:val="008D7D2F"/>
    <w:rsid w:val="008D7D5E"/>
    <w:rsid w:val="008D7FB8"/>
    <w:rsid w:val="008E003C"/>
    <w:rsid w:val="008E02BD"/>
    <w:rsid w:val="008E02D1"/>
    <w:rsid w:val="008E03D3"/>
    <w:rsid w:val="008E0579"/>
    <w:rsid w:val="008E05CF"/>
    <w:rsid w:val="008E064A"/>
    <w:rsid w:val="008E06B4"/>
    <w:rsid w:val="008E07CA"/>
    <w:rsid w:val="008E0922"/>
    <w:rsid w:val="008E0924"/>
    <w:rsid w:val="008E0FF6"/>
    <w:rsid w:val="008E1156"/>
    <w:rsid w:val="008E1187"/>
    <w:rsid w:val="008E1206"/>
    <w:rsid w:val="008E120F"/>
    <w:rsid w:val="008E1354"/>
    <w:rsid w:val="008E1379"/>
    <w:rsid w:val="008E13CC"/>
    <w:rsid w:val="008E147E"/>
    <w:rsid w:val="008E1556"/>
    <w:rsid w:val="008E16C0"/>
    <w:rsid w:val="008E16C2"/>
    <w:rsid w:val="008E16FF"/>
    <w:rsid w:val="008E1706"/>
    <w:rsid w:val="008E178F"/>
    <w:rsid w:val="008E1A33"/>
    <w:rsid w:val="008E1A6F"/>
    <w:rsid w:val="008E1ADA"/>
    <w:rsid w:val="008E1D1B"/>
    <w:rsid w:val="008E1D90"/>
    <w:rsid w:val="008E1E15"/>
    <w:rsid w:val="008E1E75"/>
    <w:rsid w:val="008E1EA5"/>
    <w:rsid w:val="008E1ED0"/>
    <w:rsid w:val="008E1F24"/>
    <w:rsid w:val="008E2097"/>
    <w:rsid w:val="008E21FB"/>
    <w:rsid w:val="008E220B"/>
    <w:rsid w:val="008E24EA"/>
    <w:rsid w:val="008E2525"/>
    <w:rsid w:val="008E259B"/>
    <w:rsid w:val="008E2826"/>
    <w:rsid w:val="008E2878"/>
    <w:rsid w:val="008E28EC"/>
    <w:rsid w:val="008E291C"/>
    <w:rsid w:val="008E2B36"/>
    <w:rsid w:val="008E2BD9"/>
    <w:rsid w:val="008E2CA3"/>
    <w:rsid w:val="008E2CE4"/>
    <w:rsid w:val="008E2DB4"/>
    <w:rsid w:val="008E30CB"/>
    <w:rsid w:val="008E31A3"/>
    <w:rsid w:val="008E3310"/>
    <w:rsid w:val="008E3376"/>
    <w:rsid w:val="008E33B7"/>
    <w:rsid w:val="008E341D"/>
    <w:rsid w:val="008E3478"/>
    <w:rsid w:val="008E3525"/>
    <w:rsid w:val="008E3592"/>
    <w:rsid w:val="008E3786"/>
    <w:rsid w:val="008E379C"/>
    <w:rsid w:val="008E3A72"/>
    <w:rsid w:val="008E3AAA"/>
    <w:rsid w:val="008E3ACE"/>
    <w:rsid w:val="008E3B77"/>
    <w:rsid w:val="008E3B8F"/>
    <w:rsid w:val="008E3C9F"/>
    <w:rsid w:val="008E3D9C"/>
    <w:rsid w:val="008E3E2B"/>
    <w:rsid w:val="008E3F82"/>
    <w:rsid w:val="008E4080"/>
    <w:rsid w:val="008E4151"/>
    <w:rsid w:val="008E41FA"/>
    <w:rsid w:val="008E427A"/>
    <w:rsid w:val="008E4446"/>
    <w:rsid w:val="008E445A"/>
    <w:rsid w:val="008E44BA"/>
    <w:rsid w:val="008E458B"/>
    <w:rsid w:val="008E46ED"/>
    <w:rsid w:val="008E4731"/>
    <w:rsid w:val="008E4745"/>
    <w:rsid w:val="008E48A8"/>
    <w:rsid w:val="008E4A00"/>
    <w:rsid w:val="008E4A0A"/>
    <w:rsid w:val="008E4AAF"/>
    <w:rsid w:val="008E4D8E"/>
    <w:rsid w:val="008E4DD0"/>
    <w:rsid w:val="008E4F1C"/>
    <w:rsid w:val="008E50F3"/>
    <w:rsid w:val="008E5181"/>
    <w:rsid w:val="008E537B"/>
    <w:rsid w:val="008E54F8"/>
    <w:rsid w:val="008E5513"/>
    <w:rsid w:val="008E56C1"/>
    <w:rsid w:val="008E56D1"/>
    <w:rsid w:val="008E5726"/>
    <w:rsid w:val="008E5A06"/>
    <w:rsid w:val="008E5AE8"/>
    <w:rsid w:val="008E5B46"/>
    <w:rsid w:val="008E5B7C"/>
    <w:rsid w:val="008E5B86"/>
    <w:rsid w:val="008E5C79"/>
    <w:rsid w:val="008E5E4C"/>
    <w:rsid w:val="008E5E8F"/>
    <w:rsid w:val="008E5F04"/>
    <w:rsid w:val="008E5F91"/>
    <w:rsid w:val="008E603A"/>
    <w:rsid w:val="008E628F"/>
    <w:rsid w:val="008E64B2"/>
    <w:rsid w:val="008E64FB"/>
    <w:rsid w:val="008E6540"/>
    <w:rsid w:val="008E654F"/>
    <w:rsid w:val="008E6819"/>
    <w:rsid w:val="008E6880"/>
    <w:rsid w:val="008E68DE"/>
    <w:rsid w:val="008E6921"/>
    <w:rsid w:val="008E69DE"/>
    <w:rsid w:val="008E6AB7"/>
    <w:rsid w:val="008E6B95"/>
    <w:rsid w:val="008E6BC9"/>
    <w:rsid w:val="008E6C49"/>
    <w:rsid w:val="008E6C55"/>
    <w:rsid w:val="008E6D07"/>
    <w:rsid w:val="008E6D61"/>
    <w:rsid w:val="008E6FBE"/>
    <w:rsid w:val="008E6FC5"/>
    <w:rsid w:val="008E700E"/>
    <w:rsid w:val="008E7098"/>
    <w:rsid w:val="008E712B"/>
    <w:rsid w:val="008E71CC"/>
    <w:rsid w:val="008E7277"/>
    <w:rsid w:val="008E7285"/>
    <w:rsid w:val="008E729C"/>
    <w:rsid w:val="008E73A8"/>
    <w:rsid w:val="008E753D"/>
    <w:rsid w:val="008E767B"/>
    <w:rsid w:val="008E76F3"/>
    <w:rsid w:val="008E78A0"/>
    <w:rsid w:val="008E7924"/>
    <w:rsid w:val="008E7BDE"/>
    <w:rsid w:val="008E7BDF"/>
    <w:rsid w:val="008E7C9B"/>
    <w:rsid w:val="008E7DDC"/>
    <w:rsid w:val="008E7E0E"/>
    <w:rsid w:val="008E7F1E"/>
    <w:rsid w:val="008F0027"/>
    <w:rsid w:val="008F0089"/>
    <w:rsid w:val="008F0220"/>
    <w:rsid w:val="008F02D5"/>
    <w:rsid w:val="008F033D"/>
    <w:rsid w:val="008F039A"/>
    <w:rsid w:val="008F03E4"/>
    <w:rsid w:val="008F0844"/>
    <w:rsid w:val="008F084D"/>
    <w:rsid w:val="008F084E"/>
    <w:rsid w:val="008F08F3"/>
    <w:rsid w:val="008F0AAE"/>
    <w:rsid w:val="008F0AF8"/>
    <w:rsid w:val="008F0C1A"/>
    <w:rsid w:val="008F0CD8"/>
    <w:rsid w:val="008F0E4D"/>
    <w:rsid w:val="008F0EC8"/>
    <w:rsid w:val="008F0F25"/>
    <w:rsid w:val="008F1100"/>
    <w:rsid w:val="008F1196"/>
    <w:rsid w:val="008F11D4"/>
    <w:rsid w:val="008F1369"/>
    <w:rsid w:val="008F13C6"/>
    <w:rsid w:val="008F17C6"/>
    <w:rsid w:val="008F17FB"/>
    <w:rsid w:val="008F1AB6"/>
    <w:rsid w:val="008F1B61"/>
    <w:rsid w:val="008F1C51"/>
    <w:rsid w:val="008F1CE8"/>
    <w:rsid w:val="008F1D7C"/>
    <w:rsid w:val="008F2053"/>
    <w:rsid w:val="008F22E9"/>
    <w:rsid w:val="008F23FC"/>
    <w:rsid w:val="008F24FE"/>
    <w:rsid w:val="008F2692"/>
    <w:rsid w:val="008F26B7"/>
    <w:rsid w:val="008F27C8"/>
    <w:rsid w:val="008F289D"/>
    <w:rsid w:val="008F2915"/>
    <w:rsid w:val="008F29ED"/>
    <w:rsid w:val="008F2A19"/>
    <w:rsid w:val="008F2B56"/>
    <w:rsid w:val="008F2B88"/>
    <w:rsid w:val="008F2BB9"/>
    <w:rsid w:val="008F2C1A"/>
    <w:rsid w:val="008F2D77"/>
    <w:rsid w:val="008F2E74"/>
    <w:rsid w:val="008F2EAE"/>
    <w:rsid w:val="008F2F02"/>
    <w:rsid w:val="008F2FDE"/>
    <w:rsid w:val="008F32DA"/>
    <w:rsid w:val="008F3526"/>
    <w:rsid w:val="008F3636"/>
    <w:rsid w:val="008F3A10"/>
    <w:rsid w:val="008F3A8A"/>
    <w:rsid w:val="008F3B6C"/>
    <w:rsid w:val="008F3BE0"/>
    <w:rsid w:val="008F3C40"/>
    <w:rsid w:val="008F3D99"/>
    <w:rsid w:val="008F3EE2"/>
    <w:rsid w:val="008F3FEB"/>
    <w:rsid w:val="008F40F0"/>
    <w:rsid w:val="008F4213"/>
    <w:rsid w:val="008F43C0"/>
    <w:rsid w:val="008F4678"/>
    <w:rsid w:val="008F4758"/>
    <w:rsid w:val="008F4A7F"/>
    <w:rsid w:val="008F4AE0"/>
    <w:rsid w:val="008F4AEF"/>
    <w:rsid w:val="008F4C57"/>
    <w:rsid w:val="008F4CDF"/>
    <w:rsid w:val="008F4D2C"/>
    <w:rsid w:val="008F4DA8"/>
    <w:rsid w:val="008F4E0A"/>
    <w:rsid w:val="008F4E9C"/>
    <w:rsid w:val="008F50BB"/>
    <w:rsid w:val="008F5160"/>
    <w:rsid w:val="008F529E"/>
    <w:rsid w:val="008F52D1"/>
    <w:rsid w:val="008F594B"/>
    <w:rsid w:val="008F5954"/>
    <w:rsid w:val="008F59C8"/>
    <w:rsid w:val="008F59CB"/>
    <w:rsid w:val="008F5BC4"/>
    <w:rsid w:val="008F5D5A"/>
    <w:rsid w:val="008F5DA9"/>
    <w:rsid w:val="008F5FA1"/>
    <w:rsid w:val="008F62A9"/>
    <w:rsid w:val="008F651D"/>
    <w:rsid w:val="008F6567"/>
    <w:rsid w:val="008F65EC"/>
    <w:rsid w:val="008F660F"/>
    <w:rsid w:val="008F68CC"/>
    <w:rsid w:val="008F68EE"/>
    <w:rsid w:val="008F6923"/>
    <w:rsid w:val="008F69CB"/>
    <w:rsid w:val="008F6B8C"/>
    <w:rsid w:val="008F6BE5"/>
    <w:rsid w:val="008F6BFF"/>
    <w:rsid w:val="008F6C7E"/>
    <w:rsid w:val="008F6DDF"/>
    <w:rsid w:val="008F70B8"/>
    <w:rsid w:val="008F714D"/>
    <w:rsid w:val="008F716D"/>
    <w:rsid w:val="008F7253"/>
    <w:rsid w:val="008F7476"/>
    <w:rsid w:val="008F74E3"/>
    <w:rsid w:val="008F7547"/>
    <w:rsid w:val="008F756D"/>
    <w:rsid w:val="008F75FA"/>
    <w:rsid w:val="008F770F"/>
    <w:rsid w:val="008F7738"/>
    <w:rsid w:val="008F7842"/>
    <w:rsid w:val="008F79A1"/>
    <w:rsid w:val="008F7BAC"/>
    <w:rsid w:val="008F7CFA"/>
    <w:rsid w:val="008F7DE0"/>
    <w:rsid w:val="008F7E1F"/>
    <w:rsid w:val="008F7E35"/>
    <w:rsid w:val="008F7E3B"/>
    <w:rsid w:val="008F7FBB"/>
    <w:rsid w:val="00900100"/>
    <w:rsid w:val="0090014B"/>
    <w:rsid w:val="009004D4"/>
    <w:rsid w:val="0090052C"/>
    <w:rsid w:val="009005B5"/>
    <w:rsid w:val="009006D5"/>
    <w:rsid w:val="009007A1"/>
    <w:rsid w:val="0090080B"/>
    <w:rsid w:val="009008AC"/>
    <w:rsid w:val="00900943"/>
    <w:rsid w:val="009009AB"/>
    <w:rsid w:val="009009E0"/>
    <w:rsid w:val="00900A5B"/>
    <w:rsid w:val="00900D46"/>
    <w:rsid w:val="00900D94"/>
    <w:rsid w:val="00900F7C"/>
    <w:rsid w:val="0090143B"/>
    <w:rsid w:val="00901500"/>
    <w:rsid w:val="009015D2"/>
    <w:rsid w:val="009016B1"/>
    <w:rsid w:val="009016CD"/>
    <w:rsid w:val="00901777"/>
    <w:rsid w:val="00901B9D"/>
    <w:rsid w:val="009021C7"/>
    <w:rsid w:val="0090231E"/>
    <w:rsid w:val="00902426"/>
    <w:rsid w:val="009025CA"/>
    <w:rsid w:val="00902652"/>
    <w:rsid w:val="0090266E"/>
    <w:rsid w:val="0090272E"/>
    <w:rsid w:val="0090276B"/>
    <w:rsid w:val="00902891"/>
    <w:rsid w:val="009029B3"/>
    <w:rsid w:val="00902A37"/>
    <w:rsid w:val="00902BDA"/>
    <w:rsid w:val="00902FE2"/>
    <w:rsid w:val="00903007"/>
    <w:rsid w:val="0090326C"/>
    <w:rsid w:val="0090332D"/>
    <w:rsid w:val="009034CC"/>
    <w:rsid w:val="0090351C"/>
    <w:rsid w:val="009037A0"/>
    <w:rsid w:val="0090386A"/>
    <w:rsid w:val="00903B22"/>
    <w:rsid w:val="00903C61"/>
    <w:rsid w:val="00903D2E"/>
    <w:rsid w:val="00903D71"/>
    <w:rsid w:val="00903DF1"/>
    <w:rsid w:val="00903EA1"/>
    <w:rsid w:val="00903FC3"/>
    <w:rsid w:val="009040D4"/>
    <w:rsid w:val="00904106"/>
    <w:rsid w:val="009043A7"/>
    <w:rsid w:val="009043DA"/>
    <w:rsid w:val="0090443A"/>
    <w:rsid w:val="009045B3"/>
    <w:rsid w:val="009045C6"/>
    <w:rsid w:val="009045E2"/>
    <w:rsid w:val="0090469B"/>
    <w:rsid w:val="009046CD"/>
    <w:rsid w:val="00904713"/>
    <w:rsid w:val="00904725"/>
    <w:rsid w:val="0090474C"/>
    <w:rsid w:val="009048B4"/>
    <w:rsid w:val="009049C1"/>
    <w:rsid w:val="009049EC"/>
    <w:rsid w:val="00904E62"/>
    <w:rsid w:val="00904E66"/>
    <w:rsid w:val="00904FE3"/>
    <w:rsid w:val="00904FF7"/>
    <w:rsid w:val="00905075"/>
    <w:rsid w:val="0090509E"/>
    <w:rsid w:val="00905391"/>
    <w:rsid w:val="009054C9"/>
    <w:rsid w:val="009054D6"/>
    <w:rsid w:val="00905570"/>
    <w:rsid w:val="009055C0"/>
    <w:rsid w:val="0090576D"/>
    <w:rsid w:val="00905BBD"/>
    <w:rsid w:val="00905C03"/>
    <w:rsid w:val="00905CE5"/>
    <w:rsid w:val="00905E77"/>
    <w:rsid w:val="00905E9B"/>
    <w:rsid w:val="00905EF9"/>
    <w:rsid w:val="00905F1A"/>
    <w:rsid w:val="00906247"/>
    <w:rsid w:val="009062AC"/>
    <w:rsid w:val="00906336"/>
    <w:rsid w:val="00906381"/>
    <w:rsid w:val="009063DF"/>
    <w:rsid w:val="009063F1"/>
    <w:rsid w:val="00906455"/>
    <w:rsid w:val="00906469"/>
    <w:rsid w:val="0090654C"/>
    <w:rsid w:val="00906629"/>
    <w:rsid w:val="0090670F"/>
    <w:rsid w:val="00906845"/>
    <w:rsid w:val="009069CB"/>
    <w:rsid w:val="009069D1"/>
    <w:rsid w:val="00906A4A"/>
    <w:rsid w:val="00906AD8"/>
    <w:rsid w:val="00906AE8"/>
    <w:rsid w:val="00906B46"/>
    <w:rsid w:val="00906C3F"/>
    <w:rsid w:val="00906C78"/>
    <w:rsid w:val="00906D20"/>
    <w:rsid w:val="00906EF3"/>
    <w:rsid w:val="00907242"/>
    <w:rsid w:val="00907397"/>
    <w:rsid w:val="0090741A"/>
    <w:rsid w:val="0090757F"/>
    <w:rsid w:val="0090774F"/>
    <w:rsid w:val="009077AB"/>
    <w:rsid w:val="009077B6"/>
    <w:rsid w:val="009079C8"/>
    <w:rsid w:val="00907CB4"/>
    <w:rsid w:val="00907DCF"/>
    <w:rsid w:val="00907DF5"/>
    <w:rsid w:val="00907DFB"/>
    <w:rsid w:val="00907F16"/>
    <w:rsid w:val="00907FE1"/>
    <w:rsid w:val="00910095"/>
    <w:rsid w:val="009100FC"/>
    <w:rsid w:val="009101F9"/>
    <w:rsid w:val="009103FC"/>
    <w:rsid w:val="0091060B"/>
    <w:rsid w:val="009106B7"/>
    <w:rsid w:val="00910760"/>
    <w:rsid w:val="00910788"/>
    <w:rsid w:val="00910825"/>
    <w:rsid w:val="009109E9"/>
    <w:rsid w:val="00910C08"/>
    <w:rsid w:val="00910D89"/>
    <w:rsid w:val="00910D90"/>
    <w:rsid w:val="00910D94"/>
    <w:rsid w:val="00910E31"/>
    <w:rsid w:val="00910FF7"/>
    <w:rsid w:val="009110C0"/>
    <w:rsid w:val="00911164"/>
    <w:rsid w:val="00911180"/>
    <w:rsid w:val="0091128E"/>
    <w:rsid w:val="009113DB"/>
    <w:rsid w:val="00911485"/>
    <w:rsid w:val="0091155E"/>
    <w:rsid w:val="009115C9"/>
    <w:rsid w:val="0091187A"/>
    <w:rsid w:val="0091197B"/>
    <w:rsid w:val="009119EB"/>
    <w:rsid w:val="00911B2C"/>
    <w:rsid w:val="00911B5E"/>
    <w:rsid w:val="00911BD0"/>
    <w:rsid w:val="00911BDF"/>
    <w:rsid w:val="00911C87"/>
    <w:rsid w:val="00911C96"/>
    <w:rsid w:val="00911CA1"/>
    <w:rsid w:val="00912066"/>
    <w:rsid w:val="009120C2"/>
    <w:rsid w:val="00912133"/>
    <w:rsid w:val="009121A0"/>
    <w:rsid w:val="009121FC"/>
    <w:rsid w:val="0091233D"/>
    <w:rsid w:val="0091256A"/>
    <w:rsid w:val="0091256E"/>
    <w:rsid w:val="00912585"/>
    <w:rsid w:val="009128F1"/>
    <w:rsid w:val="00912A1B"/>
    <w:rsid w:val="00912A68"/>
    <w:rsid w:val="00912C7E"/>
    <w:rsid w:val="00912C86"/>
    <w:rsid w:val="00912E58"/>
    <w:rsid w:val="00912F56"/>
    <w:rsid w:val="00912F65"/>
    <w:rsid w:val="00913068"/>
    <w:rsid w:val="0091317C"/>
    <w:rsid w:val="009131F8"/>
    <w:rsid w:val="009134AD"/>
    <w:rsid w:val="009136C5"/>
    <w:rsid w:val="009138F1"/>
    <w:rsid w:val="00913C6F"/>
    <w:rsid w:val="00913CC4"/>
    <w:rsid w:val="00914385"/>
    <w:rsid w:val="00914463"/>
    <w:rsid w:val="0091447E"/>
    <w:rsid w:val="009145BF"/>
    <w:rsid w:val="00914601"/>
    <w:rsid w:val="009146F9"/>
    <w:rsid w:val="009147C3"/>
    <w:rsid w:val="009148E9"/>
    <w:rsid w:val="009148F6"/>
    <w:rsid w:val="00914A53"/>
    <w:rsid w:val="00914AC5"/>
    <w:rsid w:val="00914ACC"/>
    <w:rsid w:val="00914AE8"/>
    <w:rsid w:val="00914B06"/>
    <w:rsid w:val="00914C3E"/>
    <w:rsid w:val="00914DF9"/>
    <w:rsid w:val="00914E36"/>
    <w:rsid w:val="00915053"/>
    <w:rsid w:val="00915213"/>
    <w:rsid w:val="009153C4"/>
    <w:rsid w:val="00915581"/>
    <w:rsid w:val="00915781"/>
    <w:rsid w:val="00915893"/>
    <w:rsid w:val="009158A5"/>
    <w:rsid w:val="0091590E"/>
    <w:rsid w:val="00915933"/>
    <w:rsid w:val="00915966"/>
    <w:rsid w:val="00915B0B"/>
    <w:rsid w:val="00915C5E"/>
    <w:rsid w:val="00915C93"/>
    <w:rsid w:val="00915E6A"/>
    <w:rsid w:val="00915F06"/>
    <w:rsid w:val="0091605E"/>
    <w:rsid w:val="00916071"/>
    <w:rsid w:val="00916114"/>
    <w:rsid w:val="00916338"/>
    <w:rsid w:val="00916339"/>
    <w:rsid w:val="009163FD"/>
    <w:rsid w:val="00916473"/>
    <w:rsid w:val="0091652D"/>
    <w:rsid w:val="0091662E"/>
    <w:rsid w:val="00916711"/>
    <w:rsid w:val="00916743"/>
    <w:rsid w:val="00916A0C"/>
    <w:rsid w:val="00916A46"/>
    <w:rsid w:val="00916AAB"/>
    <w:rsid w:val="00916BAF"/>
    <w:rsid w:val="00916BE3"/>
    <w:rsid w:val="00916DDC"/>
    <w:rsid w:val="00916DE6"/>
    <w:rsid w:val="00916DF8"/>
    <w:rsid w:val="00916E35"/>
    <w:rsid w:val="00916E96"/>
    <w:rsid w:val="00916F2C"/>
    <w:rsid w:val="00916FAC"/>
    <w:rsid w:val="00916FD1"/>
    <w:rsid w:val="00917083"/>
    <w:rsid w:val="009170A4"/>
    <w:rsid w:val="009172A8"/>
    <w:rsid w:val="009172C3"/>
    <w:rsid w:val="0091750E"/>
    <w:rsid w:val="009176D1"/>
    <w:rsid w:val="00917786"/>
    <w:rsid w:val="009177BF"/>
    <w:rsid w:val="009178A7"/>
    <w:rsid w:val="009178CA"/>
    <w:rsid w:val="0091791E"/>
    <w:rsid w:val="00917A51"/>
    <w:rsid w:val="00917EAD"/>
    <w:rsid w:val="00917EC9"/>
    <w:rsid w:val="00917F2B"/>
    <w:rsid w:val="00917F3C"/>
    <w:rsid w:val="009200EA"/>
    <w:rsid w:val="009200ED"/>
    <w:rsid w:val="0092018A"/>
    <w:rsid w:val="009201DA"/>
    <w:rsid w:val="009202EE"/>
    <w:rsid w:val="00920374"/>
    <w:rsid w:val="00920430"/>
    <w:rsid w:val="009205A0"/>
    <w:rsid w:val="00920825"/>
    <w:rsid w:val="00920973"/>
    <w:rsid w:val="00920A22"/>
    <w:rsid w:val="00920A7E"/>
    <w:rsid w:val="00920ABA"/>
    <w:rsid w:val="00920C42"/>
    <w:rsid w:val="00920FBE"/>
    <w:rsid w:val="00921368"/>
    <w:rsid w:val="0092136D"/>
    <w:rsid w:val="009213AA"/>
    <w:rsid w:val="00921484"/>
    <w:rsid w:val="00921549"/>
    <w:rsid w:val="00921682"/>
    <w:rsid w:val="00921935"/>
    <w:rsid w:val="00921D6F"/>
    <w:rsid w:val="00921F8E"/>
    <w:rsid w:val="0092206D"/>
    <w:rsid w:val="00922199"/>
    <w:rsid w:val="009221B8"/>
    <w:rsid w:val="00922202"/>
    <w:rsid w:val="009222A6"/>
    <w:rsid w:val="009227DF"/>
    <w:rsid w:val="00922830"/>
    <w:rsid w:val="00922B5A"/>
    <w:rsid w:val="00922D33"/>
    <w:rsid w:val="00922E34"/>
    <w:rsid w:val="00922EC0"/>
    <w:rsid w:val="00922F06"/>
    <w:rsid w:val="0092305F"/>
    <w:rsid w:val="00923077"/>
    <w:rsid w:val="0092312D"/>
    <w:rsid w:val="009231D6"/>
    <w:rsid w:val="00923938"/>
    <w:rsid w:val="00923A09"/>
    <w:rsid w:val="00923AA1"/>
    <w:rsid w:val="00923AE1"/>
    <w:rsid w:val="00923AE4"/>
    <w:rsid w:val="00923B1A"/>
    <w:rsid w:val="00923B41"/>
    <w:rsid w:val="00923CEE"/>
    <w:rsid w:val="00923E32"/>
    <w:rsid w:val="00923E53"/>
    <w:rsid w:val="00923EB2"/>
    <w:rsid w:val="00923EB9"/>
    <w:rsid w:val="009240CF"/>
    <w:rsid w:val="009241A8"/>
    <w:rsid w:val="0092440B"/>
    <w:rsid w:val="0092464E"/>
    <w:rsid w:val="009246A9"/>
    <w:rsid w:val="0092496B"/>
    <w:rsid w:val="009249E1"/>
    <w:rsid w:val="00924A3D"/>
    <w:rsid w:val="00924AD6"/>
    <w:rsid w:val="00924BB4"/>
    <w:rsid w:val="00924C15"/>
    <w:rsid w:val="00924C40"/>
    <w:rsid w:val="00924C61"/>
    <w:rsid w:val="00924FD1"/>
    <w:rsid w:val="009250BE"/>
    <w:rsid w:val="009252F1"/>
    <w:rsid w:val="009253E1"/>
    <w:rsid w:val="009254BB"/>
    <w:rsid w:val="0092556A"/>
    <w:rsid w:val="00925A60"/>
    <w:rsid w:val="00925B8E"/>
    <w:rsid w:val="00925B91"/>
    <w:rsid w:val="00925C6E"/>
    <w:rsid w:val="00925CC3"/>
    <w:rsid w:val="00925CC4"/>
    <w:rsid w:val="00925E48"/>
    <w:rsid w:val="00925EF1"/>
    <w:rsid w:val="00925EF8"/>
    <w:rsid w:val="00925F24"/>
    <w:rsid w:val="00925F89"/>
    <w:rsid w:val="0092611D"/>
    <w:rsid w:val="00926322"/>
    <w:rsid w:val="009263B5"/>
    <w:rsid w:val="009265C3"/>
    <w:rsid w:val="009265D2"/>
    <w:rsid w:val="009265D3"/>
    <w:rsid w:val="0092674A"/>
    <w:rsid w:val="00926B07"/>
    <w:rsid w:val="00926C51"/>
    <w:rsid w:val="00926D2D"/>
    <w:rsid w:val="00926F65"/>
    <w:rsid w:val="00926FD8"/>
    <w:rsid w:val="00926FE6"/>
    <w:rsid w:val="0092702C"/>
    <w:rsid w:val="00927175"/>
    <w:rsid w:val="009272B5"/>
    <w:rsid w:val="0092768E"/>
    <w:rsid w:val="0092785A"/>
    <w:rsid w:val="009279AE"/>
    <w:rsid w:val="00927C0C"/>
    <w:rsid w:val="00927C3E"/>
    <w:rsid w:val="00927C5A"/>
    <w:rsid w:val="00927CE1"/>
    <w:rsid w:val="00927CE2"/>
    <w:rsid w:val="00927D2C"/>
    <w:rsid w:val="00927D4D"/>
    <w:rsid w:val="00927DB5"/>
    <w:rsid w:val="00927DC0"/>
    <w:rsid w:val="00927DCE"/>
    <w:rsid w:val="00927DEF"/>
    <w:rsid w:val="00927F40"/>
    <w:rsid w:val="00927FD0"/>
    <w:rsid w:val="00930107"/>
    <w:rsid w:val="00930127"/>
    <w:rsid w:val="0093015B"/>
    <w:rsid w:val="009301DD"/>
    <w:rsid w:val="00930255"/>
    <w:rsid w:val="00930305"/>
    <w:rsid w:val="00930424"/>
    <w:rsid w:val="0093044A"/>
    <w:rsid w:val="00930498"/>
    <w:rsid w:val="0093058A"/>
    <w:rsid w:val="009308FF"/>
    <w:rsid w:val="009309D7"/>
    <w:rsid w:val="00930A02"/>
    <w:rsid w:val="00930A21"/>
    <w:rsid w:val="00930A32"/>
    <w:rsid w:val="00930B22"/>
    <w:rsid w:val="00930BDA"/>
    <w:rsid w:val="00930D34"/>
    <w:rsid w:val="00930D71"/>
    <w:rsid w:val="00931045"/>
    <w:rsid w:val="009310A5"/>
    <w:rsid w:val="0093114D"/>
    <w:rsid w:val="00931307"/>
    <w:rsid w:val="0093167E"/>
    <w:rsid w:val="009317E7"/>
    <w:rsid w:val="00931802"/>
    <w:rsid w:val="009319BC"/>
    <w:rsid w:val="00931A00"/>
    <w:rsid w:val="00931A2C"/>
    <w:rsid w:val="00931A7A"/>
    <w:rsid w:val="00931AA0"/>
    <w:rsid w:val="00931B69"/>
    <w:rsid w:val="00931BCF"/>
    <w:rsid w:val="00931C3D"/>
    <w:rsid w:val="00931D87"/>
    <w:rsid w:val="00931E7E"/>
    <w:rsid w:val="00931EAE"/>
    <w:rsid w:val="00931EE1"/>
    <w:rsid w:val="00931FCC"/>
    <w:rsid w:val="009321FA"/>
    <w:rsid w:val="0093224A"/>
    <w:rsid w:val="00932343"/>
    <w:rsid w:val="009323CC"/>
    <w:rsid w:val="00932469"/>
    <w:rsid w:val="009324E2"/>
    <w:rsid w:val="00932513"/>
    <w:rsid w:val="0093251C"/>
    <w:rsid w:val="009326AC"/>
    <w:rsid w:val="009327B3"/>
    <w:rsid w:val="009327F9"/>
    <w:rsid w:val="00932938"/>
    <w:rsid w:val="009329A8"/>
    <w:rsid w:val="009329EF"/>
    <w:rsid w:val="00932A96"/>
    <w:rsid w:val="00932B51"/>
    <w:rsid w:val="00932B7C"/>
    <w:rsid w:val="00932BDE"/>
    <w:rsid w:val="00932C1A"/>
    <w:rsid w:val="00932D5D"/>
    <w:rsid w:val="00932DD4"/>
    <w:rsid w:val="00932F70"/>
    <w:rsid w:val="00932F72"/>
    <w:rsid w:val="00933044"/>
    <w:rsid w:val="0093304C"/>
    <w:rsid w:val="00933072"/>
    <w:rsid w:val="009330D8"/>
    <w:rsid w:val="0093320F"/>
    <w:rsid w:val="00933223"/>
    <w:rsid w:val="0093346B"/>
    <w:rsid w:val="009334A1"/>
    <w:rsid w:val="00933552"/>
    <w:rsid w:val="00933555"/>
    <w:rsid w:val="00933627"/>
    <w:rsid w:val="0093364E"/>
    <w:rsid w:val="009336B2"/>
    <w:rsid w:val="009338D8"/>
    <w:rsid w:val="009339A6"/>
    <w:rsid w:val="00933AC1"/>
    <w:rsid w:val="00933F84"/>
    <w:rsid w:val="00934022"/>
    <w:rsid w:val="00934302"/>
    <w:rsid w:val="00934776"/>
    <w:rsid w:val="00934AD3"/>
    <w:rsid w:val="00934B9F"/>
    <w:rsid w:val="00934BF7"/>
    <w:rsid w:val="00934CDF"/>
    <w:rsid w:val="00934E4B"/>
    <w:rsid w:val="00934F4E"/>
    <w:rsid w:val="00934FFB"/>
    <w:rsid w:val="009350CB"/>
    <w:rsid w:val="00935130"/>
    <w:rsid w:val="009352A9"/>
    <w:rsid w:val="009353B2"/>
    <w:rsid w:val="0093547F"/>
    <w:rsid w:val="0093557B"/>
    <w:rsid w:val="0093593D"/>
    <w:rsid w:val="0093599F"/>
    <w:rsid w:val="00935A5A"/>
    <w:rsid w:val="00935AB3"/>
    <w:rsid w:val="00935C9F"/>
    <w:rsid w:val="00935F2D"/>
    <w:rsid w:val="00935FAF"/>
    <w:rsid w:val="0093608A"/>
    <w:rsid w:val="009361CF"/>
    <w:rsid w:val="0093649D"/>
    <w:rsid w:val="009364E2"/>
    <w:rsid w:val="009365D4"/>
    <w:rsid w:val="00936908"/>
    <w:rsid w:val="0093695F"/>
    <w:rsid w:val="00936A35"/>
    <w:rsid w:val="00936BC0"/>
    <w:rsid w:val="0093714F"/>
    <w:rsid w:val="0093716B"/>
    <w:rsid w:val="00937177"/>
    <w:rsid w:val="0093719B"/>
    <w:rsid w:val="0093726B"/>
    <w:rsid w:val="00937410"/>
    <w:rsid w:val="00937529"/>
    <w:rsid w:val="009375C1"/>
    <w:rsid w:val="00937915"/>
    <w:rsid w:val="00937AA6"/>
    <w:rsid w:val="00937D17"/>
    <w:rsid w:val="00937D42"/>
    <w:rsid w:val="00937DAA"/>
    <w:rsid w:val="00937DE2"/>
    <w:rsid w:val="00937E20"/>
    <w:rsid w:val="00937E4F"/>
    <w:rsid w:val="00937EAE"/>
    <w:rsid w:val="00937FF1"/>
    <w:rsid w:val="009401E3"/>
    <w:rsid w:val="00940479"/>
    <w:rsid w:val="009405B0"/>
    <w:rsid w:val="00940793"/>
    <w:rsid w:val="00940804"/>
    <w:rsid w:val="00940913"/>
    <w:rsid w:val="0094091B"/>
    <w:rsid w:val="00940944"/>
    <w:rsid w:val="009409F4"/>
    <w:rsid w:val="00940D0C"/>
    <w:rsid w:val="00940D24"/>
    <w:rsid w:val="0094104C"/>
    <w:rsid w:val="009412A5"/>
    <w:rsid w:val="00941339"/>
    <w:rsid w:val="00941484"/>
    <w:rsid w:val="009415F7"/>
    <w:rsid w:val="0094163F"/>
    <w:rsid w:val="009416B9"/>
    <w:rsid w:val="009416E4"/>
    <w:rsid w:val="009418DE"/>
    <w:rsid w:val="00941931"/>
    <w:rsid w:val="00941947"/>
    <w:rsid w:val="00941B1A"/>
    <w:rsid w:val="00941DCF"/>
    <w:rsid w:val="00941EB1"/>
    <w:rsid w:val="00941EDB"/>
    <w:rsid w:val="00942107"/>
    <w:rsid w:val="00942161"/>
    <w:rsid w:val="00942217"/>
    <w:rsid w:val="00942330"/>
    <w:rsid w:val="009426AA"/>
    <w:rsid w:val="009428F4"/>
    <w:rsid w:val="00942936"/>
    <w:rsid w:val="0094294C"/>
    <w:rsid w:val="00942B4D"/>
    <w:rsid w:val="00942BB5"/>
    <w:rsid w:val="00942BBE"/>
    <w:rsid w:val="00942BFD"/>
    <w:rsid w:val="00942C6F"/>
    <w:rsid w:val="00942DF6"/>
    <w:rsid w:val="0094305A"/>
    <w:rsid w:val="009432FE"/>
    <w:rsid w:val="00943316"/>
    <w:rsid w:val="00943325"/>
    <w:rsid w:val="0094339C"/>
    <w:rsid w:val="009433D8"/>
    <w:rsid w:val="0094340A"/>
    <w:rsid w:val="009434B0"/>
    <w:rsid w:val="0094382B"/>
    <w:rsid w:val="00943852"/>
    <w:rsid w:val="00943867"/>
    <w:rsid w:val="009439DD"/>
    <w:rsid w:val="00943A08"/>
    <w:rsid w:val="00943A92"/>
    <w:rsid w:val="00943AF6"/>
    <w:rsid w:val="00943B61"/>
    <w:rsid w:val="00943B6C"/>
    <w:rsid w:val="00943C16"/>
    <w:rsid w:val="00943C2D"/>
    <w:rsid w:val="00943C34"/>
    <w:rsid w:val="00943C44"/>
    <w:rsid w:val="00943CA8"/>
    <w:rsid w:val="00943D05"/>
    <w:rsid w:val="00943E0D"/>
    <w:rsid w:val="00943E4D"/>
    <w:rsid w:val="009440DF"/>
    <w:rsid w:val="009440F8"/>
    <w:rsid w:val="009445CC"/>
    <w:rsid w:val="00944690"/>
    <w:rsid w:val="00944704"/>
    <w:rsid w:val="00944863"/>
    <w:rsid w:val="00944B20"/>
    <w:rsid w:val="00944C1E"/>
    <w:rsid w:val="00944D0B"/>
    <w:rsid w:val="00944EF8"/>
    <w:rsid w:val="0094510A"/>
    <w:rsid w:val="00945168"/>
    <w:rsid w:val="009453D8"/>
    <w:rsid w:val="00945546"/>
    <w:rsid w:val="0094562D"/>
    <w:rsid w:val="0094562F"/>
    <w:rsid w:val="00945684"/>
    <w:rsid w:val="00945880"/>
    <w:rsid w:val="00945987"/>
    <w:rsid w:val="00945C07"/>
    <w:rsid w:val="00945C47"/>
    <w:rsid w:val="00945D1F"/>
    <w:rsid w:val="00945D2A"/>
    <w:rsid w:val="00945D72"/>
    <w:rsid w:val="00945FF3"/>
    <w:rsid w:val="00946194"/>
    <w:rsid w:val="0094636A"/>
    <w:rsid w:val="00946409"/>
    <w:rsid w:val="00946412"/>
    <w:rsid w:val="00946775"/>
    <w:rsid w:val="009469A4"/>
    <w:rsid w:val="00946C30"/>
    <w:rsid w:val="00946D2D"/>
    <w:rsid w:val="00946E3E"/>
    <w:rsid w:val="00946F41"/>
    <w:rsid w:val="00946F61"/>
    <w:rsid w:val="00946F7F"/>
    <w:rsid w:val="00947116"/>
    <w:rsid w:val="009471BA"/>
    <w:rsid w:val="009471C6"/>
    <w:rsid w:val="009473F4"/>
    <w:rsid w:val="0094769F"/>
    <w:rsid w:val="009476F1"/>
    <w:rsid w:val="009479F6"/>
    <w:rsid w:val="00947C8F"/>
    <w:rsid w:val="00947CDD"/>
    <w:rsid w:val="00947E02"/>
    <w:rsid w:val="00947E40"/>
    <w:rsid w:val="0095029D"/>
    <w:rsid w:val="009503B6"/>
    <w:rsid w:val="0095044A"/>
    <w:rsid w:val="009504C4"/>
    <w:rsid w:val="009504C6"/>
    <w:rsid w:val="0095056F"/>
    <w:rsid w:val="00950592"/>
    <w:rsid w:val="009506A9"/>
    <w:rsid w:val="009506C7"/>
    <w:rsid w:val="00950725"/>
    <w:rsid w:val="00950726"/>
    <w:rsid w:val="00950DF9"/>
    <w:rsid w:val="00950E15"/>
    <w:rsid w:val="00951150"/>
    <w:rsid w:val="009511C9"/>
    <w:rsid w:val="009511ED"/>
    <w:rsid w:val="00951424"/>
    <w:rsid w:val="00951496"/>
    <w:rsid w:val="009516EA"/>
    <w:rsid w:val="0095173B"/>
    <w:rsid w:val="00951849"/>
    <w:rsid w:val="0095193A"/>
    <w:rsid w:val="0095198A"/>
    <w:rsid w:val="009519A4"/>
    <w:rsid w:val="00951A30"/>
    <w:rsid w:val="00951A87"/>
    <w:rsid w:val="00951A91"/>
    <w:rsid w:val="00951C97"/>
    <w:rsid w:val="00951D5C"/>
    <w:rsid w:val="00951F76"/>
    <w:rsid w:val="00951FCC"/>
    <w:rsid w:val="0095203D"/>
    <w:rsid w:val="00952299"/>
    <w:rsid w:val="00952369"/>
    <w:rsid w:val="009524DD"/>
    <w:rsid w:val="0095269F"/>
    <w:rsid w:val="00952B2F"/>
    <w:rsid w:val="00952B68"/>
    <w:rsid w:val="00952C14"/>
    <w:rsid w:val="00952CA7"/>
    <w:rsid w:val="00952CD7"/>
    <w:rsid w:val="00952CF1"/>
    <w:rsid w:val="00952CF8"/>
    <w:rsid w:val="00952FDF"/>
    <w:rsid w:val="00953492"/>
    <w:rsid w:val="00953535"/>
    <w:rsid w:val="0095365C"/>
    <w:rsid w:val="00953677"/>
    <w:rsid w:val="00953811"/>
    <w:rsid w:val="00953979"/>
    <w:rsid w:val="00953A04"/>
    <w:rsid w:val="00953ABA"/>
    <w:rsid w:val="00953C4F"/>
    <w:rsid w:val="00953F26"/>
    <w:rsid w:val="00953F32"/>
    <w:rsid w:val="00954036"/>
    <w:rsid w:val="00954150"/>
    <w:rsid w:val="009544EB"/>
    <w:rsid w:val="00954740"/>
    <w:rsid w:val="00954871"/>
    <w:rsid w:val="009549EE"/>
    <w:rsid w:val="00954CF2"/>
    <w:rsid w:val="00954D53"/>
    <w:rsid w:val="00954E47"/>
    <w:rsid w:val="00954F38"/>
    <w:rsid w:val="00955001"/>
    <w:rsid w:val="0095503C"/>
    <w:rsid w:val="00955260"/>
    <w:rsid w:val="00955285"/>
    <w:rsid w:val="00955353"/>
    <w:rsid w:val="00955434"/>
    <w:rsid w:val="009554AD"/>
    <w:rsid w:val="0095556E"/>
    <w:rsid w:val="0095577A"/>
    <w:rsid w:val="00955A0A"/>
    <w:rsid w:val="00955CE7"/>
    <w:rsid w:val="00955D56"/>
    <w:rsid w:val="0095624A"/>
    <w:rsid w:val="009562D6"/>
    <w:rsid w:val="009563E9"/>
    <w:rsid w:val="0095656F"/>
    <w:rsid w:val="009565A8"/>
    <w:rsid w:val="009565B1"/>
    <w:rsid w:val="009565E2"/>
    <w:rsid w:val="00956857"/>
    <w:rsid w:val="00956A80"/>
    <w:rsid w:val="00956B78"/>
    <w:rsid w:val="00956C94"/>
    <w:rsid w:val="0095738B"/>
    <w:rsid w:val="00957510"/>
    <w:rsid w:val="0095755F"/>
    <w:rsid w:val="009575DF"/>
    <w:rsid w:val="0095764D"/>
    <w:rsid w:val="00957929"/>
    <w:rsid w:val="00957A5A"/>
    <w:rsid w:val="00957B9C"/>
    <w:rsid w:val="00957C57"/>
    <w:rsid w:val="00957E2E"/>
    <w:rsid w:val="00957EA3"/>
    <w:rsid w:val="009600DC"/>
    <w:rsid w:val="00960203"/>
    <w:rsid w:val="009602F0"/>
    <w:rsid w:val="009602F5"/>
    <w:rsid w:val="009603AC"/>
    <w:rsid w:val="009604CB"/>
    <w:rsid w:val="009605A5"/>
    <w:rsid w:val="0096061D"/>
    <w:rsid w:val="00960766"/>
    <w:rsid w:val="009609B4"/>
    <w:rsid w:val="00960A3A"/>
    <w:rsid w:val="00960A56"/>
    <w:rsid w:val="00960AD9"/>
    <w:rsid w:val="00960B5C"/>
    <w:rsid w:val="00960BC1"/>
    <w:rsid w:val="00960CED"/>
    <w:rsid w:val="00960E13"/>
    <w:rsid w:val="00960ECA"/>
    <w:rsid w:val="00960F1F"/>
    <w:rsid w:val="00960F58"/>
    <w:rsid w:val="009611C5"/>
    <w:rsid w:val="009611DC"/>
    <w:rsid w:val="009612BC"/>
    <w:rsid w:val="00961521"/>
    <w:rsid w:val="0096155F"/>
    <w:rsid w:val="00961584"/>
    <w:rsid w:val="009616F7"/>
    <w:rsid w:val="009617AF"/>
    <w:rsid w:val="00961854"/>
    <w:rsid w:val="009618CC"/>
    <w:rsid w:val="0096193D"/>
    <w:rsid w:val="009619B7"/>
    <w:rsid w:val="009619C3"/>
    <w:rsid w:val="00961A8A"/>
    <w:rsid w:val="00961BB2"/>
    <w:rsid w:val="00961C20"/>
    <w:rsid w:val="00961D8F"/>
    <w:rsid w:val="00961F32"/>
    <w:rsid w:val="00961FFB"/>
    <w:rsid w:val="00962050"/>
    <w:rsid w:val="00962103"/>
    <w:rsid w:val="00962138"/>
    <w:rsid w:val="00962224"/>
    <w:rsid w:val="00962246"/>
    <w:rsid w:val="0096230E"/>
    <w:rsid w:val="009625EB"/>
    <w:rsid w:val="009627BF"/>
    <w:rsid w:val="009629DD"/>
    <w:rsid w:val="00962B46"/>
    <w:rsid w:val="00962C75"/>
    <w:rsid w:val="00962C9D"/>
    <w:rsid w:val="00962DF6"/>
    <w:rsid w:val="00962E46"/>
    <w:rsid w:val="00962EA5"/>
    <w:rsid w:val="00962EEC"/>
    <w:rsid w:val="00962F1E"/>
    <w:rsid w:val="00962F52"/>
    <w:rsid w:val="00962F8B"/>
    <w:rsid w:val="00962FC4"/>
    <w:rsid w:val="009630C1"/>
    <w:rsid w:val="00963170"/>
    <w:rsid w:val="009635EF"/>
    <w:rsid w:val="009636DB"/>
    <w:rsid w:val="009636E2"/>
    <w:rsid w:val="0096375E"/>
    <w:rsid w:val="009639A1"/>
    <w:rsid w:val="00963A14"/>
    <w:rsid w:val="00963B41"/>
    <w:rsid w:val="00963CF6"/>
    <w:rsid w:val="00963D76"/>
    <w:rsid w:val="00963DE7"/>
    <w:rsid w:val="00963F56"/>
    <w:rsid w:val="00963FAE"/>
    <w:rsid w:val="009640DC"/>
    <w:rsid w:val="00964109"/>
    <w:rsid w:val="0096440A"/>
    <w:rsid w:val="009645B2"/>
    <w:rsid w:val="00964689"/>
    <w:rsid w:val="0096473E"/>
    <w:rsid w:val="009647A1"/>
    <w:rsid w:val="009647A8"/>
    <w:rsid w:val="009647F4"/>
    <w:rsid w:val="009648F3"/>
    <w:rsid w:val="00964A5F"/>
    <w:rsid w:val="00964AF4"/>
    <w:rsid w:val="00964BCC"/>
    <w:rsid w:val="00964BDF"/>
    <w:rsid w:val="00964C1A"/>
    <w:rsid w:val="00964C60"/>
    <w:rsid w:val="00964D43"/>
    <w:rsid w:val="00964DC8"/>
    <w:rsid w:val="00964ECF"/>
    <w:rsid w:val="00964EF1"/>
    <w:rsid w:val="00964F00"/>
    <w:rsid w:val="00965315"/>
    <w:rsid w:val="0096548B"/>
    <w:rsid w:val="00965805"/>
    <w:rsid w:val="00965918"/>
    <w:rsid w:val="00965936"/>
    <w:rsid w:val="00965995"/>
    <w:rsid w:val="00965A2F"/>
    <w:rsid w:val="00965A94"/>
    <w:rsid w:val="00965E66"/>
    <w:rsid w:val="00965FB3"/>
    <w:rsid w:val="00965FD7"/>
    <w:rsid w:val="00965FE3"/>
    <w:rsid w:val="009660A8"/>
    <w:rsid w:val="009661F3"/>
    <w:rsid w:val="009662B5"/>
    <w:rsid w:val="00966518"/>
    <w:rsid w:val="00966571"/>
    <w:rsid w:val="009665FC"/>
    <w:rsid w:val="00966672"/>
    <w:rsid w:val="0096678C"/>
    <w:rsid w:val="009667D6"/>
    <w:rsid w:val="00966804"/>
    <w:rsid w:val="00966901"/>
    <w:rsid w:val="00966948"/>
    <w:rsid w:val="00966A43"/>
    <w:rsid w:val="00966C59"/>
    <w:rsid w:val="00966EA5"/>
    <w:rsid w:val="009670C6"/>
    <w:rsid w:val="009670EA"/>
    <w:rsid w:val="00967246"/>
    <w:rsid w:val="009672E1"/>
    <w:rsid w:val="00967395"/>
    <w:rsid w:val="009677E6"/>
    <w:rsid w:val="0096794E"/>
    <w:rsid w:val="00967B5D"/>
    <w:rsid w:val="00967CCF"/>
    <w:rsid w:val="00967E5D"/>
    <w:rsid w:val="00967F96"/>
    <w:rsid w:val="00967FAF"/>
    <w:rsid w:val="0097019F"/>
    <w:rsid w:val="009704CD"/>
    <w:rsid w:val="009705CC"/>
    <w:rsid w:val="00970672"/>
    <w:rsid w:val="009706D5"/>
    <w:rsid w:val="00970816"/>
    <w:rsid w:val="00970818"/>
    <w:rsid w:val="00970C7F"/>
    <w:rsid w:val="00970E1A"/>
    <w:rsid w:val="00970EE6"/>
    <w:rsid w:val="00970EFF"/>
    <w:rsid w:val="00970F91"/>
    <w:rsid w:val="00970FA9"/>
    <w:rsid w:val="00970FC6"/>
    <w:rsid w:val="00971057"/>
    <w:rsid w:val="009713ED"/>
    <w:rsid w:val="009719FB"/>
    <w:rsid w:val="00971B2C"/>
    <w:rsid w:val="00971BA5"/>
    <w:rsid w:val="00971BC8"/>
    <w:rsid w:val="00971C12"/>
    <w:rsid w:val="00971CA9"/>
    <w:rsid w:val="00971CD5"/>
    <w:rsid w:val="00971D24"/>
    <w:rsid w:val="00971D39"/>
    <w:rsid w:val="00971E39"/>
    <w:rsid w:val="009720AC"/>
    <w:rsid w:val="009720E4"/>
    <w:rsid w:val="00972178"/>
    <w:rsid w:val="00972240"/>
    <w:rsid w:val="009723A0"/>
    <w:rsid w:val="00972526"/>
    <w:rsid w:val="009725D9"/>
    <w:rsid w:val="00972716"/>
    <w:rsid w:val="0097272B"/>
    <w:rsid w:val="009727C3"/>
    <w:rsid w:val="009727E0"/>
    <w:rsid w:val="009728F0"/>
    <w:rsid w:val="0097294F"/>
    <w:rsid w:val="009729F8"/>
    <w:rsid w:val="00972BE2"/>
    <w:rsid w:val="00972BE5"/>
    <w:rsid w:val="00972D9B"/>
    <w:rsid w:val="00972F37"/>
    <w:rsid w:val="0097317A"/>
    <w:rsid w:val="0097329A"/>
    <w:rsid w:val="0097340E"/>
    <w:rsid w:val="0097358D"/>
    <w:rsid w:val="00973704"/>
    <w:rsid w:val="0097372E"/>
    <w:rsid w:val="0097389B"/>
    <w:rsid w:val="0097393C"/>
    <w:rsid w:val="00973AF0"/>
    <w:rsid w:val="00973AF3"/>
    <w:rsid w:val="00973AFA"/>
    <w:rsid w:val="00973B15"/>
    <w:rsid w:val="00973CE6"/>
    <w:rsid w:val="00973F1F"/>
    <w:rsid w:val="00973F8B"/>
    <w:rsid w:val="00973F92"/>
    <w:rsid w:val="00974048"/>
    <w:rsid w:val="0097420A"/>
    <w:rsid w:val="00974467"/>
    <w:rsid w:val="009744F0"/>
    <w:rsid w:val="00974705"/>
    <w:rsid w:val="00974726"/>
    <w:rsid w:val="00974781"/>
    <w:rsid w:val="009747CE"/>
    <w:rsid w:val="009748C4"/>
    <w:rsid w:val="0097493C"/>
    <w:rsid w:val="0097493D"/>
    <w:rsid w:val="00974B65"/>
    <w:rsid w:val="00974DC7"/>
    <w:rsid w:val="0097507C"/>
    <w:rsid w:val="00975082"/>
    <w:rsid w:val="009750F7"/>
    <w:rsid w:val="0097519A"/>
    <w:rsid w:val="009751E2"/>
    <w:rsid w:val="00975214"/>
    <w:rsid w:val="009752D2"/>
    <w:rsid w:val="00975459"/>
    <w:rsid w:val="009755D6"/>
    <w:rsid w:val="009757B1"/>
    <w:rsid w:val="009757E7"/>
    <w:rsid w:val="0097597E"/>
    <w:rsid w:val="00975A09"/>
    <w:rsid w:val="00975B82"/>
    <w:rsid w:val="00975DC7"/>
    <w:rsid w:val="00975ECE"/>
    <w:rsid w:val="00976201"/>
    <w:rsid w:val="0097627C"/>
    <w:rsid w:val="0097635E"/>
    <w:rsid w:val="00976409"/>
    <w:rsid w:val="00976425"/>
    <w:rsid w:val="00976434"/>
    <w:rsid w:val="00976491"/>
    <w:rsid w:val="009764A1"/>
    <w:rsid w:val="009765C9"/>
    <w:rsid w:val="0097668A"/>
    <w:rsid w:val="009768FC"/>
    <w:rsid w:val="00976993"/>
    <w:rsid w:val="00976A5A"/>
    <w:rsid w:val="00976B62"/>
    <w:rsid w:val="00976BE9"/>
    <w:rsid w:val="00976CCF"/>
    <w:rsid w:val="00976E30"/>
    <w:rsid w:val="00976F9C"/>
    <w:rsid w:val="00976FB7"/>
    <w:rsid w:val="00976FCF"/>
    <w:rsid w:val="00977000"/>
    <w:rsid w:val="00977029"/>
    <w:rsid w:val="009771D9"/>
    <w:rsid w:val="00977236"/>
    <w:rsid w:val="0097739A"/>
    <w:rsid w:val="00977461"/>
    <w:rsid w:val="009774D0"/>
    <w:rsid w:val="009775FF"/>
    <w:rsid w:val="00977603"/>
    <w:rsid w:val="009776E8"/>
    <w:rsid w:val="0097775A"/>
    <w:rsid w:val="00977995"/>
    <w:rsid w:val="009779ED"/>
    <w:rsid w:val="00977A3E"/>
    <w:rsid w:val="00977B91"/>
    <w:rsid w:val="00977D39"/>
    <w:rsid w:val="00977E88"/>
    <w:rsid w:val="00977EF5"/>
    <w:rsid w:val="00977F6C"/>
    <w:rsid w:val="00980013"/>
    <w:rsid w:val="00980208"/>
    <w:rsid w:val="0098022F"/>
    <w:rsid w:val="00980295"/>
    <w:rsid w:val="00980391"/>
    <w:rsid w:val="009804B2"/>
    <w:rsid w:val="0098053E"/>
    <w:rsid w:val="00980543"/>
    <w:rsid w:val="00980637"/>
    <w:rsid w:val="0098077E"/>
    <w:rsid w:val="009808EC"/>
    <w:rsid w:val="00980944"/>
    <w:rsid w:val="009809E2"/>
    <w:rsid w:val="00980A11"/>
    <w:rsid w:val="00980A4E"/>
    <w:rsid w:val="00980A52"/>
    <w:rsid w:val="00980A73"/>
    <w:rsid w:val="00980B0F"/>
    <w:rsid w:val="00980D10"/>
    <w:rsid w:val="00980D2E"/>
    <w:rsid w:val="00980D49"/>
    <w:rsid w:val="00980EFB"/>
    <w:rsid w:val="00980FE2"/>
    <w:rsid w:val="009810DE"/>
    <w:rsid w:val="00981166"/>
    <w:rsid w:val="0098121B"/>
    <w:rsid w:val="00981267"/>
    <w:rsid w:val="009812E0"/>
    <w:rsid w:val="00981332"/>
    <w:rsid w:val="0098158D"/>
    <w:rsid w:val="009815BF"/>
    <w:rsid w:val="00981721"/>
    <w:rsid w:val="0098173C"/>
    <w:rsid w:val="009817A5"/>
    <w:rsid w:val="00981807"/>
    <w:rsid w:val="009818E4"/>
    <w:rsid w:val="00981ACC"/>
    <w:rsid w:val="00981B12"/>
    <w:rsid w:val="00981B7B"/>
    <w:rsid w:val="00981BF2"/>
    <w:rsid w:val="00981C47"/>
    <w:rsid w:val="00981E4E"/>
    <w:rsid w:val="0098201D"/>
    <w:rsid w:val="009822DA"/>
    <w:rsid w:val="009822E1"/>
    <w:rsid w:val="00982301"/>
    <w:rsid w:val="0098237C"/>
    <w:rsid w:val="00982413"/>
    <w:rsid w:val="00982417"/>
    <w:rsid w:val="00982471"/>
    <w:rsid w:val="00982474"/>
    <w:rsid w:val="0098262A"/>
    <w:rsid w:val="00982664"/>
    <w:rsid w:val="0098268D"/>
    <w:rsid w:val="00982754"/>
    <w:rsid w:val="00982948"/>
    <w:rsid w:val="00982997"/>
    <w:rsid w:val="009829ED"/>
    <w:rsid w:val="00982D02"/>
    <w:rsid w:val="00982D21"/>
    <w:rsid w:val="00983184"/>
    <w:rsid w:val="009831B8"/>
    <w:rsid w:val="00983228"/>
    <w:rsid w:val="00983243"/>
    <w:rsid w:val="0098334D"/>
    <w:rsid w:val="00983547"/>
    <w:rsid w:val="009836DC"/>
    <w:rsid w:val="009837EE"/>
    <w:rsid w:val="009837F2"/>
    <w:rsid w:val="009839EE"/>
    <w:rsid w:val="00983A95"/>
    <w:rsid w:val="00983AD3"/>
    <w:rsid w:val="00983B82"/>
    <w:rsid w:val="00983D18"/>
    <w:rsid w:val="00983DAA"/>
    <w:rsid w:val="00983F90"/>
    <w:rsid w:val="00984057"/>
    <w:rsid w:val="009840ED"/>
    <w:rsid w:val="0098412C"/>
    <w:rsid w:val="0098412D"/>
    <w:rsid w:val="0098425B"/>
    <w:rsid w:val="00984291"/>
    <w:rsid w:val="00984474"/>
    <w:rsid w:val="00984645"/>
    <w:rsid w:val="0098489F"/>
    <w:rsid w:val="00984AA4"/>
    <w:rsid w:val="00984B1E"/>
    <w:rsid w:val="00984B90"/>
    <w:rsid w:val="00985141"/>
    <w:rsid w:val="00985323"/>
    <w:rsid w:val="009854A0"/>
    <w:rsid w:val="00985611"/>
    <w:rsid w:val="0098572D"/>
    <w:rsid w:val="00985894"/>
    <w:rsid w:val="00985A14"/>
    <w:rsid w:val="00985B68"/>
    <w:rsid w:val="00985BF2"/>
    <w:rsid w:val="00985C65"/>
    <w:rsid w:val="00985CDD"/>
    <w:rsid w:val="00985DE0"/>
    <w:rsid w:val="00985E66"/>
    <w:rsid w:val="00985FF3"/>
    <w:rsid w:val="009860C0"/>
    <w:rsid w:val="00986106"/>
    <w:rsid w:val="0098615B"/>
    <w:rsid w:val="009861D3"/>
    <w:rsid w:val="0098620B"/>
    <w:rsid w:val="00986292"/>
    <w:rsid w:val="009862B5"/>
    <w:rsid w:val="009863FC"/>
    <w:rsid w:val="00986509"/>
    <w:rsid w:val="00986582"/>
    <w:rsid w:val="00986585"/>
    <w:rsid w:val="009865AD"/>
    <w:rsid w:val="009865C8"/>
    <w:rsid w:val="00986712"/>
    <w:rsid w:val="00986758"/>
    <w:rsid w:val="0098691B"/>
    <w:rsid w:val="00986A69"/>
    <w:rsid w:val="00986AAF"/>
    <w:rsid w:val="00986AFD"/>
    <w:rsid w:val="00986C80"/>
    <w:rsid w:val="00986CBA"/>
    <w:rsid w:val="00986DD1"/>
    <w:rsid w:val="00986E95"/>
    <w:rsid w:val="00986FCE"/>
    <w:rsid w:val="0098707A"/>
    <w:rsid w:val="00987101"/>
    <w:rsid w:val="0098781C"/>
    <w:rsid w:val="00987840"/>
    <w:rsid w:val="00987A5E"/>
    <w:rsid w:val="00987AC9"/>
    <w:rsid w:val="00987B98"/>
    <w:rsid w:val="00987C17"/>
    <w:rsid w:val="00987C82"/>
    <w:rsid w:val="00987DF5"/>
    <w:rsid w:val="00987FE4"/>
    <w:rsid w:val="0099013A"/>
    <w:rsid w:val="00990174"/>
    <w:rsid w:val="009901C2"/>
    <w:rsid w:val="00990426"/>
    <w:rsid w:val="0099058A"/>
    <w:rsid w:val="009907CF"/>
    <w:rsid w:val="00990805"/>
    <w:rsid w:val="00990993"/>
    <w:rsid w:val="00990A26"/>
    <w:rsid w:val="00990B46"/>
    <w:rsid w:val="00990B56"/>
    <w:rsid w:val="00990BBD"/>
    <w:rsid w:val="00990C23"/>
    <w:rsid w:val="00990C3C"/>
    <w:rsid w:val="00990C9A"/>
    <w:rsid w:val="00990E15"/>
    <w:rsid w:val="00990F2E"/>
    <w:rsid w:val="00990FC7"/>
    <w:rsid w:val="00991033"/>
    <w:rsid w:val="0099124E"/>
    <w:rsid w:val="009912E9"/>
    <w:rsid w:val="00991346"/>
    <w:rsid w:val="009913F8"/>
    <w:rsid w:val="0099155B"/>
    <w:rsid w:val="009915CA"/>
    <w:rsid w:val="009915D6"/>
    <w:rsid w:val="0099165E"/>
    <w:rsid w:val="0099185C"/>
    <w:rsid w:val="00991930"/>
    <w:rsid w:val="00991AEA"/>
    <w:rsid w:val="00991C2B"/>
    <w:rsid w:val="00991C42"/>
    <w:rsid w:val="00991E26"/>
    <w:rsid w:val="00991E68"/>
    <w:rsid w:val="00991E75"/>
    <w:rsid w:val="009920EB"/>
    <w:rsid w:val="0099223F"/>
    <w:rsid w:val="009924ED"/>
    <w:rsid w:val="00992522"/>
    <w:rsid w:val="00992575"/>
    <w:rsid w:val="009926D7"/>
    <w:rsid w:val="009927B4"/>
    <w:rsid w:val="009928DA"/>
    <w:rsid w:val="009929E7"/>
    <w:rsid w:val="00992A49"/>
    <w:rsid w:val="00992A64"/>
    <w:rsid w:val="00992AC6"/>
    <w:rsid w:val="00992AE1"/>
    <w:rsid w:val="00992DED"/>
    <w:rsid w:val="0099303E"/>
    <w:rsid w:val="00993362"/>
    <w:rsid w:val="009934E6"/>
    <w:rsid w:val="00993562"/>
    <w:rsid w:val="00993700"/>
    <w:rsid w:val="00993730"/>
    <w:rsid w:val="009938EE"/>
    <w:rsid w:val="00993924"/>
    <w:rsid w:val="00993B16"/>
    <w:rsid w:val="00993C24"/>
    <w:rsid w:val="00993D8A"/>
    <w:rsid w:val="00993E35"/>
    <w:rsid w:val="00993EBB"/>
    <w:rsid w:val="00993F30"/>
    <w:rsid w:val="0099421E"/>
    <w:rsid w:val="00994231"/>
    <w:rsid w:val="009944E8"/>
    <w:rsid w:val="009945D3"/>
    <w:rsid w:val="00994688"/>
    <w:rsid w:val="009946D6"/>
    <w:rsid w:val="00994750"/>
    <w:rsid w:val="009947D2"/>
    <w:rsid w:val="009947E5"/>
    <w:rsid w:val="00994820"/>
    <w:rsid w:val="00994841"/>
    <w:rsid w:val="00994A34"/>
    <w:rsid w:val="00994A3D"/>
    <w:rsid w:val="00994A4E"/>
    <w:rsid w:val="00994BF8"/>
    <w:rsid w:val="00994C6F"/>
    <w:rsid w:val="00994CF0"/>
    <w:rsid w:val="00994FF7"/>
    <w:rsid w:val="00995245"/>
    <w:rsid w:val="0099525F"/>
    <w:rsid w:val="00995314"/>
    <w:rsid w:val="009954F5"/>
    <w:rsid w:val="009956A3"/>
    <w:rsid w:val="00995865"/>
    <w:rsid w:val="0099589D"/>
    <w:rsid w:val="00995BA8"/>
    <w:rsid w:val="00995BD8"/>
    <w:rsid w:val="00995C0A"/>
    <w:rsid w:val="00995CB6"/>
    <w:rsid w:val="00995CFE"/>
    <w:rsid w:val="00995E20"/>
    <w:rsid w:val="00995EFB"/>
    <w:rsid w:val="00995F04"/>
    <w:rsid w:val="009962F1"/>
    <w:rsid w:val="0099640B"/>
    <w:rsid w:val="00996463"/>
    <w:rsid w:val="0099650F"/>
    <w:rsid w:val="00996571"/>
    <w:rsid w:val="0099657C"/>
    <w:rsid w:val="009967DD"/>
    <w:rsid w:val="009968C9"/>
    <w:rsid w:val="009968F6"/>
    <w:rsid w:val="00996951"/>
    <w:rsid w:val="0099698C"/>
    <w:rsid w:val="009969A3"/>
    <w:rsid w:val="00996A66"/>
    <w:rsid w:val="00996B0F"/>
    <w:rsid w:val="00996B86"/>
    <w:rsid w:val="00996BAF"/>
    <w:rsid w:val="00996D7A"/>
    <w:rsid w:val="00996D9B"/>
    <w:rsid w:val="00996DC2"/>
    <w:rsid w:val="00996E4E"/>
    <w:rsid w:val="00996EA5"/>
    <w:rsid w:val="00996F44"/>
    <w:rsid w:val="00996FD7"/>
    <w:rsid w:val="009971A3"/>
    <w:rsid w:val="00997632"/>
    <w:rsid w:val="00997670"/>
    <w:rsid w:val="00997796"/>
    <w:rsid w:val="009978AB"/>
    <w:rsid w:val="009979BF"/>
    <w:rsid w:val="00997A9B"/>
    <w:rsid w:val="00997C66"/>
    <w:rsid w:val="00997CAD"/>
    <w:rsid w:val="00997CEA"/>
    <w:rsid w:val="00997D1B"/>
    <w:rsid w:val="00997D26"/>
    <w:rsid w:val="00997E37"/>
    <w:rsid w:val="00997E58"/>
    <w:rsid w:val="00997F47"/>
    <w:rsid w:val="00997F57"/>
    <w:rsid w:val="009A01C6"/>
    <w:rsid w:val="009A03F6"/>
    <w:rsid w:val="009A0419"/>
    <w:rsid w:val="009A047B"/>
    <w:rsid w:val="009A05D6"/>
    <w:rsid w:val="009A05FF"/>
    <w:rsid w:val="009A0683"/>
    <w:rsid w:val="009A0696"/>
    <w:rsid w:val="009A0CC1"/>
    <w:rsid w:val="009A0F30"/>
    <w:rsid w:val="009A105E"/>
    <w:rsid w:val="009A1328"/>
    <w:rsid w:val="009A133F"/>
    <w:rsid w:val="009A13B6"/>
    <w:rsid w:val="009A1579"/>
    <w:rsid w:val="009A186A"/>
    <w:rsid w:val="009A1903"/>
    <w:rsid w:val="009A19C2"/>
    <w:rsid w:val="009A1A49"/>
    <w:rsid w:val="009A1B0D"/>
    <w:rsid w:val="009A1FC8"/>
    <w:rsid w:val="009A2036"/>
    <w:rsid w:val="009A2069"/>
    <w:rsid w:val="009A20F8"/>
    <w:rsid w:val="009A2354"/>
    <w:rsid w:val="009A23F0"/>
    <w:rsid w:val="009A2439"/>
    <w:rsid w:val="009A2489"/>
    <w:rsid w:val="009A2507"/>
    <w:rsid w:val="009A2651"/>
    <w:rsid w:val="009A266F"/>
    <w:rsid w:val="009A2776"/>
    <w:rsid w:val="009A277A"/>
    <w:rsid w:val="009A28CA"/>
    <w:rsid w:val="009A2A82"/>
    <w:rsid w:val="009A2AB5"/>
    <w:rsid w:val="009A2AC4"/>
    <w:rsid w:val="009A2C2E"/>
    <w:rsid w:val="009A2C84"/>
    <w:rsid w:val="009A2CE3"/>
    <w:rsid w:val="009A2EFE"/>
    <w:rsid w:val="009A2F3C"/>
    <w:rsid w:val="009A3104"/>
    <w:rsid w:val="009A32F1"/>
    <w:rsid w:val="009A32F6"/>
    <w:rsid w:val="009A3703"/>
    <w:rsid w:val="009A3776"/>
    <w:rsid w:val="009A37A0"/>
    <w:rsid w:val="009A38FA"/>
    <w:rsid w:val="009A397E"/>
    <w:rsid w:val="009A3A75"/>
    <w:rsid w:val="009A3B25"/>
    <w:rsid w:val="009A3B5F"/>
    <w:rsid w:val="009A3F3C"/>
    <w:rsid w:val="009A3F53"/>
    <w:rsid w:val="009A3FD5"/>
    <w:rsid w:val="009A414E"/>
    <w:rsid w:val="009A421D"/>
    <w:rsid w:val="009A4452"/>
    <w:rsid w:val="009A44D2"/>
    <w:rsid w:val="009A4790"/>
    <w:rsid w:val="009A4920"/>
    <w:rsid w:val="009A4931"/>
    <w:rsid w:val="009A4A09"/>
    <w:rsid w:val="009A4AFE"/>
    <w:rsid w:val="009A4BB3"/>
    <w:rsid w:val="009A4C08"/>
    <w:rsid w:val="009A4EC7"/>
    <w:rsid w:val="009A4FB2"/>
    <w:rsid w:val="009A51D2"/>
    <w:rsid w:val="009A536E"/>
    <w:rsid w:val="009A5379"/>
    <w:rsid w:val="009A53BA"/>
    <w:rsid w:val="009A5453"/>
    <w:rsid w:val="009A54D0"/>
    <w:rsid w:val="009A55E8"/>
    <w:rsid w:val="009A576E"/>
    <w:rsid w:val="009A5798"/>
    <w:rsid w:val="009A5A59"/>
    <w:rsid w:val="009A5A80"/>
    <w:rsid w:val="009A5FD3"/>
    <w:rsid w:val="009A600A"/>
    <w:rsid w:val="009A613B"/>
    <w:rsid w:val="009A6251"/>
    <w:rsid w:val="009A6266"/>
    <w:rsid w:val="009A6271"/>
    <w:rsid w:val="009A63DB"/>
    <w:rsid w:val="009A6535"/>
    <w:rsid w:val="009A664F"/>
    <w:rsid w:val="009A665B"/>
    <w:rsid w:val="009A66BC"/>
    <w:rsid w:val="009A6714"/>
    <w:rsid w:val="009A675D"/>
    <w:rsid w:val="009A67CD"/>
    <w:rsid w:val="009A684B"/>
    <w:rsid w:val="009A6A58"/>
    <w:rsid w:val="009A6A80"/>
    <w:rsid w:val="009A6AA2"/>
    <w:rsid w:val="009A6D1D"/>
    <w:rsid w:val="009A6D4A"/>
    <w:rsid w:val="009A7051"/>
    <w:rsid w:val="009A7066"/>
    <w:rsid w:val="009A71D9"/>
    <w:rsid w:val="009A7211"/>
    <w:rsid w:val="009A72B3"/>
    <w:rsid w:val="009A740F"/>
    <w:rsid w:val="009A7678"/>
    <w:rsid w:val="009A7848"/>
    <w:rsid w:val="009A78E8"/>
    <w:rsid w:val="009A78EC"/>
    <w:rsid w:val="009A7927"/>
    <w:rsid w:val="009A7AFC"/>
    <w:rsid w:val="009A7BD0"/>
    <w:rsid w:val="009A7C28"/>
    <w:rsid w:val="009A7D00"/>
    <w:rsid w:val="009A7F14"/>
    <w:rsid w:val="009AB8A5"/>
    <w:rsid w:val="009B0134"/>
    <w:rsid w:val="009B01A0"/>
    <w:rsid w:val="009B035D"/>
    <w:rsid w:val="009B0386"/>
    <w:rsid w:val="009B0575"/>
    <w:rsid w:val="009B0580"/>
    <w:rsid w:val="009B082B"/>
    <w:rsid w:val="009B08A7"/>
    <w:rsid w:val="009B095E"/>
    <w:rsid w:val="009B09AA"/>
    <w:rsid w:val="009B09BB"/>
    <w:rsid w:val="009B0DD9"/>
    <w:rsid w:val="009B0F23"/>
    <w:rsid w:val="009B0F3C"/>
    <w:rsid w:val="009B139E"/>
    <w:rsid w:val="009B1433"/>
    <w:rsid w:val="009B1622"/>
    <w:rsid w:val="009B172C"/>
    <w:rsid w:val="009B19AD"/>
    <w:rsid w:val="009B1AA3"/>
    <w:rsid w:val="009B1B13"/>
    <w:rsid w:val="009B1C21"/>
    <w:rsid w:val="009B1D66"/>
    <w:rsid w:val="009B1E67"/>
    <w:rsid w:val="009B2015"/>
    <w:rsid w:val="009B208D"/>
    <w:rsid w:val="009B20E2"/>
    <w:rsid w:val="009B2453"/>
    <w:rsid w:val="009B25AC"/>
    <w:rsid w:val="009B25CA"/>
    <w:rsid w:val="009B26BF"/>
    <w:rsid w:val="009B27BD"/>
    <w:rsid w:val="009B29EE"/>
    <w:rsid w:val="009B2D8E"/>
    <w:rsid w:val="009B2EEB"/>
    <w:rsid w:val="009B2FA7"/>
    <w:rsid w:val="009B3051"/>
    <w:rsid w:val="009B30AF"/>
    <w:rsid w:val="009B3340"/>
    <w:rsid w:val="009B34F1"/>
    <w:rsid w:val="009B36C6"/>
    <w:rsid w:val="009B382B"/>
    <w:rsid w:val="009B3849"/>
    <w:rsid w:val="009B38B1"/>
    <w:rsid w:val="009B397B"/>
    <w:rsid w:val="009B397C"/>
    <w:rsid w:val="009B398C"/>
    <w:rsid w:val="009B3B68"/>
    <w:rsid w:val="009B3C7A"/>
    <w:rsid w:val="009B3E4A"/>
    <w:rsid w:val="009B3F14"/>
    <w:rsid w:val="009B3F39"/>
    <w:rsid w:val="009B4021"/>
    <w:rsid w:val="009B409A"/>
    <w:rsid w:val="009B4219"/>
    <w:rsid w:val="009B42D7"/>
    <w:rsid w:val="009B45C9"/>
    <w:rsid w:val="009B46C0"/>
    <w:rsid w:val="009B4A5E"/>
    <w:rsid w:val="009B4AE6"/>
    <w:rsid w:val="009B4B0A"/>
    <w:rsid w:val="009B4BDD"/>
    <w:rsid w:val="009B4C9F"/>
    <w:rsid w:val="009B4DAC"/>
    <w:rsid w:val="009B4F01"/>
    <w:rsid w:val="009B506F"/>
    <w:rsid w:val="009B5125"/>
    <w:rsid w:val="009B514B"/>
    <w:rsid w:val="009B536D"/>
    <w:rsid w:val="009B53B0"/>
    <w:rsid w:val="009B53FF"/>
    <w:rsid w:val="009B552A"/>
    <w:rsid w:val="009B5595"/>
    <w:rsid w:val="009B5858"/>
    <w:rsid w:val="009B59A1"/>
    <w:rsid w:val="009B59D1"/>
    <w:rsid w:val="009B5CF9"/>
    <w:rsid w:val="009B5E33"/>
    <w:rsid w:val="009B5E97"/>
    <w:rsid w:val="009B5F36"/>
    <w:rsid w:val="009B5F9A"/>
    <w:rsid w:val="009B61E8"/>
    <w:rsid w:val="009B627E"/>
    <w:rsid w:val="009B6388"/>
    <w:rsid w:val="009B6437"/>
    <w:rsid w:val="009B64BD"/>
    <w:rsid w:val="009B64F3"/>
    <w:rsid w:val="009B660E"/>
    <w:rsid w:val="009B6977"/>
    <w:rsid w:val="009B6C7B"/>
    <w:rsid w:val="009B6D9F"/>
    <w:rsid w:val="009B6F4D"/>
    <w:rsid w:val="009B6FEA"/>
    <w:rsid w:val="009B70B6"/>
    <w:rsid w:val="009B70D1"/>
    <w:rsid w:val="009B70E2"/>
    <w:rsid w:val="009B74A7"/>
    <w:rsid w:val="009B7912"/>
    <w:rsid w:val="009B7A87"/>
    <w:rsid w:val="009B7A99"/>
    <w:rsid w:val="009C0096"/>
    <w:rsid w:val="009C0238"/>
    <w:rsid w:val="009C05EA"/>
    <w:rsid w:val="009C065B"/>
    <w:rsid w:val="009C0901"/>
    <w:rsid w:val="009C0A4D"/>
    <w:rsid w:val="009C0A90"/>
    <w:rsid w:val="009C0AFB"/>
    <w:rsid w:val="009C0C61"/>
    <w:rsid w:val="009C0DF4"/>
    <w:rsid w:val="009C0E1D"/>
    <w:rsid w:val="009C0F01"/>
    <w:rsid w:val="009C1090"/>
    <w:rsid w:val="009C10DA"/>
    <w:rsid w:val="009C11BD"/>
    <w:rsid w:val="009C11C0"/>
    <w:rsid w:val="009C11DA"/>
    <w:rsid w:val="009C1212"/>
    <w:rsid w:val="009C1273"/>
    <w:rsid w:val="009C131C"/>
    <w:rsid w:val="009C1353"/>
    <w:rsid w:val="009C13DE"/>
    <w:rsid w:val="009C1451"/>
    <w:rsid w:val="009C1607"/>
    <w:rsid w:val="009C16EB"/>
    <w:rsid w:val="009C1931"/>
    <w:rsid w:val="009C1B46"/>
    <w:rsid w:val="009C1C87"/>
    <w:rsid w:val="009C1C97"/>
    <w:rsid w:val="009C1DB2"/>
    <w:rsid w:val="009C1DC8"/>
    <w:rsid w:val="009C1DD5"/>
    <w:rsid w:val="009C1F7E"/>
    <w:rsid w:val="009C2036"/>
    <w:rsid w:val="009C20A0"/>
    <w:rsid w:val="009C20B4"/>
    <w:rsid w:val="009C2133"/>
    <w:rsid w:val="009C21B6"/>
    <w:rsid w:val="009C2306"/>
    <w:rsid w:val="009C2401"/>
    <w:rsid w:val="009C24E3"/>
    <w:rsid w:val="009C24E5"/>
    <w:rsid w:val="009C2712"/>
    <w:rsid w:val="009C2764"/>
    <w:rsid w:val="009C27E5"/>
    <w:rsid w:val="009C2B8E"/>
    <w:rsid w:val="009C2B8F"/>
    <w:rsid w:val="009C2C0F"/>
    <w:rsid w:val="009C2C50"/>
    <w:rsid w:val="009C2D10"/>
    <w:rsid w:val="009C308B"/>
    <w:rsid w:val="009C3170"/>
    <w:rsid w:val="009C355A"/>
    <w:rsid w:val="009C3578"/>
    <w:rsid w:val="009C35E8"/>
    <w:rsid w:val="009C36AA"/>
    <w:rsid w:val="009C38CB"/>
    <w:rsid w:val="009C396C"/>
    <w:rsid w:val="009C39CF"/>
    <w:rsid w:val="009C3D1C"/>
    <w:rsid w:val="009C3D4B"/>
    <w:rsid w:val="009C3D9E"/>
    <w:rsid w:val="009C3E4B"/>
    <w:rsid w:val="009C3F0D"/>
    <w:rsid w:val="009C3F91"/>
    <w:rsid w:val="009C4162"/>
    <w:rsid w:val="009C4176"/>
    <w:rsid w:val="009C42D7"/>
    <w:rsid w:val="009C476B"/>
    <w:rsid w:val="009C4778"/>
    <w:rsid w:val="009C4856"/>
    <w:rsid w:val="009C4B32"/>
    <w:rsid w:val="009C4B59"/>
    <w:rsid w:val="009C4D30"/>
    <w:rsid w:val="009C4D42"/>
    <w:rsid w:val="009C4F57"/>
    <w:rsid w:val="009C515B"/>
    <w:rsid w:val="009C5181"/>
    <w:rsid w:val="009C519B"/>
    <w:rsid w:val="009C5337"/>
    <w:rsid w:val="009C534C"/>
    <w:rsid w:val="009C5412"/>
    <w:rsid w:val="009C5941"/>
    <w:rsid w:val="009C5997"/>
    <w:rsid w:val="009C5AB9"/>
    <w:rsid w:val="009C5AD7"/>
    <w:rsid w:val="009C5BA0"/>
    <w:rsid w:val="009C5BA6"/>
    <w:rsid w:val="009C5C87"/>
    <w:rsid w:val="009C5CB5"/>
    <w:rsid w:val="009C5CBE"/>
    <w:rsid w:val="009C5D0D"/>
    <w:rsid w:val="009C5E0D"/>
    <w:rsid w:val="009C611F"/>
    <w:rsid w:val="009C6162"/>
    <w:rsid w:val="009C61BD"/>
    <w:rsid w:val="009C61CA"/>
    <w:rsid w:val="009C61D3"/>
    <w:rsid w:val="009C641F"/>
    <w:rsid w:val="009C6434"/>
    <w:rsid w:val="009C6541"/>
    <w:rsid w:val="009C6576"/>
    <w:rsid w:val="009C675F"/>
    <w:rsid w:val="009C6A6B"/>
    <w:rsid w:val="009C6BB2"/>
    <w:rsid w:val="009C6CC6"/>
    <w:rsid w:val="009C6E62"/>
    <w:rsid w:val="009C6EF8"/>
    <w:rsid w:val="009C70AB"/>
    <w:rsid w:val="009C7336"/>
    <w:rsid w:val="009C7421"/>
    <w:rsid w:val="009C790A"/>
    <w:rsid w:val="009C79FC"/>
    <w:rsid w:val="009C7A9B"/>
    <w:rsid w:val="009C7B9F"/>
    <w:rsid w:val="009C7CC7"/>
    <w:rsid w:val="009C7D58"/>
    <w:rsid w:val="009C7ECE"/>
    <w:rsid w:val="009D00D5"/>
    <w:rsid w:val="009D0165"/>
    <w:rsid w:val="009D05F9"/>
    <w:rsid w:val="009D0835"/>
    <w:rsid w:val="009D0912"/>
    <w:rsid w:val="009D0960"/>
    <w:rsid w:val="009D099F"/>
    <w:rsid w:val="009D09E4"/>
    <w:rsid w:val="009D0A37"/>
    <w:rsid w:val="009D0B98"/>
    <w:rsid w:val="009D0BB5"/>
    <w:rsid w:val="009D0DBF"/>
    <w:rsid w:val="009D0F26"/>
    <w:rsid w:val="009D1049"/>
    <w:rsid w:val="009D1160"/>
    <w:rsid w:val="009D12F3"/>
    <w:rsid w:val="009D1430"/>
    <w:rsid w:val="009D14B1"/>
    <w:rsid w:val="009D1563"/>
    <w:rsid w:val="009D18AD"/>
    <w:rsid w:val="009D199B"/>
    <w:rsid w:val="009D1AB4"/>
    <w:rsid w:val="009D1BB5"/>
    <w:rsid w:val="009D1C19"/>
    <w:rsid w:val="009D1D39"/>
    <w:rsid w:val="009D1E57"/>
    <w:rsid w:val="009D1F07"/>
    <w:rsid w:val="009D1F51"/>
    <w:rsid w:val="009D1FA3"/>
    <w:rsid w:val="009D2003"/>
    <w:rsid w:val="009D2298"/>
    <w:rsid w:val="009D22EA"/>
    <w:rsid w:val="009D2478"/>
    <w:rsid w:val="009D249D"/>
    <w:rsid w:val="009D26B4"/>
    <w:rsid w:val="009D27C8"/>
    <w:rsid w:val="009D298B"/>
    <w:rsid w:val="009D29D7"/>
    <w:rsid w:val="009D2A0A"/>
    <w:rsid w:val="009D2B37"/>
    <w:rsid w:val="009D2BAB"/>
    <w:rsid w:val="009D2BD1"/>
    <w:rsid w:val="009D2BD2"/>
    <w:rsid w:val="009D2C05"/>
    <w:rsid w:val="009D2D84"/>
    <w:rsid w:val="009D2E98"/>
    <w:rsid w:val="009D301B"/>
    <w:rsid w:val="009D32F8"/>
    <w:rsid w:val="009D33DE"/>
    <w:rsid w:val="009D34B1"/>
    <w:rsid w:val="009D3727"/>
    <w:rsid w:val="009D3743"/>
    <w:rsid w:val="009D386F"/>
    <w:rsid w:val="009D3870"/>
    <w:rsid w:val="009D38C2"/>
    <w:rsid w:val="009D3AC8"/>
    <w:rsid w:val="009D3B14"/>
    <w:rsid w:val="009D3B1A"/>
    <w:rsid w:val="009D3B55"/>
    <w:rsid w:val="009D3CC1"/>
    <w:rsid w:val="009D4088"/>
    <w:rsid w:val="009D4102"/>
    <w:rsid w:val="009D42F8"/>
    <w:rsid w:val="009D4329"/>
    <w:rsid w:val="009D43DE"/>
    <w:rsid w:val="009D4672"/>
    <w:rsid w:val="009D4910"/>
    <w:rsid w:val="009D4A53"/>
    <w:rsid w:val="009D4FF6"/>
    <w:rsid w:val="009D5067"/>
    <w:rsid w:val="009D5082"/>
    <w:rsid w:val="009D5115"/>
    <w:rsid w:val="009D5255"/>
    <w:rsid w:val="009D52D4"/>
    <w:rsid w:val="009D530E"/>
    <w:rsid w:val="009D558A"/>
    <w:rsid w:val="009D5698"/>
    <w:rsid w:val="009D5ADF"/>
    <w:rsid w:val="009D5E77"/>
    <w:rsid w:val="009D5FEC"/>
    <w:rsid w:val="009D60B3"/>
    <w:rsid w:val="009D61B6"/>
    <w:rsid w:val="009D62C8"/>
    <w:rsid w:val="009D64F4"/>
    <w:rsid w:val="009D662F"/>
    <w:rsid w:val="009D66CE"/>
    <w:rsid w:val="009D675A"/>
    <w:rsid w:val="009D683A"/>
    <w:rsid w:val="009D68A6"/>
    <w:rsid w:val="009D6A69"/>
    <w:rsid w:val="009D6AB1"/>
    <w:rsid w:val="009D6CCE"/>
    <w:rsid w:val="009D713B"/>
    <w:rsid w:val="009D7184"/>
    <w:rsid w:val="009D71A8"/>
    <w:rsid w:val="009D7362"/>
    <w:rsid w:val="009D737D"/>
    <w:rsid w:val="009D75FA"/>
    <w:rsid w:val="009D768E"/>
    <w:rsid w:val="009D7814"/>
    <w:rsid w:val="009D79B0"/>
    <w:rsid w:val="009D7A82"/>
    <w:rsid w:val="009D7B3A"/>
    <w:rsid w:val="009D7B74"/>
    <w:rsid w:val="009D7C93"/>
    <w:rsid w:val="009D7D3D"/>
    <w:rsid w:val="009D7FB3"/>
    <w:rsid w:val="009D7FDD"/>
    <w:rsid w:val="009E00FD"/>
    <w:rsid w:val="009E010F"/>
    <w:rsid w:val="009E0130"/>
    <w:rsid w:val="009E0150"/>
    <w:rsid w:val="009E02AB"/>
    <w:rsid w:val="009E0434"/>
    <w:rsid w:val="009E05D1"/>
    <w:rsid w:val="009E0726"/>
    <w:rsid w:val="009E088F"/>
    <w:rsid w:val="009E0899"/>
    <w:rsid w:val="009E09AB"/>
    <w:rsid w:val="009E0A55"/>
    <w:rsid w:val="009E0B4E"/>
    <w:rsid w:val="009E0DE6"/>
    <w:rsid w:val="009E116C"/>
    <w:rsid w:val="009E13E7"/>
    <w:rsid w:val="009E1588"/>
    <w:rsid w:val="009E1668"/>
    <w:rsid w:val="009E1B96"/>
    <w:rsid w:val="009E1C20"/>
    <w:rsid w:val="009E1E3A"/>
    <w:rsid w:val="009E1E6A"/>
    <w:rsid w:val="009E1F09"/>
    <w:rsid w:val="009E2156"/>
    <w:rsid w:val="009E21EB"/>
    <w:rsid w:val="009E231A"/>
    <w:rsid w:val="009E235F"/>
    <w:rsid w:val="009E261E"/>
    <w:rsid w:val="009E2626"/>
    <w:rsid w:val="009E269B"/>
    <w:rsid w:val="009E2726"/>
    <w:rsid w:val="009E27C4"/>
    <w:rsid w:val="009E2840"/>
    <w:rsid w:val="009E2C4C"/>
    <w:rsid w:val="009E2D3C"/>
    <w:rsid w:val="009E3013"/>
    <w:rsid w:val="009E3132"/>
    <w:rsid w:val="009E3141"/>
    <w:rsid w:val="009E330C"/>
    <w:rsid w:val="009E33B1"/>
    <w:rsid w:val="009E34E1"/>
    <w:rsid w:val="009E351F"/>
    <w:rsid w:val="009E35A7"/>
    <w:rsid w:val="009E3663"/>
    <w:rsid w:val="009E3794"/>
    <w:rsid w:val="009E37DC"/>
    <w:rsid w:val="009E389B"/>
    <w:rsid w:val="009E3A9B"/>
    <w:rsid w:val="009E3AB5"/>
    <w:rsid w:val="009E3B22"/>
    <w:rsid w:val="009E3BE6"/>
    <w:rsid w:val="009E3D27"/>
    <w:rsid w:val="009E3D83"/>
    <w:rsid w:val="009E410C"/>
    <w:rsid w:val="009E41D9"/>
    <w:rsid w:val="009E42FE"/>
    <w:rsid w:val="009E4592"/>
    <w:rsid w:val="009E469A"/>
    <w:rsid w:val="009E4AAF"/>
    <w:rsid w:val="009E4BFB"/>
    <w:rsid w:val="009E4C1B"/>
    <w:rsid w:val="009E4CE4"/>
    <w:rsid w:val="009E4EF0"/>
    <w:rsid w:val="009E4F52"/>
    <w:rsid w:val="009E4F88"/>
    <w:rsid w:val="009E4F9B"/>
    <w:rsid w:val="009E5050"/>
    <w:rsid w:val="009E5114"/>
    <w:rsid w:val="009E53B9"/>
    <w:rsid w:val="009E5573"/>
    <w:rsid w:val="009E56E8"/>
    <w:rsid w:val="009E57E4"/>
    <w:rsid w:val="009E5910"/>
    <w:rsid w:val="009E5B9E"/>
    <w:rsid w:val="009E5C00"/>
    <w:rsid w:val="009E5C88"/>
    <w:rsid w:val="009E5E00"/>
    <w:rsid w:val="009E5E44"/>
    <w:rsid w:val="009E5E52"/>
    <w:rsid w:val="009E5F5B"/>
    <w:rsid w:val="009E6085"/>
    <w:rsid w:val="009E6224"/>
    <w:rsid w:val="009E632C"/>
    <w:rsid w:val="009E6433"/>
    <w:rsid w:val="009E6526"/>
    <w:rsid w:val="009E68FF"/>
    <w:rsid w:val="009E6975"/>
    <w:rsid w:val="009E6A23"/>
    <w:rsid w:val="009E6A86"/>
    <w:rsid w:val="009E6D35"/>
    <w:rsid w:val="009E6E96"/>
    <w:rsid w:val="009E7084"/>
    <w:rsid w:val="009E7144"/>
    <w:rsid w:val="009E7192"/>
    <w:rsid w:val="009E7272"/>
    <w:rsid w:val="009E7303"/>
    <w:rsid w:val="009E738B"/>
    <w:rsid w:val="009E7501"/>
    <w:rsid w:val="009E75A6"/>
    <w:rsid w:val="009E78B0"/>
    <w:rsid w:val="009E7941"/>
    <w:rsid w:val="009E7970"/>
    <w:rsid w:val="009E7976"/>
    <w:rsid w:val="009E79E7"/>
    <w:rsid w:val="009E7A65"/>
    <w:rsid w:val="009E7A91"/>
    <w:rsid w:val="009E7BBA"/>
    <w:rsid w:val="009E7E68"/>
    <w:rsid w:val="009E7E74"/>
    <w:rsid w:val="009E7EBD"/>
    <w:rsid w:val="009E7FC0"/>
    <w:rsid w:val="009F021D"/>
    <w:rsid w:val="009F0282"/>
    <w:rsid w:val="009F0290"/>
    <w:rsid w:val="009F04EC"/>
    <w:rsid w:val="009F0537"/>
    <w:rsid w:val="009F0538"/>
    <w:rsid w:val="009F05CB"/>
    <w:rsid w:val="009F0679"/>
    <w:rsid w:val="009F076F"/>
    <w:rsid w:val="009F079E"/>
    <w:rsid w:val="009F080F"/>
    <w:rsid w:val="009F0842"/>
    <w:rsid w:val="009F09AF"/>
    <w:rsid w:val="009F0D34"/>
    <w:rsid w:val="009F0E5B"/>
    <w:rsid w:val="009F109E"/>
    <w:rsid w:val="009F115A"/>
    <w:rsid w:val="009F1255"/>
    <w:rsid w:val="009F131A"/>
    <w:rsid w:val="009F143D"/>
    <w:rsid w:val="009F15E8"/>
    <w:rsid w:val="009F1742"/>
    <w:rsid w:val="009F1772"/>
    <w:rsid w:val="009F17C8"/>
    <w:rsid w:val="009F1831"/>
    <w:rsid w:val="009F187B"/>
    <w:rsid w:val="009F1996"/>
    <w:rsid w:val="009F19F0"/>
    <w:rsid w:val="009F1A58"/>
    <w:rsid w:val="009F1B37"/>
    <w:rsid w:val="009F1B86"/>
    <w:rsid w:val="009F1D60"/>
    <w:rsid w:val="009F1F9F"/>
    <w:rsid w:val="009F201A"/>
    <w:rsid w:val="009F207A"/>
    <w:rsid w:val="009F213F"/>
    <w:rsid w:val="009F22F0"/>
    <w:rsid w:val="009F23EF"/>
    <w:rsid w:val="009F24BF"/>
    <w:rsid w:val="009F24C7"/>
    <w:rsid w:val="009F251C"/>
    <w:rsid w:val="009F2582"/>
    <w:rsid w:val="009F272B"/>
    <w:rsid w:val="009F27DF"/>
    <w:rsid w:val="009F2DD4"/>
    <w:rsid w:val="009F2E0A"/>
    <w:rsid w:val="009F2EC4"/>
    <w:rsid w:val="009F2F97"/>
    <w:rsid w:val="009F2F9F"/>
    <w:rsid w:val="009F30BE"/>
    <w:rsid w:val="009F314F"/>
    <w:rsid w:val="009F31A8"/>
    <w:rsid w:val="009F3381"/>
    <w:rsid w:val="009F3402"/>
    <w:rsid w:val="009F34AD"/>
    <w:rsid w:val="009F353D"/>
    <w:rsid w:val="009F3565"/>
    <w:rsid w:val="009F358B"/>
    <w:rsid w:val="009F3644"/>
    <w:rsid w:val="009F365C"/>
    <w:rsid w:val="009F3679"/>
    <w:rsid w:val="009F3878"/>
    <w:rsid w:val="009F38C0"/>
    <w:rsid w:val="009F3A1B"/>
    <w:rsid w:val="009F3AF3"/>
    <w:rsid w:val="009F3B5D"/>
    <w:rsid w:val="009F3BF4"/>
    <w:rsid w:val="009F3C18"/>
    <w:rsid w:val="009F3C1D"/>
    <w:rsid w:val="009F3C75"/>
    <w:rsid w:val="009F3FA7"/>
    <w:rsid w:val="009F4415"/>
    <w:rsid w:val="009F44EC"/>
    <w:rsid w:val="009F4597"/>
    <w:rsid w:val="009F46F9"/>
    <w:rsid w:val="009F47F9"/>
    <w:rsid w:val="009F483B"/>
    <w:rsid w:val="009F4852"/>
    <w:rsid w:val="009F4970"/>
    <w:rsid w:val="009F4B7A"/>
    <w:rsid w:val="009F4CAD"/>
    <w:rsid w:val="009F4D6D"/>
    <w:rsid w:val="009F4F2E"/>
    <w:rsid w:val="009F5079"/>
    <w:rsid w:val="009F5359"/>
    <w:rsid w:val="009F536E"/>
    <w:rsid w:val="009F53DF"/>
    <w:rsid w:val="009F5473"/>
    <w:rsid w:val="009F54E5"/>
    <w:rsid w:val="009F5603"/>
    <w:rsid w:val="009F5624"/>
    <w:rsid w:val="009F5830"/>
    <w:rsid w:val="009F5B5B"/>
    <w:rsid w:val="009F5BD6"/>
    <w:rsid w:val="009F5D31"/>
    <w:rsid w:val="009F5E94"/>
    <w:rsid w:val="009F5F6B"/>
    <w:rsid w:val="009F61F5"/>
    <w:rsid w:val="009F661A"/>
    <w:rsid w:val="009F6804"/>
    <w:rsid w:val="009F6885"/>
    <w:rsid w:val="009F6919"/>
    <w:rsid w:val="009F6AAC"/>
    <w:rsid w:val="009F6B1C"/>
    <w:rsid w:val="009F6B3A"/>
    <w:rsid w:val="009F6B61"/>
    <w:rsid w:val="009F6BC8"/>
    <w:rsid w:val="009F6BD1"/>
    <w:rsid w:val="009F6CDD"/>
    <w:rsid w:val="009F6FB4"/>
    <w:rsid w:val="009F7159"/>
    <w:rsid w:val="009F725B"/>
    <w:rsid w:val="009F7455"/>
    <w:rsid w:val="009F748D"/>
    <w:rsid w:val="009F7516"/>
    <w:rsid w:val="009F77BE"/>
    <w:rsid w:val="009F7953"/>
    <w:rsid w:val="009F7C5B"/>
    <w:rsid w:val="009F7D15"/>
    <w:rsid w:val="009F7D33"/>
    <w:rsid w:val="009F7F02"/>
    <w:rsid w:val="00A00004"/>
    <w:rsid w:val="00A0004C"/>
    <w:rsid w:val="00A001C3"/>
    <w:rsid w:val="00A0035A"/>
    <w:rsid w:val="00A003ED"/>
    <w:rsid w:val="00A004AC"/>
    <w:rsid w:val="00A00674"/>
    <w:rsid w:val="00A006A2"/>
    <w:rsid w:val="00A006C7"/>
    <w:rsid w:val="00A007CF"/>
    <w:rsid w:val="00A00876"/>
    <w:rsid w:val="00A00A9E"/>
    <w:rsid w:val="00A00D36"/>
    <w:rsid w:val="00A00D4D"/>
    <w:rsid w:val="00A00EB2"/>
    <w:rsid w:val="00A0103C"/>
    <w:rsid w:val="00A011C1"/>
    <w:rsid w:val="00A01379"/>
    <w:rsid w:val="00A013E3"/>
    <w:rsid w:val="00A01559"/>
    <w:rsid w:val="00A017B8"/>
    <w:rsid w:val="00A01886"/>
    <w:rsid w:val="00A01893"/>
    <w:rsid w:val="00A0198E"/>
    <w:rsid w:val="00A019BC"/>
    <w:rsid w:val="00A01C6A"/>
    <w:rsid w:val="00A01F45"/>
    <w:rsid w:val="00A02193"/>
    <w:rsid w:val="00A021CE"/>
    <w:rsid w:val="00A0222D"/>
    <w:rsid w:val="00A022F3"/>
    <w:rsid w:val="00A0241C"/>
    <w:rsid w:val="00A02577"/>
    <w:rsid w:val="00A026C1"/>
    <w:rsid w:val="00A02702"/>
    <w:rsid w:val="00A02763"/>
    <w:rsid w:val="00A02831"/>
    <w:rsid w:val="00A028B3"/>
    <w:rsid w:val="00A029BB"/>
    <w:rsid w:val="00A029CC"/>
    <w:rsid w:val="00A02AA3"/>
    <w:rsid w:val="00A02AD1"/>
    <w:rsid w:val="00A02BC4"/>
    <w:rsid w:val="00A02C73"/>
    <w:rsid w:val="00A02CDD"/>
    <w:rsid w:val="00A02D33"/>
    <w:rsid w:val="00A02D5B"/>
    <w:rsid w:val="00A02D5F"/>
    <w:rsid w:val="00A02EAC"/>
    <w:rsid w:val="00A0302A"/>
    <w:rsid w:val="00A0302E"/>
    <w:rsid w:val="00A0326B"/>
    <w:rsid w:val="00A03734"/>
    <w:rsid w:val="00A0390D"/>
    <w:rsid w:val="00A03928"/>
    <w:rsid w:val="00A039D4"/>
    <w:rsid w:val="00A03A9D"/>
    <w:rsid w:val="00A03C0D"/>
    <w:rsid w:val="00A03D68"/>
    <w:rsid w:val="00A03DC2"/>
    <w:rsid w:val="00A03E41"/>
    <w:rsid w:val="00A03F4F"/>
    <w:rsid w:val="00A03F6A"/>
    <w:rsid w:val="00A04032"/>
    <w:rsid w:val="00A04602"/>
    <w:rsid w:val="00A0461B"/>
    <w:rsid w:val="00A0468F"/>
    <w:rsid w:val="00A048FC"/>
    <w:rsid w:val="00A04ADF"/>
    <w:rsid w:val="00A04B34"/>
    <w:rsid w:val="00A04B9B"/>
    <w:rsid w:val="00A04C29"/>
    <w:rsid w:val="00A04CFE"/>
    <w:rsid w:val="00A04D06"/>
    <w:rsid w:val="00A04F5E"/>
    <w:rsid w:val="00A04FC5"/>
    <w:rsid w:val="00A05083"/>
    <w:rsid w:val="00A0520B"/>
    <w:rsid w:val="00A05423"/>
    <w:rsid w:val="00A05501"/>
    <w:rsid w:val="00A05657"/>
    <w:rsid w:val="00A0587B"/>
    <w:rsid w:val="00A05B44"/>
    <w:rsid w:val="00A05B91"/>
    <w:rsid w:val="00A05DC5"/>
    <w:rsid w:val="00A05E54"/>
    <w:rsid w:val="00A05E66"/>
    <w:rsid w:val="00A05F53"/>
    <w:rsid w:val="00A05F60"/>
    <w:rsid w:val="00A05FC6"/>
    <w:rsid w:val="00A061CB"/>
    <w:rsid w:val="00A06284"/>
    <w:rsid w:val="00A063A3"/>
    <w:rsid w:val="00A066D7"/>
    <w:rsid w:val="00A0675E"/>
    <w:rsid w:val="00A0687D"/>
    <w:rsid w:val="00A068A4"/>
    <w:rsid w:val="00A06910"/>
    <w:rsid w:val="00A0696A"/>
    <w:rsid w:val="00A06CCC"/>
    <w:rsid w:val="00A06D5B"/>
    <w:rsid w:val="00A06DCD"/>
    <w:rsid w:val="00A06E86"/>
    <w:rsid w:val="00A06EF4"/>
    <w:rsid w:val="00A06FB2"/>
    <w:rsid w:val="00A070DA"/>
    <w:rsid w:val="00A0715D"/>
    <w:rsid w:val="00A072D6"/>
    <w:rsid w:val="00A07357"/>
    <w:rsid w:val="00A074D5"/>
    <w:rsid w:val="00A07522"/>
    <w:rsid w:val="00A07624"/>
    <w:rsid w:val="00A0766A"/>
    <w:rsid w:val="00A07792"/>
    <w:rsid w:val="00A0783B"/>
    <w:rsid w:val="00A07908"/>
    <w:rsid w:val="00A07963"/>
    <w:rsid w:val="00A07969"/>
    <w:rsid w:val="00A079E7"/>
    <w:rsid w:val="00A07A21"/>
    <w:rsid w:val="00A07E69"/>
    <w:rsid w:val="00A07E96"/>
    <w:rsid w:val="00A07FC0"/>
    <w:rsid w:val="00A100C1"/>
    <w:rsid w:val="00A10122"/>
    <w:rsid w:val="00A1043C"/>
    <w:rsid w:val="00A10595"/>
    <w:rsid w:val="00A105F8"/>
    <w:rsid w:val="00A1066A"/>
    <w:rsid w:val="00A106D6"/>
    <w:rsid w:val="00A10780"/>
    <w:rsid w:val="00A10835"/>
    <w:rsid w:val="00A108B0"/>
    <w:rsid w:val="00A10C21"/>
    <w:rsid w:val="00A10DFE"/>
    <w:rsid w:val="00A10E09"/>
    <w:rsid w:val="00A10EF3"/>
    <w:rsid w:val="00A10F8A"/>
    <w:rsid w:val="00A11046"/>
    <w:rsid w:val="00A11053"/>
    <w:rsid w:val="00A1123A"/>
    <w:rsid w:val="00A113F6"/>
    <w:rsid w:val="00A1146D"/>
    <w:rsid w:val="00A115CA"/>
    <w:rsid w:val="00A11821"/>
    <w:rsid w:val="00A11A01"/>
    <w:rsid w:val="00A11B17"/>
    <w:rsid w:val="00A11B20"/>
    <w:rsid w:val="00A11B9E"/>
    <w:rsid w:val="00A11C7B"/>
    <w:rsid w:val="00A1203A"/>
    <w:rsid w:val="00A120B2"/>
    <w:rsid w:val="00A120BC"/>
    <w:rsid w:val="00A1217F"/>
    <w:rsid w:val="00A122F1"/>
    <w:rsid w:val="00A123D5"/>
    <w:rsid w:val="00A12481"/>
    <w:rsid w:val="00A124B9"/>
    <w:rsid w:val="00A1263E"/>
    <w:rsid w:val="00A12719"/>
    <w:rsid w:val="00A12794"/>
    <w:rsid w:val="00A12864"/>
    <w:rsid w:val="00A12A1A"/>
    <w:rsid w:val="00A12BA0"/>
    <w:rsid w:val="00A12BBA"/>
    <w:rsid w:val="00A12C4C"/>
    <w:rsid w:val="00A12C76"/>
    <w:rsid w:val="00A12C87"/>
    <w:rsid w:val="00A12CC9"/>
    <w:rsid w:val="00A12DD2"/>
    <w:rsid w:val="00A12E06"/>
    <w:rsid w:val="00A12F4B"/>
    <w:rsid w:val="00A1318D"/>
    <w:rsid w:val="00A13236"/>
    <w:rsid w:val="00A1335B"/>
    <w:rsid w:val="00A13385"/>
    <w:rsid w:val="00A13599"/>
    <w:rsid w:val="00A1380F"/>
    <w:rsid w:val="00A139A5"/>
    <w:rsid w:val="00A13A20"/>
    <w:rsid w:val="00A13A35"/>
    <w:rsid w:val="00A13A4B"/>
    <w:rsid w:val="00A13AFB"/>
    <w:rsid w:val="00A13B04"/>
    <w:rsid w:val="00A13DE0"/>
    <w:rsid w:val="00A13ED7"/>
    <w:rsid w:val="00A1405D"/>
    <w:rsid w:val="00A14083"/>
    <w:rsid w:val="00A14165"/>
    <w:rsid w:val="00A14222"/>
    <w:rsid w:val="00A1423E"/>
    <w:rsid w:val="00A14632"/>
    <w:rsid w:val="00A148B3"/>
    <w:rsid w:val="00A14A0C"/>
    <w:rsid w:val="00A14A80"/>
    <w:rsid w:val="00A14AC2"/>
    <w:rsid w:val="00A14B26"/>
    <w:rsid w:val="00A14BCE"/>
    <w:rsid w:val="00A14BED"/>
    <w:rsid w:val="00A14CB4"/>
    <w:rsid w:val="00A14CE1"/>
    <w:rsid w:val="00A14CE3"/>
    <w:rsid w:val="00A14D80"/>
    <w:rsid w:val="00A14DBF"/>
    <w:rsid w:val="00A14DF0"/>
    <w:rsid w:val="00A14E11"/>
    <w:rsid w:val="00A150BB"/>
    <w:rsid w:val="00A1511B"/>
    <w:rsid w:val="00A15151"/>
    <w:rsid w:val="00A15287"/>
    <w:rsid w:val="00A152EB"/>
    <w:rsid w:val="00A153A0"/>
    <w:rsid w:val="00A15486"/>
    <w:rsid w:val="00A15597"/>
    <w:rsid w:val="00A1575C"/>
    <w:rsid w:val="00A1592A"/>
    <w:rsid w:val="00A15CCD"/>
    <w:rsid w:val="00A15DAE"/>
    <w:rsid w:val="00A15ECC"/>
    <w:rsid w:val="00A1616C"/>
    <w:rsid w:val="00A16244"/>
    <w:rsid w:val="00A16296"/>
    <w:rsid w:val="00A1636D"/>
    <w:rsid w:val="00A16398"/>
    <w:rsid w:val="00A163B0"/>
    <w:rsid w:val="00A16808"/>
    <w:rsid w:val="00A168B5"/>
    <w:rsid w:val="00A1691D"/>
    <w:rsid w:val="00A1699A"/>
    <w:rsid w:val="00A169EE"/>
    <w:rsid w:val="00A16A9E"/>
    <w:rsid w:val="00A16D04"/>
    <w:rsid w:val="00A16E59"/>
    <w:rsid w:val="00A171A5"/>
    <w:rsid w:val="00A172DF"/>
    <w:rsid w:val="00A173E8"/>
    <w:rsid w:val="00A17468"/>
    <w:rsid w:val="00A17541"/>
    <w:rsid w:val="00A17620"/>
    <w:rsid w:val="00A17755"/>
    <w:rsid w:val="00A177C5"/>
    <w:rsid w:val="00A177DC"/>
    <w:rsid w:val="00A17823"/>
    <w:rsid w:val="00A17A33"/>
    <w:rsid w:val="00A17A42"/>
    <w:rsid w:val="00A17AC9"/>
    <w:rsid w:val="00A17CF7"/>
    <w:rsid w:val="00A17D5C"/>
    <w:rsid w:val="00A17D6B"/>
    <w:rsid w:val="00A17DCF"/>
    <w:rsid w:val="00A17EF0"/>
    <w:rsid w:val="00A200DE"/>
    <w:rsid w:val="00A20156"/>
    <w:rsid w:val="00A20166"/>
    <w:rsid w:val="00A20222"/>
    <w:rsid w:val="00A203F9"/>
    <w:rsid w:val="00A204FC"/>
    <w:rsid w:val="00A205C8"/>
    <w:rsid w:val="00A205DE"/>
    <w:rsid w:val="00A205E0"/>
    <w:rsid w:val="00A205EF"/>
    <w:rsid w:val="00A20642"/>
    <w:rsid w:val="00A206C4"/>
    <w:rsid w:val="00A20764"/>
    <w:rsid w:val="00A20E21"/>
    <w:rsid w:val="00A21026"/>
    <w:rsid w:val="00A2102A"/>
    <w:rsid w:val="00A21081"/>
    <w:rsid w:val="00A213A6"/>
    <w:rsid w:val="00A21486"/>
    <w:rsid w:val="00A2154A"/>
    <w:rsid w:val="00A21558"/>
    <w:rsid w:val="00A216B5"/>
    <w:rsid w:val="00A21728"/>
    <w:rsid w:val="00A219AE"/>
    <w:rsid w:val="00A21BAC"/>
    <w:rsid w:val="00A21BC6"/>
    <w:rsid w:val="00A21C1C"/>
    <w:rsid w:val="00A21E56"/>
    <w:rsid w:val="00A21EBD"/>
    <w:rsid w:val="00A21EEE"/>
    <w:rsid w:val="00A22027"/>
    <w:rsid w:val="00A222E9"/>
    <w:rsid w:val="00A222F7"/>
    <w:rsid w:val="00A222FA"/>
    <w:rsid w:val="00A223E4"/>
    <w:rsid w:val="00A224F8"/>
    <w:rsid w:val="00A226F6"/>
    <w:rsid w:val="00A22790"/>
    <w:rsid w:val="00A2280B"/>
    <w:rsid w:val="00A22C6F"/>
    <w:rsid w:val="00A22DE1"/>
    <w:rsid w:val="00A22EAF"/>
    <w:rsid w:val="00A22EF9"/>
    <w:rsid w:val="00A22FAD"/>
    <w:rsid w:val="00A22FB0"/>
    <w:rsid w:val="00A23228"/>
    <w:rsid w:val="00A233F0"/>
    <w:rsid w:val="00A234BA"/>
    <w:rsid w:val="00A234CC"/>
    <w:rsid w:val="00A2356F"/>
    <w:rsid w:val="00A235B0"/>
    <w:rsid w:val="00A2364B"/>
    <w:rsid w:val="00A2369A"/>
    <w:rsid w:val="00A236B9"/>
    <w:rsid w:val="00A238DF"/>
    <w:rsid w:val="00A23AE9"/>
    <w:rsid w:val="00A23C22"/>
    <w:rsid w:val="00A23C50"/>
    <w:rsid w:val="00A23D67"/>
    <w:rsid w:val="00A23E2C"/>
    <w:rsid w:val="00A23EDD"/>
    <w:rsid w:val="00A23F91"/>
    <w:rsid w:val="00A2408A"/>
    <w:rsid w:val="00A24284"/>
    <w:rsid w:val="00A2435C"/>
    <w:rsid w:val="00A244B0"/>
    <w:rsid w:val="00A2450C"/>
    <w:rsid w:val="00A245C2"/>
    <w:rsid w:val="00A24615"/>
    <w:rsid w:val="00A2469C"/>
    <w:rsid w:val="00A246E7"/>
    <w:rsid w:val="00A247C0"/>
    <w:rsid w:val="00A24C35"/>
    <w:rsid w:val="00A24E57"/>
    <w:rsid w:val="00A24F78"/>
    <w:rsid w:val="00A24FF2"/>
    <w:rsid w:val="00A250AF"/>
    <w:rsid w:val="00A25459"/>
    <w:rsid w:val="00A25512"/>
    <w:rsid w:val="00A2555C"/>
    <w:rsid w:val="00A25571"/>
    <w:rsid w:val="00A2561B"/>
    <w:rsid w:val="00A2565B"/>
    <w:rsid w:val="00A25848"/>
    <w:rsid w:val="00A25941"/>
    <w:rsid w:val="00A25A5B"/>
    <w:rsid w:val="00A25B11"/>
    <w:rsid w:val="00A25B9F"/>
    <w:rsid w:val="00A25C09"/>
    <w:rsid w:val="00A25D79"/>
    <w:rsid w:val="00A25DDE"/>
    <w:rsid w:val="00A25EC4"/>
    <w:rsid w:val="00A26063"/>
    <w:rsid w:val="00A260AA"/>
    <w:rsid w:val="00A2612C"/>
    <w:rsid w:val="00A2621F"/>
    <w:rsid w:val="00A26374"/>
    <w:rsid w:val="00A26452"/>
    <w:rsid w:val="00A26472"/>
    <w:rsid w:val="00A26664"/>
    <w:rsid w:val="00A266D8"/>
    <w:rsid w:val="00A26705"/>
    <w:rsid w:val="00A267F7"/>
    <w:rsid w:val="00A267FE"/>
    <w:rsid w:val="00A26801"/>
    <w:rsid w:val="00A268E8"/>
    <w:rsid w:val="00A26A40"/>
    <w:rsid w:val="00A26B16"/>
    <w:rsid w:val="00A26BA0"/>
    <w:rsid w:val="00A26BC7"/>
    <w:rsid w:val="00A26BE3"/>
    <w:rsid w:val="00A26D8E"/>
    <w:rsid w:val="00A271C5"/>
    <w:rsid w:val="00A272A6"/>
    <w:rsid w:val="00A272CA"/>
    <w:rsid w:val="00A2735D"/>
    <w:rsid w:val="00A273AA"/>
    <w:rsid w:val="00A2742C"/>
    <w:rsid w:val="00A27463"/>
    <w:rsid w:val="00A27652"/>
    <w:rsid w:val="00A27927"/>
    <w:rsid w:val="00A27977"/>
    <w:rsid w:val="00A27995"/>
    <w:rsid w:val="00A2799D"/>
    <w:rsid w:val="00A27A4E"/>
    <w:rsid w:val="00A27BC6"/>
    <w:rsid w:val="00A27C0E"/>
    <w:rsid w:val="00A27CAB"/>
    <w:rsid w:val="00A27CDF"/>
    <w:rsid w:val="00A27D17"/>
    <w:rsid w:val="00A27D74"/>
    <w:rsid w:val="00A27D7E"/>
    <w:rsid w:val="00A27FAA"/>
    <w:rsid w:val="00A27FDE"/>
    <w:rsid w:val="00A301AD"/>
    <w:rsid w:val="00A3025F"/>
    <w:rsid w:val="00A3034D"/>
    <w:rsid w:val="00A305EB"/>
    <w:rsid w:val="00A307B8"/>
    <w:rsid w:val="00A3088C"/>
    <w:rsid w:val="00A309AE"/>
    <w:rsid w:val="00A30A09"/>
    <w:rsid w:val="00A30B38"/>
    <w:rsid w:val="00A30BDA"/>
    <w:rsid w:val="00A30C3C"/>
    <w:rsid w:val="00A30C54"/>
    <w:rsid w:val="00A30CA4"/>
    <w:rsid w:val="00A30D4B"/>
    <w:rsid w:val="00A30E22"/>
    <w:rsid w:val="00A30E65"/>
    <w:rsid w:val="00A30E7E"/>
    <w:rsid w:val="00A30EBF"/>
    <w:rsid w:val="00A30EEA"/>
    <w:rsid w:val="00A30F48"/>
    <w:rsid w:val="00A31059"/>
    <w:rsid w:val="00A31113"/>
    <w:rsid w:val="00A311C7"/>
    <w:rsid w:val="00A312CA"/>
    <w:rsid w:val="00A3139E"/>
    <w:rsid w:val="00A31450"/>
    <w:rsid w:val="00A314B0"/>
    <w:rsid w:val="00A31528"/>
    <w:rsid w:val="00A315FD"/>
    <w:rsid w:val="00A31666"/>
    <w:rsid w:val="00A316BA"/>
    <w:rsid w:val="00A316F1"/>
    <w:rsid w:val="00A3177B"/>
    <w:rsid w:val="00A318FB"/>
    <w:rsid w:val="00A3192F"/>
    <w:rsid w:val="00A31934"/>
    <w:rsid w:val="00A31B44"/>
    <w:rsid w:val="00A31B71"/>
    <w:rsid w:val="00A31BE6"/>
    <w:rsid w:val="00A31C8D"/>
    <w:rsid w:val="00A31C99"/>
    <w:rsid w:val="00A31CB9"/>
    <w:rsid w:val="00A31D29"/>
    <w:rsid w:val="00A31D4C"/>
    <w:rsid w:val="00A31D97"/>
    <w:rsid w:val="00A31E42"/>
    <w:rsid w:val="00A31E8B"/>
    <w:rsid w:val="00A31F0D"/>
    <w:rsid w:val="00A31FE2"/>
    <w:rsid w:val="00A32248"/>
    <w:rsid w:val="00A323DF"/>
    <w:rsid w:val="00A323F9"/>
    <w:rsid w:val="00A32425"/>
    <w:rsid w:val="00A32628"/>
    <w:rsid w:val="00A326EE"/>
    <w:rsid w:val="00A3285E"/>
    <w:rsid w:val="00A329BE"/>
    <w:rsid w:val="00A32A14"/>
    <w:rsid w:val="00A32A3E"/>
    <w:rsid w:val="00A32B7C"/>
    <w:rsid w:val="00A32B93"/>
    <w:rsid w:val="00A32BD5"/>
    <w:rsid w:val="00A32C06"/>
    <w:rsid w:val="00A32CFF"/>
    <w:rsid w:val="00A32E33"/>
    <w:rsid w:val="00A32E37"/>
    <w:rsid w:val="00A32E71"/>
    <w:rsid w:val="00A32E7C"/>
    <w:rsid w:val="00A32F0C"/>
    <w:rsid w:val="00A33237"/>
    <w:rsid w:val="00A33246"/>
    <w:rsid w:val="00A332C7"/>
    <w:rsid w:val="00A33306"/>
    <w:rsid w:val="00A334E5"/>
    <w:rsid w:val="00A33554"/>
    <w:rsid w:val="00A335EC"/>
    <w:rsid w:val="00A3364F"/>
    <w:rsid w:val="00A3379D"/>
    <w:rsid w:val="00A337E3"/>
    <w:rsid w:val="00A3384E"/>
    <w:rsid w:val="00A33B5D"/>
    <w:rsid w:val="00A33BA8"/>
    <w:rsid w:val="00A33BE4"/>
    <w:rsid w:val="00A33C65"/>
    <w:rsid w:val="00A33C98"/>
    <w:rsid w:val="00A33D00"/>
    <w:rsid w:val="00A33F4B"/>
    <w:rsid w:val="00A33F4D"/>
    <w:rsid w:val="00A34105"/>
    <w:rsid w:val="00A341E4"/>
    <w:rsid w:val="00A34221"/>
    <w:rsid w:val="00A34360"/>
    <w:rsid w:val="00A3438D"/>
    <w:rsid w:val="00A3453C"/>
    <w:rsid w:val="00A34552"/>
    <w:rsid w:val="00A34690"/>
    <w:rsid w:val="00A346CB"/>
    <w:rsid w:val="00A34828"/>
    <w:rsid w:val="00A349EC"/>
    <w:rsid w:val="00A34B91"/>
    <w:rsid w:val="00A34BCC"/>
    <w:rsid w:val="00A34D83"/>
    <w:rsid w:val="00A34DFA"/>
    <w:rsid w:val="00A35238"/>
    <w:rsid w:val="00A352EE"/>
    <w:rsid w:val="00A35350"/>
    <w:rsid w:val="00A35371"/>
    <w:rsid w:val="00A353F1"/>
    <w:rsid w:val="00A354EA"/>
    <w:rsid w:val="00A354EC"/>
    <w:rsid w:val="00A3557C"/>
    <w:rsid w:val="00A35601"/>
    <w:rsid w:val="00A35640"/>
    <w:rsid w:val="00A3573B"/>
    <w:rsid w:val="00A357E9"/>
    <w:rsid w:val="00A35819"/>
    <w:rsid w:val="00A35A72"/>
    <w:rsid w:val="00A35A8F"/>
    <w:rsid w:val="00A35ADF"/>
    <w:rsid w:val="00A35FB0"/>
    <w:rsid w:val="00A35FCC"/>
    <w:rsid w:val="00A360C3"/>
    <w:rsid w:val="00A36250"/>
    <w:rsid w:val="00A362C9"/>
    <w:rsid w:val="00A36493"/>
    <w:rsid w:val="00A36495"/>
    <w:rsid w:val="00A36728"/>
    <w:rsid w:val="00A367F6"/>
    <w:rsid w:val="00A36A28"/>
    <w:rsid w:val="00A36E11"/>
    <w:rsid w:val="00A37084"/>
    <w:rsid w:val="00A37139"/>
    <w:rsid w:val="00A37214"/>
    <w:rsid w:val="00A37235"/>
    <w:rsid w:val="00A3731A"/>
    <w:rsid w:val="00A374F8"/>
    <w:rsid w:val="00A37535"/>
    <w:rsid w:val="00A3759A"/>
    <w:rsid w:val="00A37773"/>
    <w:rsid w:val="00A37900"/>
    <w:rsid w:val="00A37AA9"/>
    <w:rsid w:val="00A37B30"/>
    <w:rsid w:val="00A37F63"/>
    <w:rsid w:val="00A37FB7"/>
    <w:rsid w:val="00A401E7"/>
    <w:rsid w:val="00A4021B"/>
    <w:rsid w:val="00A40270"/>
    <w:rsid w:val="00A40776"/>
    <w:rsid w:val="00A408F0"/>
    <w:rsid w:val="00A4092F"/>
    <w:rsid w:val="00A4097A"/>
    <w:rsid w:val="00A41136"/>
    <w:rsid w:val="00A41275"/>
    <w:rsid w:val="00A4143E"/>
    <w:rsid w:val="00A4145F"/>
    <w:rsid w:val="00A41478"/>
    <w:rsid w:val="00A41817"/>
    <w:rsid w:val="00A4224D"/>
    <w:rsid w:val="00A423D6"/>
    <w:rsid w:val="00A42483"/>
    <w:rsid w:val="00A424B8"/>
    <w:rsid w:val="00A426AC"/>
    <w:rsid w:val="00A426CF"/>
    <w:rsid w:val="00A427A2"/>
    <w:rsid w:val="00A42902"/>
    <w:rsid w:val="00A42A92"/>
    <w:rsid w:val="00A42B28"/>
    <w:rsid w:val="00A42BCA"/>
    <w:rsid w:val="00A42C36"/>
    <w:rsid w:val="00A42C47"/>
    <w:rsid w:val="00A42C85"/>
    <w:rsid w:val="00A42CF6"/>
    <w:rsid w:val="00A42D5B"/>
    <w:rsid w:val="00A431E1"/>
    <w:rsid w:val="00A4324E"/>
    <w:rsid w:val="00A4328D"/>
    <w:rsid w:val="00A43298"/>
    <w:rsid w:val="00A432CD"/>
    <w:rsid w:val="00A43352"/>
    <w:rsid w:val="00A4345F"/>
    <w:rsid w:val="00A436EF"/>
    <w:rsid w:val="00A438E5"/>
    <w:rsid w:val="00A439FA"/>
    <w:rsid w:val="00A43A76"/>
    <w:rsid w:val="00A43AA2"/>
    <w:rsid w:val="00A43C60"/>
    <w:rsid w:val="00A43C9F"/>
    <w:rsid w:val="00A43E44"/>
    <w:rsid w:val="00A43E9B"/>
    <w:rsid w:val="00A43F2C"/>
    <w:rsid w:val="00A44050"/>
    <w:rsid w:val="00A44120"/>
    <w:rsid w:val="00A441C1"/>
    <w:rsid w:val="00A442BA"/>
    <w:rsid w:val="00A44441"/>
    <w:rsid w:val="00A445EB"/>
    <w:rsid w:val="00A44854"/>
    <w:rsid w:val="00A44C0A"/>
    <w:rsid w:val="00A44C6B"/>
    <w:rsid w:val="00A4505D"/>
    <w:rsid w:val="00A45063"/>
    <w:rsid w:val="00A45276"/>
    <w:rsid w:val="00A452A7"/>
    <w:rsid w:val="00A45315"/>
    <w:rsid w:val="00A45422"/>
    <w:rsid w:val="00A454C2"/>
    <w:rsid w:val="00A45774"/>
    <w:rsid w:val="00A45936"/>
    <w:rsid w:val="00A45988"/>
    <w:rsid w:val="00A4599A"/>
    <w:rsid w:val="00A45A18"/>
    <w:rsid w:val="00A45D47"/>
    <w:rsid w:val="00A45F36"/>
    <w:rsid w:val="00A45FD3"/>
    <w:rsid w:val="00A461E3"/>
    <w:rsid w:val="00A4656D"/>
    <w:rsid w:val="00A46601"/>
    <w:rsid w:val="00A468CE"/>
    <w:rsid w:val="00A46B1E"/>
    <w:rsid w:val="00A46CCE"/>
    <w:rsid w:val="00A46D67"/>
    <w:rsid w:val="00A46E27"/>
    <w:rsid w:val="00A46FEA"/>
    <w:rsid w:val="00A47060"/>
    <w:rsid w:val="00A470BB"/>
    <w:rsid w:val="00A47178"/>
    <w:rsid w:val="00A471DC"/>
    <w:rsid w:val="00A47251"/>
    <w:rsid w:val="00A473FE"/>
    <w:rsid w:val="00A47403"/>
    <w:rsid w:val="00A47487"/>
    <w:rsid w:val="00A47597"/>
    <w:rsid w:val="00A475E2"/>
    <w:rsid w:val="00A4764B"/>
    <w:rsid w:val="00A47810"/>
    <w:rsid w:val="00A47880"/>
    <w:rsid w:val="00A47A09"/>
    <w:rsid w:val="00A47AFB"/>
    <w:rsid w:val="00A47C2E"/>
    <w:rsid w:val="00A47C5E"/>
    <w:rsid w:val="00A47F70"/>
    <w:rsid w:val="00A47FE3"/>
    <w:rsid w:val="00A50118"/>
    <w:rsid w:val="00A50184"/>
    <w:rsid w:val="00A501BF"/>
    <w:rsid w:val="00A501CE"/>
    <w:rsid w:val="00A504D5"/>
    <w:rsid w:val="00A505B9"/>
    <w:rsid w:val="00A5069B"/>
    <w:rsid w:val="00A50760"/>
    <w:rsid w:val="00A50847"/>
    <w:rsid w:val="00A50893"/>
    <w:rsid w:val="00A50AD2"/>
    <w:rsid w:val="00A50B3A"/>
    <w:rsid w:val="00A50CD6"/>
    <w:rsid w:val="00A50DC9"/>
    <w:rsid w:val="00A50E51"/>
    <w:rsid w:val="00A50FB4"/>
    <w:rsid w:val="00A50FE6"/>
    <w:rsid w:val="00A5109A"/>
    <w:rsid w:val="00A5111A"/>
    <w:rsid w:val="00A511B9"/>
    <w:rsid w:val="00A511F1"/>
    <w:rsid w:val="00A51233"/>
    <w:rsid w:val="00A512B5"/>
    <w:rsid w:val="00A512E1"/>
    <w:rsid w:val="00A51312"/>
    <w:rsid w:val="00A51B91"/>
    <w:rsid w:val="00A51C3E"/>
    <w:rsid w:val="00A51CCE"/>
    <w:rsid w:val="00A51EF2"/>
    <w:rsid w:val="00A52006"/>
    <w:rsid w:val="00A520F8"/>
    <w:rsid w:val="00A52181"/>
    <w:rsid w:val="00A5271C"/>
    <w:rsid w:val="00A5275E"/>
    <w:rsid w:val="00A52763"/>
    <w:rsid w:val="00A52823"/>
    <w:rsid w:val="00A52B0F"/>
    <w:rsid w:val="00A52E50"/>
    <w:rsid w:val="00A52E7F"/>
    <w:rsid w:val="00A530FC"/>
    <w:rsid w:val="00A53182"/>
    <w:rsid w:val="00A533C8"/>
    <w:rsid w:val="00A53533"/>
    <w:rsid w:val="00A53565"/>
    <w:rsid w:val="00A53586"/>
    <w:rsid w:val="00A5375E"/>
    <w:rsid w:val="00A537E2"/>
    <w:rsid w:val="00A53889"/>
    <w:rsid w:val="00A53A6F"/>
    <w:rsid w:val="00A53C2C"/>
    <w:rsid w:val="00A53C60"/>
    <w:rsid w:val="00A53D4A"/>
    <w:rsid w:val="00A53D96"/>
    <w:rsid w:val="00A53F38"/>
    <w:rsid w:val="00A54016"/>
    <w:rsid w:val="00A54100"/>
    <w:rsid w:val="00A54118"/>
    <w:rsid w:val="00A541AA"/>
    <w:rsid w:val="00A54393"/>
    <w:rsid w:val="00A54523"/>
    <w:rsid w:val="00A545D1"/>
    <w:rsid w:val="00A54622"/>
    <w:rsid w:val="00A54841"/>
    <w:rsid w:val="00A5485B"/>
    <w:rsid w:val="00A54A13"/>
    <w:rsid w:val="00A54A6E"/>
    <w:rsid w:val="00A54F52"/>
    <w:rsid w:val="00A55178"/>
    <w:rsid w:val="00A5522E"/>
    <w:rsid w:val="00A55230"/>
    <w:rsid w:val="00A55301"/>
    <w:rsid w:val="00A5534B"/>
    <w:rsid w:val="00A553A9"/>
    <w:rsid w:val="00A554BC"/>
    <w:rsid w:val="00A5562F"/>
    <w:rsid w:val="00A5586E"/>
    <w:rsid w:val="00A55B27"/>
    <w:rsid w:val="00A55B5E"/>
    <w:rsid w:val="00A55C2A"/>
    <w:rsid w:val="00A55C95"/>
    <w:rsid w:val="00A55DCA"/>
    <w:rsid w:val="00A55F23"/>
    <w:rsid w:val="00A560E3"/>
    <w:rsid w:val="00A5637F"/>
    <w:rsid w:val="00A564EE"/>
    <w:rsid w:val="00A56564"/>
    <w:rsid w:val="00A566D0"/>
    <w:rsid w:val="00A56780"/>
    <w:rsid w:val="00A569C4"/>
    <w:rsid w:val="00A56A11"/>
    <w:rsid w:val="00A56A32"/>
    <w:rsid w:val="00A56BD8"/>
    <w:rsid w:val="00A56D57"/>
    <w:rsid w:val="00A56DAD"/>
    <w:rsid w:val="00A56F8A"/>
    <w:rsid w:val="00A57010"/>
    <w:rsid w:val="00A570CD"/>
    <w:rsid w:val="00A570EC"/>
    <w:rsid w:val="00A57248"/>
    <w:rsid w:val="00A572DE"/>
    <w:rsid w:val="00A5738A"/>
    <w:rsid w:val="00A574E4"/>
    <w:rsid w:val="00A57534"/>
    <w:rsid w:val="00A57803"/>
    <w:rsid w:val="00A57A7C"/>
    <w:rsid w:val="00A57C11"/>
    <w:rsid w:val="00A57C42"/>
    <w:rsid w:val="00A57D88"/>
    <w:rsid w:val="00A57DAC"/>
    <w:rsid w:val="00A57E43"/>
    <w:rsid w:val="00A600B1"/>
    <w:rsid w:val="00A60107"/>
    <w:rsid w:val="00A60184"/>
    <w:rsid w:val="00A601C5"/>
    <w:rsid w:val="00A60225"/>
    <w:rsid w:val="00A6023C"/>
    <w:rsid w:val="00A60331"/>
    <w:rsid w:val="00A603A1"/>
    <w:rsid w:val="00A60577"/>
    <w:rsid w:val="00A6065B"/>
    <w:rsid w:val="00A6068B"/>
    <w:rsid w:val="00A60694"/>
    <w:rsid w:val="00A607B9"/>
    <w:rsid w:val="00A60841"/>
    <w:rsid w:val="00A60939"/>
    <w:rsid w:val="00A60999"/>
    <w:rsid w:val="00A60A08"/>
    <w:rsid w:val="00A60A44"/>
    <w:rsid w:val="00A60A48"/>
    <w:rsid w:val="00A60ADB"/>
    <w:rsid w:val="00A60AE5"/>
    <w:rsid w:val="00A60B4C"/>
    <w:rsid w:val="00A60CBE"/>
    <w:rsid w:val="00A610EE"/>
    <w:rsid w:val="00A61149"/>
    <w:rsid w:val="00A61284"/>
    <w:rsid w:val="00A613B7"/>
    <w:rsid w:val="00A614CB"/>
    <w:rsid w:val="00A61985"/>
    <w:rsid w:val="00A619C5"/>
    <w:rsid w:val="00A61D25"/>
    <w:rsid w:val="00A61E4F"/>
    <w:rsid w:val="00A62347"/>
    <w:rsid w:val="00A623D1"/>
    <w:rsid w:val="00A625B3"/>
    <w:rsid w:val="00A62A87"/>
    <w:rsid w:val="00A62B70"/>
    <w:rsid w:val="00A62C72"/>
    <w:rsid w:val="00A62DCD"/>
    <w:rsid w:val="00A62DF2"/>
    <w:rsid w:val="00A62E3F"/>
    <w:rsid w:val="00A62E61"/>
    <w:rsid w:val="00A62F42"/>
    <w:rsid w:val="00A62F84"/>
    <w:rsid w:val="00A63033"/>
    <w:rsid w:val="00A630FD"/>
    <w:rsid w:val="00A6313B"/>
    <w:rsid w:val="00A63341"/>
    <w:rsid w:val="00A63438"/>
    <w:rsid w:val="00A63537"/>
    <w:rsid w:val="00A63579"/>
    <w:rsid w:val="00A6359F"/>
    <w:rsid w:val="00A63672"/>
    <w:rsid w:val="00A63988"/>
    <w:rsid w:val="00A63A38"/>
    <w:rsid w:val="00A63A5B"/>
    <w:rsid w:val="00A63AC7"/>
    <w:rsid w:val="00A63B71"/>
    <w:rsid w:val="00A63B93"/>
    <w:rsid w:val="00A63C15"/>
    <w:rsid w:val="00A63C5D"/>
    <w:rsid w:val="00A63F66"/>
    <w:rsid w:val="00A640D2"/>
    <w:rsid w:val="00A640D6"/>
    <w:rsid w:val="00A6411F"/>
    <w:rsid w:val="00A641EE"/>
    <w:rsid w:val="00A6437B"/>
    <w:rsid w:val="00A6441E"/>
    <w:rsid w:val="00A645F6"/>
    <w:rsid w:val="00A64633"/>
    <w:rsid w:val="00A64703"/>
    <w:rsid w:val="00A647A5"/>
    <w:rsid w:val="00A64847"/>
    <w:rsid w:val="00A6491A"/>
    <w:rsid w:val="00A64A91"/>
    <w:rsid w:val="00A64AAD"/>
    <w:rsid w:val="00A64F9E"/>
    <w:rsid w:val="00A64FE1"/>
    <w:rsid w:val="00A65059"/>
    <w:rsid w:val="00A65198"/>
    <w:rsid w:val="00A65297"/>
    <w:rsid w:val="00A652C2"/>
    <w:rsid w:val="00A653C0"/>
    <w:rsid w:val="00A654A9"/>
    <w:rsid w:val="00A6552A"/>
    <w:rsid w:val="00A65549"/>
    <w:rsid w:val="00A655AA"/>
    <w:rsid w:val="00A65624"/>
    <w:rsid w:val="00A6566A"/>
    <w:rsid w:val="00A656F5"/>
    <w:rsid w:val="00A6576A"/>
    <w:rsid w:val="00A65838"/>
    <w:rsid w:val="00A65940"/>
    <w:rsid w:val="00A659AD"/>
    <w:rsid w:val="00A65AC8"/>
    <w:rsid w:val="00A65ADC"/>
    <w:rsid w:val="00A65B73"/>
    <w:rsid w:val="00A65D02"/>
    <w:rsid w:val="00A660BF"/>
    <w:rsid w:val="00A660F1"/>
    <w:rsid w:val="00A66113"/>
    <w:rsid w:val="00A66493"/>
    <w:rsid w:val="00A665A4"/>
    <w:rsid w:val="00A666E5"/>
    <w:rsid w:val="00A66887"/>
    <w:rsid w:val="00A668C0"/>
    <w:rsid w:val="00A6698D"/>
    <w:rsid w:val="00A66A2F"/>
    <w:rsid w:val="00A66A83"/>
    <w:rsid w:val="00A66C51"/>
    <w:rsid w:val="00A66D37"/>
    <w:rsid w:val="00A66E28"/>
    <w:rsid w:val="00A67066"/>
    <w:rsid w:val="00A67302"/>
    <w:rsid w:val="00A675D1"/>
    <w:rsid w:val="00A67633"/>
    <w:rsid w:val="00A67883"/>
    <w:rsid w:val="00A678A5"/>
    <w:rsid w:val="00A678E5"/>
    <w:rsid w:val="00A6791D"/>
    <w:rsid w:val="00A67A60"/>
    <w:rsid w:val="00A67B16"/>
    <w:rsid w:val="00A67B2B"/>
    <w:rsid w:val="00A67B7B"/>
    <w:rsid w:val="00A67C63"/>
    <w:rsid w:val="00A67D0A"/>
    <w:rsid w:val="00A67F68"/>
    <w:rsid w:val="00A702A2"/>
    <w:rsid w:val="00A703FB"/>
    <w:rsid w:val="00A7048D"/>
    <w:rsid w:val="00A704D6"/>
    <w:rsid w:val="00A707EC"/>
    <w:rsid w:val="00A70831"/>
    <w:rsid w:val="00A70879"/>
    <w:rsid w:val="00A708FB"/>
    <w:rsid w:val="00A70915"/>
    <w:rsid w:val="00A70986"/>
    <w:rsid w:val="00A70A14"/>
    <w:rsid w:val="00A70A31"/>
    <w:rsid w:val="00A70A67"/>
    <w:rsid w:val="00A70AF5"/>
    <w:rsid w:val="00A70B70"/>
    <w:rsid w:val="00A70C66"/>
    <w:rsid w:val="00A70DBE"/>
    <w:rsid w:val="00A70E91"/>
    <w:rsid w:val="00A70F76"/>
    <w:rsid w:val="00A71166"/>
    <w:rsid w:val="00A71323"/>
    <w:rsid w:val="00A7134A"/>
    <w:rsid w:val="00A71395"/>
    <w:rsid w:val="00A713FA"/>
    <w:rsid w:val="00A7142C"/>
    <w:rsid w:val="00A71510"/>
    <w:rsid w:val="00A71563"/>
    <w:rsid w:val="00A7178D"/>
    <w:rsid w:val="00A7190B"/>
    <w:rsid w:val="00A719EE"/>
    <w:rsid w:val="00A71C27"/>
    <w:rsid w:val="00A71D1B"/>
    <w:rsid w:val="00A71E69"/>
    <w:rsid w:val="00A71E9C"/>
    <w:rsid w:val="00A71EA3"/>
    <w:rsid w:val="00A72049"/>
    <w:rsid w:val="00A7231B"/>
    <w:rsid w:val="00A7261C"/>
    <w:rsid w:val="00A72620"/>
    <w:rsid w:val="00A7273C"/>
    <w:rsid w:val="00A72939"/>
    <w:rsid w:val="00A72C0F"/>
    <w:rsid w:val="00A72D90"/>
    <w:rsid w:val="00A72DA1"/>
    <w:rsid w:val="00A72F56"/>
    <w:rsid w:val="00A7315F"/>
    <w:rsid w:val="00A7316D"/>
    <w:rsid w:val="00A731CF"/>
    <w:rsid w:val="00A73260"/>
    <w:rsid w:val="00A73488"/>
    <w:rsid w:val="00A738DF"/>
    <w:rsid w:val="00A7391C"/>
    <w:rsid w:val="00A739AB"/>
    <w:rsid w:val="00A73BCA"/>
    <w:rsid w:val="00A73C5C"/>
    <w:rsid w:val="00A73D60"/>
    <w:rsid w:val="00A73D90"/>
    <w:rsid w:val="00A7409D"/>
    <w:rsid w:val="00A740AE"/>
    <w:rsid w:val="00A742FD"/>
    <w:rsid w:val="00A74347"/>
    <w:rsid w:val="00A74380"/>
    <w:rsid w:val="00A744ED"/>
    <w:rsid w:val="00A7459D"/>
    <w:rsid w:val="00A745D0"/>
    <w:rsid w:val="00A746B8"/>
    <w:rsid w:val="00A747EF"/>
    <w:rsid w:val="00A74906"/>
    <w:rsid w:val="00A74969"/>
    <w:rsid w:val="00A749BE"/>
    <w:rsid w:val="00A74A34"/>
    <w:rsid w:val="00A74AA4"/>
    <w:rsid w:val="00A74C35"/>
    <w:rsid w:val="00A74CBC"/>
    <w:rsid w:val="00A74EE0"/>
    <w:rsid w:val="00A74EF8"/>
    <w:rsid w:val="00A75053"/>
    <w:rsid w:val="00A750C1"/>
    <w:rsid w:val="00A750CE"/>
    <w:rsid w:val="00A7511B"/>
    <w:rsid w:val="00A75220"/>
    <w:rsid w:val="00A75243"/>
    <w:rsid w:val="00A75373"/>
    <w:rsid w:val="00A75391"/>
    <w:rsid w:val="00A754B4"/>
    <w:rsid w:val="00A754FC"/>
    <w:rsid w:val="00A7552D"/>
    <w:rsid w:val="00A755D4"/>
    <w:rsid w:val="00A75801"/>
    <w:rsid w:val="00A758A7"/>
    <w:rsid w:val="00A759B1"/>
    <w:rsid w:val="00A75C20"/>
    <w:rsid w:val="00A75C78"/>
    <w:rsid w:val="00A75E59"/>
    <w:rsid w:val="00A75F45"/>
    <w:rsid w:val="00A75F7E"/>
    <w:rsid w:val="00A7604D"/>
    <w:rsid w:val="00A760F0"/>
    <w:rsid w:val="00A76251"/>
    <w:rsid w:val="00A76254"/>
    <w:rsid w:val="00A76336"/>
    <w:rsid w:val="00A76509"/>
    <w:rsid w:val="00A76681"/>
    <w:rsid w:val="00A76834"/>
    <w:rsid w:val="00A76844"/>
    <w:rsid w:val="00A768D5"/>
    <w:rsid w:val="00A76B1F"/>
    <w:rsid w:val="00A76C1A"/>
    <w:rsid w:val="00A76C2C"/>
    <w:rsid w:val="00A76DB0"/>
    <w:rsid w:val="00A76E21"/>
    <w:rsid w:val="00A76E54"/>
    <w:rsid w:val="00A76E6D"/>
    <w:rsid w:val="00A76FC1"/>
    <w:rsid w:val="00A776DF"/>
    <w:rsid w:val="00A77BA6"/>
    <w:rsid w:val="00A77C4F"/>
    <w:rsid w:val="00A77C63"/>
    <w:rsid w:val="00A77CB9"/>
    <w:rsid w:val="00A8009D"/>
    <w:rsid w:val="00A8017E"/>
    <w:rsid w:val="00A80195"/>
    <w:rsid w:val="00A8023D"/>
    <w:rsid w:val="00A802DD"/>
    <w:rsid w:val="00A803A8"/>
    <w:rsid w:val="00A8054A"/>
    <w:rsid w:val="00A8072F"/>
    <w:rsid w:val="00A8079F"/>
    <w:rsid w:val="00A808D0"/>
    <w:rsid w:val="00A808E4"/>
    <w:rsid w:val="00A80A56"/>
    <w:rsid w:val="00A80B74"/>
    <w:rsid w:val="00A80D7C"/>
    <w:rsid w:val="00A80F6F"/>
    <w:rsid w:val="00A80F85"/>
    <w:rsid w:val="00A8111D"/>
    <w:rsid w:val="00A814DB"/>
    <w:rsid w:val="00A81523"/>
    <w:rsid w:val="00A81643"/>
    <w:rsid w:val="00A81990"/>
    <w:rsid w:val="00A819CC"/>
    <w:rsid w:val="00A81AF9"/>
    <w:rsid w:val="00A81B08"/>
    <w:rsid w:val="00A81D26"/>
    <w:rsid w:val="00A81D70"/>
    <w:rsid w:val="00A81E70"/>
    <w:rsid w:val="00A81FAF"/>
    <w:rsid w:val="00A82086"/>
    <w:rsid w:val="00A822F8"/>
    <w:rsid w:val="00A8235D"/>
    <w:rsid w:val="00A823AF"/>
    <w:rsid w:val="00A823F6"/>
    <w:rsid w:val="00A82421"/>
    <w:rsid w:val="00A82430"/>
    <w:rsid w:val="00A82444"/>
    <w:rsid w:val="00A8248E"/>
    <w:rsid w:val="00A8281C"/>
    <w:rsid w:val="00A82A30"/>
    <w:rsid w:val="00A82A4D"/>
    <w:rsid w:val="00A82A66"/>
    <w:rsid w:val="00A82B45"/>
    <w:rsid w:val="00A82B75"/>
    <w:rsid w:val="00A82C1B"/>
    <w:rsid w:val="00A82CB6"/>
    <w:rsid w:val="00A82EE5"/>
    <w:rsid w:val="00A83060"/>
    <w:rsid w:val="00A83086"/>
    <w:rsid w:val="00A8310D"/>
    <w:rsid w:val="00A835C2"/>
    <w:rsid w:val="00A83788"/>
    <w:rsid w:val="00A838F3"/>
    <w:rsid w:val="00A83A57"/>
    <w:rsid w:val="00A83A63"/>
    <w:rsid w:val="00A83C00"/>
    <w:rsid w:val="00A84156"/>
    <w:rsid w:val="00A843D3"/>
    <w:rsid w:val="00A844AA"/>
    <w:rsid w:val="00A84509"/>
    <w:rsid w:val="00A8473F"/>
    <w:rsid w:val="00A84776"/>
    <w:rsid w:val="00A847A9"/>
    <w:rsid w:val="00A8482C"/>
    <w:rsid w:val="00A848EF"/>
    <w:rsid w:val="00A84907"/>
    <w:rsid w:val="00A84918"/>
    <w:rsid w:val="00A84947"/>
    <w:rsid w:val="00A84973"/>
    <w:rsid w:val="00A84975"/>
    <w:rsid w:val="00A84ABC"/>
    <w:rsid w:val="00A84BDE"/>
    <w:rsid w:val="00A84C07"/>
    <w:rsid w:val="00A84CEA"/>
    <w:rsid w:val="00A84D5B"/>
    <w:rsid w:val="00A84DED"/>
    <w:rsid w:val="00A84E0A"/>
    <w:rsid w:val="00A84ECD"/>
    <w:rsid w:val="00A8503B"/>
    <w:rsid w:val="00A850B3"/>
    <w:rsid w:val="00A850FA"/>
    <w:rsid w:val="00A8524C"/>
    <w:rsid w:val="00A85384"/>
    <w:rsid w:val="00A853FA"/>
    <w:rsid w:val="00A854EA"/>
    <w:rsid w:val="00A85704"/>
    <w:rsid w:val="00A85752"/>
    <w:rsid w:val="00A85818"/>
    <w:rsid w:val="00A858C9"/>
    <w:rsid w:val="00A85B1E"/>
    <w:rsid w:val="00A85B71"/>
    <w:rsid w:val="00A85C8B"/>
    <w:rsid w:val="00A85D99"/>
    <w:rsid w:val="00A85EFD"/>
    <w:rsid w:val="00A86003"/>
    <w:rsid w:val="00A86034"/>
    <w:rsid w:val="00A86045"/>
    <w:rsid w:val="00A86098"/>
    <w:rsid w:val="00A86249"/>
    <w:rsid w:val="00A862CF"/>
    <w:rsid w:val="00A86325"/>
    <w:rsid w:val="00A8649A"/>
    <w:rsid w:val="00A86518"/>
    <w:rsid w:val="00A865F7"/>
    <w:rsid w:val="00A86657"/>
    <w:rsid w:val="00A8669E"/>
    <w:rsid w:val="00A86974"/>
    <w:rsid w:val="00A869D8"/>
    <w:rsid w:val="00A86BA9"/>
    <w:rsid w:val="00A86C7C"/>
    <w:rsid w:val="00A86DC5"/>
    <w:rsid w:val="00A86DCE"/>
    <w:rsid w:val="00A86E1B"/>
    <w:rsid w:val="00A871AB"/>
    <w:rsid w:val="00A87224"/>
    <w:rsid w:val="00A873BD"/>
    <w:rsid w:val="00A873F1"/>
    <w:rsid w:val="00A87480"/>
    <w:rsid w:val="00A875EE"/>
    <w:rsid w:val="00A87610"/>
    <w:rsid w:val="00A8763A"/>
    <w:rsid w:val="00A876B2"/>
    <w:rsid w:val="00A876BC"/>
    <w:rsid w:val="00A87843"/>
    <w:rsid w:val="00A879C1"/>
    <w:rsid w:val="00A87A64"/>
    <w:rsid w:val="00A87AD9"/>
    <w:rsid w:val="00A87AE9"/>
    <w:rsid w:val="00A87B39"/>
    <w:rsid w:val="00A87DF2"/>
    <w:rsid w:val="00A87F07"/>
    <w:rsid w:val="00A87F40"/>
    <w:rsid w:val="00A901C0"/>
    <w:rsid w:val="00A902E7"/>
    <w:rsid w:val="00A904F3"/>
    <w:rsid w:val="00A90740"/>
    <w:rsid w:val="00A90771"/>
    <w:rsid w:val="00A90874"/>
    <w:rsid w:val="00A908A3"/>
    <w:rsid w:val="00A90B5E"/>
    <w:rsid w:val="00A90B8C"/>
    <w:rsid w:val="00A90BE1"/>
    <w:rsid w:val="00A90CC7"/>
    <w:rsid w:val="00A90E3C"/>
    <w:rsid w:val="00A90EED"/>
    <w:rsid w:val="00A90F43"/>
    <w:rsid w:val="00A91014"/>
    <w:rsid w:val="00A910C4"/>
    <w:rsid w:val="00A9118F"/>
    <w:rsid w:val="00A912F0"/>
    <w:rsid w:val="00A9169D"/>
    <w:rsid w:val="00A9181B"/>
    <w:rsid w:val="00A919A7"/>
    <w:rsid w:val="00A91A5F"/>
    <w:rsid w:val="00A91CB2"/>
    <w:rsid w:val="00A91D6E"/>
    <w:rsid w:val="00A91D9E"/>
    <w:rsid w:val="00A91DEC"/>
    <w:rsid w:val="00A91E3E"/>
    <w:rsid w:val="00A91E51"/>
    <w:rsid w:val="00A91E6E"/>
    <w:rsid w:val="00A91EA8"/>
    <w:rsid w:val="00A9229D"/>
    <w:rsid w:val="00A92373"/>
    <w:rsid w:val="00A923BA"/>
    <w:rsid w:val="00A924DF"/>
    <w:rsid w:val="00A9250D"/>
    <w:rsid w:val="00A9253D"/>
    <w:rsid w:val="00A92842"/>
    <w:rsid w:val="00A929E3"/>
    <w:rsid w:val="00A92A44"/>
    <w:rsid w:val="00A92C94"/>
    <w:rsid w:val="00A92DAC"/>
    <w:rsid w:val="00A92E5C"/>
    <w:rsid w:val="00A92F12"/>
    <w:rsid w:val="00A93003"/>
    <w:rsid w:val="00A93036"/>
    <w:rsid w:val="00A930F5"/>
    <w:rsid w:val="00A93359"/>
    <w:rsid w:val="00A935EA"/>
    <w:rsid w:val="00A93608"/>
    <w:rsid w:val="00A939F8"/>
    <w:rsid w:val="00A93BE8"/>
    <w:rsid w:val="00A93C15"/>
    <w:rsid w:val="00A93DFE"/>
    <w:rsid w:val="00A93F5A"/>
    <w:rsid w:val="00A93FEC"/>
    <w:rsid w:val="00A941E8"/>
    <w:rsid w:val="00A94319"/>
    <w:rsid w:val="00A94552"/>
    <w:rsid w:val="00A9455B"/>
    <w:rsid w:val="00A94563"/>
    <w:rsid w:val="00A94595"/>
    <w:rsid w:val="00A94793"/>
    <w:rsid w:val="00A9480A"/>
    <w:rsid w:val="00A948F4"/>
    <w:rsid w:val="00A949D9"/>
    <w:rsid w:val="00A94BCD"/>
    <w:rsid w:val="00A94BDF"/>
    <w:rsid w:val="00A94C8A"/>
    <w:rsid w:val="00A94FD9"/>
    <w:rsid w:val="00A95082"/>
    <w:rsid w:val="00A9509F"/>
    <w:rsid w:val="00A950B6"/>
    <w:rsid w:val="00A9513D"/>
    <w:rsid w:val="00A95274"/>
    <w:rsid w:val="00A95491"/>
    <w:rsid w:val="00A9551E"/>
    <w:rsid w:val="00A95970"/>
    <w:rsid w:val="00A959B9"/>
    <w:rsid w:val="00A959BE"/>
    <w:rsid w:val="00A959E5"/>
    <w:rsid w:val="00A95C4C"/>
    <w:rsid w:val="00A95E58"/>
    <w:rsid w:val="00A9625B"/>
    <w:rsid w:val="00A96264"/>
    <w:rsid w:val="00A9631E"/>
    <w:rsid w:val="00A96414"/>
    <w:rsid w:val="00A96429"/>
    <w:rsid w:val="00A96796"/>
    <w:rsid w:val="00A968AC"/>
    <w:rsid w:val="00A9694E"/>
    <w:rsid w:val="00A9696A"/>
    <w:rsid w:val="00A96996"/>
    <w:rsid w:val="00A96B68"/>
    <w:rsid w:val="00A96BB5"/>
    <w:rsid w:val="00A96BE0"/>
    <w:rsid w:val="00A96BEE"/>
    <w:rsid w:val="00A96DEE"/>
    <w:rsid w:val="00A96DF8"/>
    <w:rsid w:val="00A96FEE"/>
    <w:rsid w:val="00A9703C"/>
    <w:rsid w:val="00A970F7"/>
    <w:rsid w:val="00A972E6"/>
    <w:rsid w:val="00A973DB"/>
    <w:rsid w:val="00A97436"/>
    <w:rsid w:val="00A97456"/>
    <w:rsid w:val="00A97573"/>
    <w:rsid w:val="00A97636"/>
    <w:rsid w:val="00A976D1"/>
    <w:rsid w:val="00A97785"/>
    <w:rsid w:val="00A977AF"/>
    <w:rsid w:val="00A97890"/>
    <w:rsid w:val="00A97A5D"/>
    <w:rsid w:val="00A97B13"/>
    <w:rsid w:val="00A97C89"/>
    <w:rsid w:val="00A97D96"/>
    <w:rsid w:val="00A97E0F"/>
    <w:rsid w:val="00A97FF8"/>
    <w:rsid w:val="00A99060"/>
    <w:rsid w:val="00AA012D"/>
    <w:rsid w:val="00AA053D"/>
    <w:rsid w:val="00AA05C7"/>
    <w:rsid w:val="00AA06F2"/>
    <w:rsid w:val="00AA08BB"/>
    <w:rsid w:val="00AA09C0"/>
    <w:rsid w:val="00AA0A56"/>
    <w:rsid w:val="00AA0ABC"/>
    <w:rsid w:val="00AA0B6E"/>
    <w:rsid w:val="00AA0D80"/>
    <w:rsid w:val="00AA0EE6"/>
    <w:rsid w:val="00AA0EEE"/>
    <w:rsid w:val="00AA0F69"/>
    <w:rsid w:val="00AA0FC6"/>
    <w:rsid w:val="00AA0FDA"/>
    <w:rsid w:val="00AA1077"/>
    <w:rsid w:val="00AA10CB"/>
    <w:rsid w:val="00AA1154"/>
    <w:rsid w:val="00AA11A0"/>
    <w:rsid w:val="00AA11A1"/>
    <w:rsid w:val="00AA11B6"/>
    <w:rsid w:val="00AA126F"/>
    <w:rsid w:val="00AA12DE"/>
    <w:rsid w:val="00AA1371"/>
    <w:rsid w:val="00AA1388"/>
    <w:rsid w:val="00AA1418"/>
    <w:rsid w:val="00AA173C"/>
    <w:rsid w:val="00AA1757"/>
    <w:rsid w:val="00AA1759"/>
    <w:rsid w:val="00AA17FC"/>
    <w:rsid w:val="00AA1818"/>
    <w:rsid w:val="00AA1872"/>
    <w:rsid w:val="00AA1A6A"/>
    <w:rsid w:val="00AA1BB7"/>
    <w:rsid w:val="00AA1C12"/>
    <w:rsid w:val="00AA1C38"/>
    <w:rsid w:val="00AA1DA3"/>
    <w:rsid w:val="00AA1F5E"/>
    <w:rsid w:val="00AA1FDF"/>
    <w:rsid w:val="00AA2038"/>
    <w:rsid w:val="00AA2079"/>
    <w:rsid w:val="00AA20B0"/>
    <w:rsid w:val="00AA2135"/>
    <w:rsid w:val="00AA21CE"/>
    <w:rsid w:val="00AA2629"/>
    <w:rsid w:val="00AA2706"/>
    <w:rsid w:val="00AA2790"/>
    <w:rsid w:val="00AA2865"/>
    <w:rsid w:val="00AA28CE"/>
    <w:rsid w:val="00AA2A7A"/>
    <w:rsid w:val="00AA2BE6"/>
    <w:rsid w:val="00AA2C26"/>
    <w:rsid w:val="00AA2F27"/>
    <w:rsid w:val="00AA302D"/>
    <w:rsid w:val="00AA3043"/>
    <w:rsid w:val="00AA305F"/>
    <w:rsid w:val="00AA31D0"/>
    <w:rsid w:val="00AA34C3"/>
    <w:rsid w:val="00AA357B"/>
    <w:rsid w:val="00AA358D"/>
    <w:rsid w:val="00AA35CD"/>
    <w:rsid w:val="00AA36F3"/>
    <w:rsid w:val="00AA3778"/>
    <w:rsid w:val="00AA397A"/>
    <w:rsid w:val="00AA3A78"/>
    <w:rsid w:val="00AA3C64"/>
    <w:rsid w:val="00AA3D51"/>
    <w:rsid w:val="00AA3E63"/>
    <w:rsid w:val="00AA4106"/>
    <w:rsid w:val="00AA4160"/>
    <w:rsid w:val="00AA41D2"/>
    <w:rsid w:val="00AA4332"/>
    <w:rsid w:val="00AA4351"/>
    <w:rsid w:val="00AA461A"/>
    <w:rsid w:val="00AA46DE"/>
    <w:rsid w:val="00AA479D"/>
    <w:rsid w:val="00AA49A8"/>
    <w:rsid w:val="00AA4C2B"/>
    <w:rsid w:val="00AA4FFE"/>
    <w:rsid w:val="00AA52CF"/>
    <w:rsid w:val="00AA5731"/>
    <w:rsid w:val="00AA5932"/>
    <w:rsid w:val="00AA593F"/>
    <w:rsid w:val="00AA5A64"/>
    <w:rsid w:val="00AA5A97"/>
    <w:rsid w:val="00AA5AC9"/>
    <w:rsid w:val="00AA5BC6"/>
    <w:rsid w:val="00AA5BF2"/>
    <w:rsid w:val="00AA5CB2"/>
    <w:rsid w:val="00AA5CCA"/>
    <w:rsid w:val="00AA5D36"/>
    <w:rsid w:val="00AA5E46"/>
    <w:rsid w:val="00AA5F1D"/>
    <w:rsid w:val="00AA5F9B"/>
    <w:rsid w:val="00AA6074"/>
    <w:rsid w:val="00AA6289"/>
    <w:rsid w:val="00AA62CB"/>
    <w:rsid w:val="00AA64DC"/>
    <w:rsid w:val="00AA6552"/>
    <w:rsid w:val="00AA6988"/>
    <w:rsid w:val="00AA6A9A"/>
    <w:rsid w:val="00AA6C99"/>
    <w:rsid w:val="00AA6F79"/>
    <w:rsid w:val="00AA70C8"/>
    <w:rsid w:val="00AA7228"/>
    <w:rsid w:val="00AA72B7"/>
    <w:rsid w:val="00AA7356"/>
    <w:rsid w:val="00AA76CE"/>
    <w:rsid w:val="00AA777F"/>
    <w:rsid w:val="00AA77CF"/>
    <w:rsid w:val="00AA78A5"/>
    <w:rsid w:val="00AA78C0"/>
    <w:rsid w:val="00AA7916"/>
    <w:rsid w:val="00AA7ABE"/>
    <w:rsid w:val="00AA7AFC"/>
    <w:rsid w:val="00AA7C24"/>
    <w:rsid w:val="00AA7C8E"/>
    <w:rsid w:val="00AB028C"/>
    <w:rsid w:val="00AB0397"/>
    <w:rsid w:val="00AB03D4"/>
    <w:rsid w:val="00AB03D9"/>
    <w:rsid w:val="00AB04E7"/>
    <w:rsid w:val="00AB0519"/>
    <w:rsid w:val="00AB063C"/>
    <w:rsid w:val="00AB0767"/>
    <w:rsid w:val="00AB0781"/>
    <w:rsid w:val="00AB082E"/>
    <w:rsid w:val="00AB087F"/>
    <w:rsid w:val="00AB0A7B"/>
    <w:rsid w:val="00AB0C1E"/>
    <w:rsid w:val="00AB0C3D"/>
    <w:rsid w:val="00AB1181"/>
    <w:rsid w:val="00AB1396"/>
    <w:rsid w:val="00AB1460"/>
    <w:rsid w:val="00AB1568"/>
    <w:rsid w:val="00AB1954"/>
    <w:rsid w:val="00AB195E"/>
    <w:rsid w:val="00AB1A14"/>
    <w:rsid w:val="00AB1A85"/>
    <w:rsid w:val="00AB1AA6"/>
    <w:rsid w:val="00AB1ABE"/>
    <w:rsid w:val="00AB1AE2"/>
    <w:rsid w:val="00AB1C20"/>
    <w:rsid w:val="00AB1DA0"/>
    <w:rsid w:val="00AB1E0C"/>
    <w:rsid w:val="00AB1E1F"/>
    <w:rsid w:val="00AB203A"/>
    <w:rsid w:val="00AB214B"/>
    <w:rsid w:val="00AB2298"/>
    <w:rsid w:val="00AB231C"/>
    <w:rsid w:val="00AB2381"/>
    <w:rsid w:val="00AB27A5"/>
    <w:rsid w:val="00AB27B5"/>
    <w:rsid w:val="00AB299F"/>
    <w:rsid w:val="00AB2A35"/>
    <w:rsid w:val="00AB2A78"/>
    <w:rsid w:val="00AB2AC4"/>
    <w:rsid w:val="00AB2B81"/>
    <w:rsid w:val="00AB2C34"/>
    <w:rsid w:val="00AB2CC5"/>
    <w:rsid w:val="00AB2DA5"/>
    <w:rsid w:val="00AB2EF0"/>
    <w:rsid w:val="00AB2F2D"/>
    <w:rsid w:val="00AB3495"/>
    <w:rsid w:val="00AB35BE"/>
    <w:rsid w:val="00AB35C6"/>
    <w:rsid w:val="00AB36B0"/>
    <w:rsid w:val="00AB3A5E"/>
    <w:rsid w:val="00AB3B27"/>
    <w:rsid w:val="00AB3C44"/>
    <w:rsid w:val="00AB3E69"/>
    <w:rsid w:val="00AB3EEE"/>
    <w:rsid w:val="00AB3F36"/>
    <w:rsid w:val="00AB42D3"/>
    <w:rsid w:val="00AB4434"/>
    <w:rsid w:val="00AB45B4"/>
    <w:rsid w:val="00AB48CC"/>
    <w:rsid w:val="00AB492F"/>
    <w:rsid w:val="00AB49A4"/>
    <w:rsid w:val="00AB4B02"/>
    <w:rsid w:val="00AB51CE"/>
    <w:rsid w:val="00AB51E1"/>
    <w:rsid w:val="00AB5205"/>
    <w:rsid w:val="00AB5599"/>
    <w:rsid w:val="00AB55E7"/>
    <w:rsid w:val="00AB5628"/>
    <w:rsid w:val="00AB58A1"/>
    <w:rsid w:val="00AB5A87"/>
    <w:rsid w:val="00AB5DAE"/>
    <w:rsid w:val="00AB5DD2"/>
    <w:rsid w:val="00AB5E6A"/>
    <w:rsid w:val="00AB5E83"/>
    <w:rsid w:val="00AB5F7F"/>
    <w:rsid w:val="00AB5FAC"/>
    <w:rsid w:val="00AB5FD4"/>
    <w:rsid w:val="00AB608D"/>
    <w:rsid w:val="00AB62AC"/>
    <w:rsid w:val="00AB63A4"/>
    <w:rsid w:val="00AB640D"/>
    <w:rsid w:val="00AB68B1"/>
    <w:rsid w:val="00AB68EF"/>
    <w:rsid w:val="00AB68FA"/>
    <w:rsid w:val="00AB699A"/>
    <w:rsid w:val="00AB6A0A"/>
    <w:rsid w:val="00AB6A76"/>
    <w:rsid w:val="00AB6D27"/>
    <w:rsid w:val="00AB6D40"/>
    <w:rsid w:val="00AB71DD"/>
    <w:rsid w:val="00AB73C6"/>
    <w:rsid w:val="00AB743C"/>
    <w:rsid w:val="00AB7458"/>
    <w:rsid w:val="00AB749E"/>
    <w:rsid w:val="00AB78CD"/>
    <w:rsid w:val="00AB790C"/>
    <w:rsid w:val="00AB7AAD"/>
    <w:rsid w:val="00AB7C33"/>
    <w:rsid w:val="00AB7C90"/>
    <w:rsid w:val="00AB7E76"/>
    <w:rsid w:val="00AB7F7C"/>
    <w:rsid w:val="00AC02F5"/>
    <w:rsid w:val="00AC0380"/>
    <w:rsid w:val="00AC039C"/>
    <w:rsid w:val="00AC0475"/>
    <w:rsid w:val="00AC04DC"/>
    <w:rsid w:val="00AC0517"/>
    <w:rsid w:val="00AC057A"/>
    <w:rsid w:val="00AC05C5"/>
    <w:rsid w:val="00AC0775"/>
    <w:rsid w:val="00AC07C7"/>
    <w:rsid w:val="00AC0954"/>
    <w:rsid w:val="00AC0AE8"/>
    <w:rsid w:val="00AC0B27"/>
    <w:rsid w:val="00AC0B3A"/>
    <w:rsid w:val="00AC0C0E"/>
    <w:rsid w:val="00AC0C65"/>
    <w:rsid w:val="00AC0CEF"/>
    <w:rsid w:val="00AC0D29"/>
    <w:rsid w:val="00AC0E07"/>
    <w:rsid w:val="00AC1005"/>
    <w:rsid w:val="00AC1051"/>
    <w:rsid w:val="00AC1067"/>
    <w:rsid w:val="00AC1076"/>
    <w:rsid w:val="00AC116D"/>
    <w:rsid w:val="00AC1367"/>
    <w:rsid w:val="00AC13A5"/>
    <w:rsid w:val="00AC13CB"/>
    <w:rsid w:val="00AC13DF"/>
    <w:rsid w:val="00AC143D"/>
    <w:rsid w:val="00AC1452"/>
    <w:rsid w:val="00AC145D"/>
    <w:rsid w:val="00AC146C"/>
    <w:rsid w:val="00AC192A"/>
    <w:rsid w:val="00AC1A48"/>
    <w:rsid w:val="00AC1BB9"/>
    <w:rsid w:val="00AC1D4F"/>
    <w:rsid w:val="00AC1EFA"/>
    <w:rsid w:val="00AC25D3"/>
    <w:rsid w:val="00AC2703"/>
    <w:rsid w:val="00AC29DC"/>
    <w:rsid w:val="00AC2A6A"/>
    <w:rsid w:val="00AC2ABA"/>
    <w:rsid w:val="00AC2B31"/>
    <w:rsid w:val="00AC2B3B"/>
    <w:rsid w:val="00AC2EC8"/>
    <w:rsid w:val="00AC2F0E"/>
    <w:rsid w:val="00AC3032"/>
    <w:rsid w:val="00AC308F"/>
    <w:rsid w:val="00AC32AD"/>
    <w:rsid w:val="00AC3487"/>
    <w:rsid w:val="00AC34F3"/>
    <w:rsid w:val="00AC3563"/>
    <w:rsid w:val="00AC35E7"/>
    <w:rsid w:val="00AC3668"/>
    <w:rsid w:val="00AC36A9"/>
    <w:rsid w:val="00AC3789"/>
    <w:rsid w:val="00AC3B2E"/>
    <w:rsid w:val="00AC3B64"/>
    <w:rsid w:val="00AC3C1B"/>
    <w:rsid w:val="00AC3CDB"/>
    <w:rsid w:val="00AC3E1F"/>
    <w:rsid w:val="00AC3F9B"/>
    <w:rsid w:val="00AC3FA6"/>
    <w:rsid w:val="00AC3FBE"/>
    <w:rsid w:val="00AC4186"/>
    <w:rsid w:val="00AC41A1"/>
    <w:rsid w:val="00AC4263"/>
    <w:rsid w:val="00AC454A"/>
    <w:rsid w:val="00AC498C"/>
    <w:rsid w:val="00AC4B86"/>
    <w:rsid w:val="00AC4F16"/>
    <w:rsid w:val="00AC50C0"/>
    <w:rsid w:val="00AC52D1"/>
    <w:rsid w:val="00AC5440"/>
    <w:rsid w:val="00AC55A6"/>
    <w:rsid w:val="00AC55C5"/>
    <w:rsid w:val="00AC57DA"/>
    <w:rsid w:val="00AC5857"/>
    <w:rsid w:val="00AC5969"/>
    <w:rsid w:val="00AC5A27"/>
    <w:rsid w:val="00AC5A43"/>
    <w:rsid w:val="00AC5B20"/>
    <w:rsid w:val="00AC5BEC"/>
    <w:rsid w:val="00AC5C08"/>
    <w:rsid w:val="00AC5E1C"/>
    <w:rsid w:val="00AC6027"/>
    <w:rsid w:val="00AC6090"/>
    <w:rsid w:val="00AC6191"/>
    <w:rsid w:val="00AC636F"/>
    <w:rsid w:val="00AC6371"/>
    <w:rsid w:val="00AC63F3"/>
    <w:rsid w:val="00AC645D"/>
    <w:rsid w:val="00AC64B4"/>
    <w:rsid w:val="00AC6673"/>
    <w:rsid w:val="00AC67D3"/>
    <w:rsid w:val="00AC688B"/>
    <w:rsid w:val="00AC6992"/>
    <w:rsid w:val="00AC69DC"/>
    <w:rsid w:val="00AC6AD2"/>
    <w:rsid w:val="00AC6B84"/>
    <w:rsid w:val="00AC6BB1"/>
    <w:rsid w:val="00AC6D33"/>
    <w:rsid w:val="00AC6D56"/>
    <w:rsid w:val="00AC6E0E"/>
    <w:rsid w:val="00AC705C"/>
    <w:rsid w:val="00AC712A"/>
    <w:rsid w:val="00AC72AA"/>
    <w:rsid w:val="00AC72B9"/>
    <w:rsid w:val="00AC736D"/>
    <w:rsid w:val="00AC75E2"/>
    <w:rsid w:val="00AC7675"/>
    <w:rsid w:val="00AC76EE"/>
    <w:rsid w:val="00AC77BA"/>
    <w:rsid w:val="00AC7855"/>
    <w:rsid w:val="00AC7864"/>
    <w:rsid w:val="00AC79A7"/>
    <w:rsid w:val="00AC7A17"/>
    <w:rsid w:val="00AC7A57"/>
    <w:rsid w:val="00AC7C20"/>
    <w:rsid w:val="00AC7C68"/>
    <w:rsid w:val="00AC7E02"/>
    <w:rsid w:val="00AC7E33"/>
    <w:rsid w:val="00AC7F0F"/>
    <w:rsid w:val="00AD0171"/>
    <w:rsid w:val="00AD0249"/>
    <w:rsid w:val="00AD0280"/>
    <w:rsid w:val="00AD02C8"/>
    <w:rsid w:val="00AD0327"/>
    <w:rsid w:val="00AD0568"/>
    <w:rsid w:val="00AD05AC"/>
    <w:rsid w:val="00AD05FE"/>
    <w:rsid w:val="00AD06DC"/>
    <w:rsid w:val="00AD0996"/>
    <w:rsid w:val="00AD0BF9"/>
    <w:rsid w:val="00AD0CAC"/>
    <w:rsid w:val="00AD0D3D"/>
    <w:rsid w:val="00AD0DFF"/>
    <w:rsid w:val="00AD0E64"/>
    <w:rsid w:val="00AD12B1"/>
    <w:rsid w:val="00AD1305"/>
    <w:rsid w:val="00AD134A"/>
    <w:rsid w:val="00AD13F1"/>
    <w:rsid w:val="00AD141F"/>
    <w:rsid w:val="00AD142A"/>
    <w:rsid w:val="00AD14C3"/>
    <w:rsid w:val="00AD1658"/>
    <w:rsid w:val="00AD16D6"/>
    <w:rsid w:val="00AD16EE"/>
    <w:rsid w:val="00AD1724"/>
    <w:rsid w:val="00AD1769"/>
    <w:rsid w:val="00AD1856"/>
    <w:rsid w:val="00AD185E"/>
    <w:rsid w:val="00AD194F"/>
    <w:rsid w:val="00AD1AAB"/>
    <w:rsid w:val="00AD1DC8"/>
    <w:rsid w:val="00AD1E19"/>
    <w:rsid w:val="00AD1EF4"/>
    <w:rsid w:val="00AD203D"/>
    <w:rsid w:val="00AD217E"/>
    <w:rsid w:val="00AD231C"/>
    <w:rsid w:val="00AD2327"/>
    <w:rsid w:val="00AD245E"/>
    <w:rsid w:val="00AD24D6"/>
    <w:rsid w:val="00AD2600"/>
    <w:rsid w:val="00AD26FF"/>
    <w:rsid w:val="00AD282D"/>
    <w:rsid w:val="00AD29DC"/>
    <w:rsid w:val="00AD2B54"/>
    <w:rsid w:val="00AD2CE9"/>
    <w:rsid w:val="00AD2DC4"/>
    <w:rsid w:val="00AD2EAD"/>
    <w:rsid w:val="00AD2EBE"/>
    <w:rsid w:val="00AD2EF4"/>
    <w:rsid w:val="00AD2F6E"/>
    <w:rsid w:val="00AD3199"/>
    <w:rsid w:val="00AD31B8"/>
    <w:rsid w:val="00AD31E7"/>
    <w:rsid w:val="00AD32B2"/>
    <w:rsid w:val="00AD32C0"/>
    <w:rsid w:val="00AD32CA"/>
    <w:rsid w:val="00AD330D"/>
    <w:rsid w:val="00AD3702"/>
    <w:rsid w:val="00AD3704"/>
    <w:rsid w:val="00AD398F"/>
    <w:rsid w:val="00AD3ADF"/>
    <w:rsid w:val="00AD3B48"/>
    <w:rsid w:val="00AD3B9F"/>
    <w:rsid w:val="00AD3DE4"/>
    <w:rsid w:val="00AD3EC9"/>
    <w:rsid w:val="00AD4114"/>
    <w:rsid w:val="00AD4325"/>
    <w:rsid w:val="00AD4363"/>
    <w:rsid w:val="00AD4380"/>
    <w:rsid w:val="00AD43DE"/>
    <w:rsid w:val="00AD44A8"/>
    <w:rsid w:val="00AD45B8"/>
    <w:rsid w:val="00AD45D1"/>
    <w:rsid w:val="00AD4637"/>
    <w:rsid w:val="00AD4662"/>
    <w:rsid w:val="00AD47A3"/>
    <w:rsid w:val="00AD4AC9"/>
    <w:rsid w:val="00AD4B04"/>
    <w:rsid w:val="00AD4B51"/>
    <w:rsid w:val="00AD4C86"/>
    <w:rsid w:val="00AD4C87"/>
    <w:rsid w:val="00AD4CA7"/>
    <w:rsid w:val="00AD5004"/>
    <w:rsid w:val="00AD5215"/>
    <w:rsid w:val="00AD5224"/>
    <w:rsid w:val="00AD5252"/>
    <w:rsid w:val="00AD531A"/>
    <w:rsid w:val="00AD537C"/>
    <w:rsid w:val="00AD5595"/>
    <w:rsid w:val="00AD55B2"/>
    <w:rsid w:val="00AD5674"/>
    <w:rsid w:val="00AD56C9"/>
    <w:rsid w:val="00AD57DA"/>
    <w:rsid w:val="00AD5893"/>
    <w:rsid w:val="00AD5B25"/>
    <w:rsid w:val="00AD5B5B"/>
    <w:rsid w:val="00AD5C94"/>
    <w:rsid w:val="00AD5CF3"/>
    <w:rsid w:val="00AD5D4C"/>
    <w:rsid w:val="00AD5DD7"/>
    <w:rsid w:val="00AD61A5"/>
    <w:rsid w:val="00AD622D"/>
    <w:rsid w:val="00AD6315"/>
    <w:rsid w:val="00AD66F3"/>
    <w:rsid w:val="00AD6705"/>
    <w:rsid w:val="00AD672A"/>
    <w:rsid w:val="00AD6AF4"/>
    <w:rsid w:val="00AD6BD3"/>
    <w:rsid w:val="00AD6D9B"/>
    <w:rsid w:val="00AD6E64"/>
    <w:rsid w:val="00AD6F05"/>
    <w:rsid w:val="00AD71DC"/>
    <w:rsid w:val="00AD71E0"/>
    <w:rsid w:val="00AD7249"/>
    <w:rsid w:val="00AD7782"/>
    <w:rsid w:val="00AD7853"/>
    <w:rsid w:val="00AD7A37"/>
    <w:rsid w:val="00AD7B4A"/>
    <w:rsid w:val="00AD7BDE"/>
    <w:rsid w:val="00AD7DB5"/>
    <w:rsid w:val="00AD7DF6"/>
    <w:rsid w:val="00AD7E0E"/>
    <w:rsid w:val="00AD7F61"/>
    <w:rsid w:val="00AE0016"/>
    <w:rsid w:val="00AE01B4"/>
    <w:rsid w:val="00AE01E8"/>
    <w:rsid w:val="00AE0397"/>
    <w:rsid w:val="00AE045D"/>
    <w:rsid w:val="00AE0576"/>
    <w:rsid w:val="00AE059D"/>
    <w:rsid w:val="00AE0664"/>
    <w:rsid w:val="00AE078D"/>
    <w:rsid w:val="00AE0807"/>
    <w:rsid w:val="00AE093C"/>
    <w:rsid w:val="00AE09EE"/>
    <w:rsid w:val="00AE09FD"/>
    <w:rsid w:val="00AE0A3D"/>
    <w:rsid w:val="00AE0C92"/>
    <w:rsid w:val="00AE0C97"/>
    <w:rsid w:val="00AE0E11"/>
    <w:rsid w:val="00AE1129"/>
    <w:rsid w:val="00AE1267"/>
    <w:rsid w:val="00AE1270"/>
    <w:rsid w:val="00AE1595"/>
    <w:rsid w:val="00AE1628"/>
    <w:rsid w:val="00AE1843"/>
    <w:rsid w:val="00AE18DF"/>
    <w:rsid w:val="00AE1950"/>
    <w:rsid w:val="00AE1996"/>
    <w:rsid w:val="00AE19BB"/>
    <w:rsid w:val="00AE19D7"/>
    <w:rsid w:val="00AE19FA"/>
    <w:rsid w:val="00AE1A5C"/>
    <w:rsid w:val="00AE1A66"/>
    <w:rsid w:val="00AE1B13"/>
    <w:rsid w:val="00AE1C66"/>
    <w:rsid w:val="00AE1D08"/>
    <w:rsid w:val="00AE1D43"/>
    <w:rsid w:val="00AE1E1D"/>
    <w:rsid w:val="00AE1ECE"/>
    <w:rsid w:val="00AE1F39"/>
    <w:rsid w:val="00AE1FED"/>
    <w:rsid w:val="00AE2131"/>
    <w:rsid w:val="00AE2194"/>
    <w:rsid w:val="00AE238E"/>
    <w:rsid w:val="00AE23E8"/>
    <w:rsid w:val="00AE240B"/>
    <w:rsid w:val="00AE2755"/>
    <w:rsid w:val="00AE27A4"/>
    <w:rsid w:val="00AE28A9"/>
    <w:rsid w:val="00AE28BA"/>
    <w:rsid w:val="00AE2B22"/>
    <w:rsid w:val="00AE2CF2"/>
    <w:rsid w:val="00AE2F3E"/>
    <w:rsid w:val="00AE3081"/>
    <w:rsid w:val="00AE3099"/>
    <w:rsid w:val="00AE30A1"/>
    <w:rsid w:val="00AE323D"/>
    <w:rsid w:val="00AE3401"/>
    <w:rsid w:val="00AE367A"/>
    <w:rsid w:val="00AE36AB"/>
    <w:rsid w:val="00AE3718"/>
    <w:rsid w:val="00AE37F2"/>
    <w:rsid w:val="00AE3988"/>
    <w:rsid w:val="00AE39A7"/>
    <w:rsid w:val="00AE3A19"/>
    <w:rsid w:val="00AE3B74"/>
    <w:rsid w:val="00AE3B87"/>
    <w:rsid w:val="00AE3DA5"/>
    <w:rsid w:val="00AE424C"/>
    <w:rsid w:val="00AE42D8"/>
    <w:rsid w:val="00AE4487"/>
    <w:rsid w:val="00AE46AC"/>
    <w:rsid w:val="00AE4A8B"/>
    <w:rsid w:val="00AE4AE9"/>
    <w:rsid w:val="00AE4B32"/>
    <w:rsid w:val="00AE4B6D"/>
    <w:rsid w:val="00AE4D29"/>
    <w:rsid w:val="00AE4E46"/>
    <w:rsid w:val="00AE4E7C"/>
    <w:rsid w:val="00AE4F35"/>
    <w:rsid w:val="00AE4FDF"/>
    <w:rsid w:val="00AE503A"/>
    <w:rsid w:val="00AE518E"/>
    <w:rsid w:val="00AE5280"/>
    <w:rsid w:val="00AE52C0"/>
    <w:rsid w:val="00AE5427"/>
    <w:rsid w:val="00AE54FC"/>
    <w:rsid w:val="00AE5566"/>
    <w:rsid w:val="00AE5643"/>
    <w:rsid w:val="00AE56AB"/>
    <w:rsid w:val="00AE58B8"/>
    <w:rsid w:val="00AE5960"/>
    <w:rsid w:val="00AE5BC3"/>
    <w:rsid w:val="00AE5CEB"/>
    <w:rsid w:val="00AE5DDB"/>
    <w:rsid w:val="00AE5FDE"/>
    <w:rsid w:val="00AE6086"/>
    <w:rsid w:val="00AE61DD"/>
    <w:rsid w:val="00AE6298"/>
    <w:rsid w:val="00AE62AF"/>
    <w:rsid w:val="00AE6448"/>
    <w:rsid w:val="00AE65ED"/>
    <w:rsid w:val="00AE6794"/>
    <w:rsid w:val="00AE67A5"/>
    <w:rsid w:val="00AE6970"/>
    <w:rsid w:val="00AE6A58"/>
    <w:rsid w:val="00AE6AF7"/>
    <w:rsid w:val="00AE6B77"/>
    <w:rsid w:val="00AE6BC6"/>
    <w:rsid w:val="00AE6D0D"/>
    <w:rsid w:val="00AE70C3"/>
    <w:rsid w:val="00AE71A2"/>
    <w:rsid w:val="00AE7273"/>
    <w:rsid w:val="00AE7337"/>
    <w:rsid w:val="00AE73B8"/>
    <w:rsid w:val="00AE7679"/>
    <w:rsid w:val="00AE7735"/>
    <w:rsid w:val="00AE77FE"/>
    <w:rsid w:val="00AE79B6"/>
    <w:rsid w:val="00AE79CF"/>
    <w:rsid w:val="00AE7AD8"/>
    <w:rsid w:val="00AE7B5E"/>
    <w:rsid w:val="00AE7C23"/>
    <w:rsid w:val="00AE7C55"/>
    <w:rsid w:val="00AE7D1A"/>
    <w:rsid w:val="00AE7D1B"/>
    <w:rsid w:val="00AE7D48"/>
    <w:rsid w:val="00AE7ED7"/>
    <w:rsid w:val="00AE7F04"/>
    <w:rsid w:val="00AF0193"/>
    <w:rsid w:val="00AF01E5"/>
    <w:rsid w:val="00AF023A"/>
    <w:rsid w:val="00AF035B"/>
    <w:rsid w:val="00AF039F"/>
    <w:rsid w:val="00AF03EE"/>
    <w:rsid w:val="00AF04DB"/>
    <w:rsid w:val="00AF0675"/>
    <w:rsid w:val="00AF0705"/>
    <w:rsid w:val="00AF07D4"/>
    <w:rsid w:val="00AF0889"/>
    <w:rsid w:val="00AF098E"/>
    <w:rsid w:val="00AF0B58"/>
    <w:rsid w:val="00AF0CE9"/>
    <w:rsid w:val="00AF0D51"/>
    <w:rsid w:val="00AF0EB4"/>
    <w:rsid w:val="00AF0F6E"/>
    <w:rsid w:val="00AF1080"/>
    <w:rsid w:val="00AF1146"/>
    <w:rsid w:val="00AF1576"/>
    <w:rsid w:val="00AF15B7"/>
    <w:rsid w:val="00AF1788"/>
    <w:rsid w:val="00AF17D1"/>
    <w:rsid w:val="00AF18F9"/>
    <w:rsid w:val="00AF1968"/>
    <w:rsid w:val="00AF1B36"/>
    <w:rsid w:val="00AF1C62"/>
    <w:rsid w:val="00AF1E9A"/>
    <w:rsid w:val="00AF1E9B"/>
    <w:rsid w:val="00AF1F08"/>
    <w:rsid w:val="00AF1F5B"/>
    <w:rsid w:val="00AF1FF5"/>
    <w:rsid w:val="00AF2156"/>
    <w:rsid w:val="00AF2260"/>
    <w:rsid w:val="00AF24E3"/>
    <w:rsid w:val="00AF2542"/>
    <w:rsid w:val="00AF2751"/>
    <w:rsid w:val="00AF2AC6"/>
    <w:rsid w:val="00AF2B13"/>
    <w:rsid w:val="00AF2B49"/>
    <w:rsid w:val="00AF2CA4"/>
    <w:rsid w:val="00AF2E29"/>
    <w:rsid w:val="00AF2E89"/>
    <w:rsid w:val="00AF2EFC"/>
    <w:rsid w:val="00AF2FA3"/>
    <w:rsid w:val="00AF3021"/>
    <w:rsid w:val="00AF305B"/>
    <w:rsid w:val="00AF30BD"/>
    <w:rsid w:val="00AF31DA"/>
    <w:rsid w:val="00AF32AF"/>
    <w:rsid w:val="00AF33C8"/>
    <w:rsid w:val="00AF3469"/>
    <w:rsid w:val="00AF3497"/>
    <w:rsid w:val="00AF34C0"/>
    <w:rsid w:val="00AF35D7"/>
    <w:rsid w:val="00AF3614"/>
    <w:rsid w:val="00AF367A"/>
    <w:rsid w:val="00AF368C"/>
    <w:rsid w:val="00AF39ED"/>
    <w:rsid w:val="00AF3A50"/>
    <w:rsid w:val="00AF3AA3"/>
    <w:rsid w:val="00AF3ACD"/>
    <w:rsid w:val="00AF3E46"/>
    <w:rsid w:val="00AF3ECD"/>
    <w:rsid w:val="00AF3FA5"/>
    <w:rsid w:val="00AF4091"/>
    <w:rsid w:val="00AF417E"/>
    <w:rsid w:val="00AF4274"/>
    <w:rsid w:val="00AF44C0"/>
    <w:rsid w:val="00AF44E1"/>
    <w:rsid w:val="00AF4575"/>
    <w:rsid w:val="00AF4661"/>
    <w:rsid w:val="00AF4668"/>
    <w:rsid w:val="00AF4755"/>
    <w:rsid w:val="00AF49D3"/>
    <w:rsid w:val="00AF4A12"/>
    <w:rsid w:val="00AF4C12"/>
    <w:rsid w:val="00AF4C4F"/>
    <w:rsid w:val="00AF4C58"/>
    <w:rsid w:val="00AF4D07"/>
    <w:rsid w:val="00AF4D09"/>
    <w:rsid w:val="00AF4D7E"/>
    <w:rsid w:val="00AF4F16"/>
    <w:rsid w:val="00AF4F88"/>
    <w:rsid w:val="00AF502A"/>
    <w:rsid w:val="00AF526A"/>
    <w:rsid w:val="00AF52DE"/>
    <w:rsid w:val="00AF5507"/>
    <w:rsid w:val="00AF5713"/>
    <w:rsid w:val="00AF57AC"/>
    <w:rsid w:val="00AF57D9"/>
    <w:rsid w:val="00AF58F6"/>
    <w:rsid w:val="00AF595C"/>
    <w:rsid w:val="00AF596A"/>
    <w:rsid w:val="00AF59D0"/>
    <w:rsid w:val="00AF5AA5"/>
    <w:rsid w:val="00AF5AC9"/>
    <w:rsid w:val="00AF5CA3"/>
    <w:rsid w:val="00AF5D1C"/>
    <w:rsid w:val="00AF5DAE"/>
    <w:rsid w:val="00AF5E44"/>
    <w:rsid w:val="00AF5F1F"/>
    <w:rsid w:val="00AF606D"/>
    <w:rsid w:val="00AF6104"/>
    <w:rsid w:val="00AF6218"/>
    <w:rsid w:val="00AF66E8"/>
    <w:rsid w:val="00AF68F4"/>
    <w:rsid w:val="00AF6AC2"/>
    <w:rsid w:val="00AF6CD9"/>
    <w:rsid w:val="00AF6CFA"/>
    <w:rsid w:val="00AF6DF6"/>
    <w:rsid w:val="00AF6E8C"/>
    <w:rsid w:val="00AF6F13"/>
    <w:rsid w:val="00AF75A3"/>
    <w:rsid w:val="00AF7701"/>
    <w:rsid w:val="00AF7714"/>
    <w:rsid w:val="00AF7722"/>
    <w:rsid w:val="00AF7727"/>
    <w:rsid w:val="00AF77E9"/>
    <w:rsid w:val="00AF789E"/>
    <w:rsid w:val="00AF798D"/>
    <w:rsid w:val="00AF79B8"/>
    <w:rsid w:val="00AF7A3D"/>
    <w:rsid w:val="00AF7A86"/>
    <w:rsid w:val="00AF7B46"/>
    <w:rsid w:val="00AF7B7F"/>
    <w:rsid w:val="00AF7C7F"/>
    <w:rsid w:val="00AF7DB8"/>
    <w:rsid w:val="00AF7E73"/>
    <w:rsid w:val="00AF7ED2"/>
    <w:rsid w:val="00AF7F64"/>
    <w:rsid w:val="00B000B9"/>
    <w:rsid w:val="00B0012A"/>
    <w:rsid w:val="00B0034D"/>
    <w:rsid w:val="00B0044A"/>
    <w:rsid w:val="00B00610"/>
    <w:rsid w:val="00B00812"/>
    <w:rsid w:val="00B008AE"/>
    <w:rsid w:val="00B00903"/>
    <w:rsid w:val="00B00A06"/>
    <w:rsid w:val="00B00B12"/>
    <w:rsid w:val="00B00B9B"/>
    <w:rsid w:val="00B00BCA"/>
    <w:rsid w:val="00B00C1B"/>
    <w:rsid w:val="00B00D01"/>
    <w:rsid w:val="00B00E04"/>
    <w:rsid w:val="00B00E46"/>
    <w:rsid w:val="00B012FC"/>
    <w:rsid w:val="00B01312"/>
    <w:rsid w:val="00B0138A"/>
    <w:rsid w:val="00B01781"/>
    <w:rsid w:val="00B01813"/>
    <w:rsid w:val="00B018A9"/>
    <w:rsid w:val="00B01BD2"/>
    <w:rsid w:val="00B01D24"/>
    <w:rsid w:val="00B01E14"/>
    <w:rsid w:val="00B01E21"/>
    <w:rsid w:val="00B01FF7"/>
    <w:rsid w:val="00B020F2"/>
    <w:rsid w:val="00B0235E"/>
    <w:rsid w:val="00B023F6"/>
    <w:rsid w:val="00B02516"/>
    <w:rsid w:val="00B02583"/>
    <w:rsid w:val="00B0258F"/>
    <w:rsid w:val="00B0276F"/>
    <w:rsid w:val="00B027BC"/>
    <w:rsid w:val="00B02834"/>
    <w:rsid w:val="00B0285C"/>
    <w:rsid w:val="00B028C7"/>
    <w:rsid w:val="00B02A37"/>
    <w:rsid w:val="00B02A80"/>
    <w:rsid w:val="00B02A91"/>
    <w:rsid w:val="00B02B53"/>
    <w:rsid w:val="00B02C0E"/>
    <w:rsid w:val="00B02C86"/>
    <w:rsid w:val="00B02C8D"/>
    <w:rsid w:val="00B02CB3"/>
    <w:rsid w:val="00B0306A"/>
    <w:rsid w:val="00B030FB"/>
    <w:rsid w:val="00B031B3"/>
    <w:rsid w:val="00B03513"/>
    <w:rsid w:val="00B0370C"/>
    <w:rsid w:val="00B037D8"/>
    <w:rsid w:val="00B038BE"/>
    <w:rsid w:val="00B03963"/>
    <w:rsid w:val="00B039BD"/>
    <w:rsid w:val="00B03B81"/>
    <w:rsid w:val="00B03DE0"/>
    <w:rsid w:val="00B03E93"/>
    <w:rsid w:val="00B03F34"/>
    <w:rsid w:val="00B03FB4"/>
    <w:rsid w:val="00B040F5"/>
    <w:rsid w:val="00B04133"/>
    <w:rsid w:val="00B0417A"/>
    <w:rsid w:val="00B0430E"/>
    <w:rsid w:val="00B044D9"/>
    <w:rsid w:val="00B044F3"/>
    <w:rsid w:val="00B045B9"/>
    <w:rsid w:val="00B047C9"/>
    <w:rsid w:val="00B04C36"/>
    <w:rsid w:val="00B04C88"/>
    <w:rsid w:val="00B04D12"/>
    <w:rsid w:val="00B04E99"/>
    <w:rsid w:val="00B04FB2"/>
    <w:rsid w:val="00B051A1"/>
    <w:rsid w:val="00B052C2"/>
    <w:rsid w:val="00B0530A"/>
    <w:rsid w:val="00B05330"/>
    <w:rsid w:val="00B053D0"/>
    <w:rsid w:val="00B055B4"/>
    <w:rsid w:val="00B05649"/>
    <w:rsid w:val="00B05724"/>
    <w:rsid w:val="00B05963"/>
    <w:rsid w:val="00B059EE"/>
    <w:rsid w:val="00B05A2B"/>
    <w:rsid w:val="00B05C3D"/>
    <w:rsid w:val="00B05DBB"/>
    <w:rsid w:val="00B05F2D"/>
    <w:rsid w:val="00B060C6"/>
    <w:rsid w:val="00B0618B"/>
    <w:rsid w:val="00B0618F"/>
    <w:rsid w:val="00B061FC"/>
    <w:rsid w:val="00B06360"/>
    <w:rsid w:val="00B063AD"/>
    <w:rsid w:val="00B0642E"/>
    <w:rsid w:val="00B0645F"/>
    <w:rsid w:val="00B0665C"/>
    <w:rsid w:val="00B06844"/>
    <w:rsid w:val="00B06A97"/>
    <w:rsid w:val="00B06CC7"/>
    <w:rsid w:val="00B06DB9"/>
    <w:rsid w:val="00B06EEA"/>
    <w:rsid w:val="00B06FE7"/>
    <w:rsid w:val="00B07008"/>
    <w:rsid w:val="00B07030"/>
    <w:rsid w:val="00B07140"/>
    <w:rsid w:val="00B07367"/>
    <w:rsid w:val="00B073B7"/>
    <w:rsid w:val="00B0740E"/>
    <w:rsid w:val="00B07639"/>
    <w:rsid w:val="00B07865"/>
    <w:rsid w:val="00B07989"/>
    <w:rsid w:val="00B07A65"/>
    <w:rsid w:val="00B07A7A"/>
    <w:rsid w:val="00B07AFF"/>
    <w:rsid w:val="00B07BF6"/>
    <w:rsid w:val="00B07BFB"/>
    <w:rsid w:val="00B07F98"/>
    <w:rsid w:val="00B100FE"/>
    <w:rsid w:val="00B10143"/>
    <w:rsid w:val="00B102ED"/>
    <w:rsid w:val="00B10338"/>
    <w:rsid w:val="00B1048C"/>
    <w:rsid w:val="00B104F8"/>
    <w:rsid w:val="00B10715"/>
    <w:rsid w:val="00B10760"/>
    <w:rsid w:val="00B10944"/>
    <w:rsid w:val="00B109CB"/>
    <w:rsid w:val="00B10A5C"/>
    <w:rsid w:val="00B10B73"/>
    <w:rsid w:val="00B10B88"/>
    <w:rsid w:val="00B10E67"/>
    <w:rsid w:val="00B10EA7"/>
    <w:rsid w:val="00B10F1C"/>
    <w:rsid w:val="00B11054"/>
    <w:rsid w:val="00B1133F"/>
    <w:rsid w:val="00B11378"/>
    <w:rsid w:val="00B113AB"/>
    <w:rsid w:val="00B11662"/>
    <w:rsid w:val="00B11803"/>
    <w:rsid w:val="00B119B5"/>
    <w:rsid w:val="00B119CD"/>
    <w:rsid w:val="00B11BE4"/>
    <w:rsid w:val="00B11D58"/>
    <w:rsid w:val="00B11E22"/>
    <w:rsid w:val="00B11F42"/>
    <w:rsid w:val="00B120B9"/>
    <w:rsid w:val="00B12155"/>
    <w:rsid w:val="00B121E9"/>
    <w:rsid w:val="00B1223D"/>
    <w:rsid w:val="00B12302"/>
    <w:rsid w:val="00B1232B"/>
    <w:rsid w:val="00B12443"/>
    <w:rsid w:val="00B124E7"/>
    <w:rsid w:val="00B12621"/>
    <w:rsid w:val="00B1294D"/>
    <w:rsid w:val="00B12A05"/>
    <w:rsid w:val="00B12B85"/>
    <w:rsid w:val="00B12BC8"/>
    <w:rsid w:val="00B12C0E"/>
    <w:rsid w:val="00B12C68"/>
    <w:rsid w:val="00B12CB1"/>
    <w:rsid w:val="00B12DE9"/>
    <w:rsid w:val="00B12EA9"/>
    <w:rsid w:val="00B12EDD"/>
    <w:rsid w:val="00B12F68"/>
    <w:rsid w:val="00B1311F"/>
    <w:rsid w:val="00B13236"/>
    <w:rsid w:val="00B13365"/>
    <w:rsid w:val="00B1337D"/>
    <w:rsid w:val="00B134A6"/>
    <w:rsid w:val="00B1353C"/>
    <w:rsid w:val="00B13700"/>
    <w:rsid w:val="00B1380E"/>
    <w:rsid w:val="00B138B0"/>
    <w:rsid w:val="00B13A57"/>
    <w:rsid w:val="00B13AA5"/>
    <w:rsid w:val="00B13B08"/>
    <w:rsid w:val="00B13BE6"/>
    <w:rsid w:val="00B13D2A"/>
    <w:rsid w:val="00B13D67"/>
    <w:rsid w:val="00B13FDF"/>
    <w:rsid w:val="00B1400F"/>
    <w:rsid w:val="00B14434"/>
    <w:rsid w:val="00B14443"/>
    <w:rsid w:val="00B14478"/>
    <w:rsid w:val="00B144AB"/>
    <w:rsid w:val="00B146BD"/>
    <w:rsid w:val="00B146BE"/>
    <w:rsid w:val="00B147A8"/>
    <w:rsid w:val="00B14919"/>
    <w:rsid w:val="00B14E46"/>
    <w:rsid w:val="00B14E59"/>
    <w:rsid w:val="00B14EB0"/>
    <w:rsid w:val="00B15055"/>
    <w:rsid w:val="00B1514B"/>
    <w:rsid w:val="00B15209"/>
    <w:rsid w:val="00B15233"/>
    <w:rsid w:val="00B15322"/>
    <w:rsid w:val="00B1539C"/>
    <w:rsid w:val="00B15456"/>
    <w:rsid w:val="00B1567A"/>
    <w:rsid w:val="00B15830"/>
    <w:rsid w:val="00B15A2D"/>
    <w:rsid w:val="00B15C3A"/>
    <w:rsid w:val="00B15E0C"/>
    <w:rsid w:val="00B15EE1"/>
    <w:rsid w:val="00B15FA4"/>
    <w:rsid w:val="00B15FBE"/>
    <w:rsid w:val="00B161BB"/>
    <w:rsid w:val="00B161C8"/>
    <w:rsid w:val="00B163A3"/>
    <w:rsid w:val="00B163FB"/>
    <w:rsid w:val="00B164DB"/>
    <w:rsid w:val="00B16512"/>
    <w:rsid w:val="00B1651F"/>
    <w:rsid w:val="00B16733"/>
    <w:rsid w:val="00B16777"/>
    <w:rsid w:val="00B1681E"/>
    <w:rsid w:val="00B168AB"/>
    <w:rsid w:val="00B1693D"/>
    <w:rsid w:val="00B16AFA"/>
    <w:rsid w:val="00B16C56"/>
    <w:rsid w:val="00B16D13"/>
    <w:rsid w:val="00B16DCF"/>
    <w:rsid w:val="00B17037"/>
    <w:rsid w:val="00B1710F"/>
    <w:rsid w:val="00B17287"/>
    <w:rsid w:val="00B17345"/>
    <w:rsid w:val="00B17361"/>
    <w:rsid w:val="00B173AB"/>
    <w:rsid w:val="00B17426"/>
    <w:rsid w:val="00B17429"/>
    <w:rsid w:val="00B1749C"/>
    <w:rsid w:val="00B17528"/>
    <w:rsid w:val="00B17607"/>
    <w:rsid w:val="00B17612"/>
    <w:rsid w:val="00B177BB"/>
    <w:rsid w:val="00B1790B"/>
    <w:rsid w:val="00B1792C"/>
    <w:rsid w:val="00B17BAD"/>
    <w:rsid w:val="00B17BE2"/>
    <w:rsid w:val="00B17CE4"/>
    <w:rsid w:val="00B17F06"/>
    <w:rsid w:val="00B2008A"/>
    <w:rsid w:val="00B20280"/>
    <w:rsid w:val="00B202DC"/>
    <w:rsid w:val="00B2039C"/>
    <w:rsid w:val="00B2061A"/>
    <w:rsid w:val="00B20625"/>
    <w:rsid w:val="00B206F0"/>
    <w:rsid w:val="00B208F4"/>
    <w:rsid w:val="00B20ADF"/>
    <w:rsid w:val="00B20AE7"/>
    <w:rsid w:val="00B20B84"/>
    <w:rsid w:val="00B20CBE"/>
    <w:rsid w:val="00B20F9A"/>
    <w:rsid w:val="00B2148A"/>
    <w:rsid w:val="00B2155A"/>
    <w:rsid w:val="00B2162C"/>
    <w:rsid w:val="00B21659"/>
    <w:rsid w:val="00B21A34"/>
    <w:rsid w:val="00B21A52"/>
    <w:rsid w:val="00B21CF9"/>
    <w:rsid w:val="00B21DF1"/>
    <w:rsid w:val="00B21E44"/>
    <w:rsid w:val="00B21FE5"/>
    <w:rsid w:val="00B2204A"/>
    <w:rsid w:val="00B221A0"/>
    <w:rsid w:val="00B227F7"/>
    <w:rsid w:val="00B22901"/>
    <w:rsid w:val="00B22CC7"/>
    <w:rsid w:val="00B22D93"/>
    <w:rsid w:val="00B22DF8"/>
    <w:rsid w:val="00B22EAC"/>
    <w:rsid w:val="00B23089"/>
    <w:rsid w:val="00B231A3"/>
    <w:rsid w:val="00B232B3"/>
    <w:rsid w:val="00B23682"/>
    <w:rsid w:val="00B23735"/>
    <w:rsid w:val="00B239A8"/>
    <w:rsid w:val="00B23B09"/>
    <w:rsid w:val="00B23B0C"/>
    <w:rsid w:val="00B23B86"/>
    <w:rsid w:val="00B23CCB"/>
    <w:rsid w:val="00B23CEF"/>
    <w:rsid w:val="00B23D33"/>
    <w:rsid w:val="00B23E18"/>
    <w:rsid w:val="00B23E8B"/>
    <w:rsid w:val="00B23FCF"/>
    <w:rsid w:val="00B240B9"/>
    <w:rsid w:val="00B240FD"/>
    <w:rsid w:val="00B2438E"/>
    <w:rsid w:val="00B24554"/>
    <w:rsid w:val="00B24566"/>
    <w:rsid w:val="00B249A1"/>
    <w:rsid w:val="00B24B23"/>
    <w:rsid w:val="00B24BDA"/>
    <w:rsid w:val="00B24BF4"/>
    <w:rsid w:val="00B24C20"/>
    <w:rsid w:val="00B24E27"/>
    <w:rsid w:val="00B25184"/>
    <w:rsid w:val="00B25443"/>
    <w:rsid w:val="00B254AC"/>
    <w:rsid w:val="00B2551B"/>
    <w:rsid w:val="00B256D4"/>
    <w:rsid w:val="00B25863"/>
    <w:rsid w:val="00B25892"/>
    <w:rsid w:val="00B25BEF"/>
    <w:rsid w:val="00B25D84"/>
    <w:rsid w:val="00B25E4B"/>
    <w:rsid w:val="00B261E3"/>
    <w:rsid w:val="00B2626B"/>
    <w:rsid w:val="00B262AE"/>
    <w:rsid w:val="00B262F4"/>
    <w:rsid w:val="00B2633F"/>
    <w:rsid w:val="00B26563"/>
    <w:rsid w:val="00B265AA"/>
    <w:rsid w:val="00B265EC"/>
    <w:rsid w:val="00B26763"/>
    <w:rsid w:val="00B26962"/>
    <w:rsid w:val="00B26963"/>
    <w:rsid w:val="00B26CE1"/>
    <w:rsid w:val="00B26D04"/>
    <w:rsid w:val="00B26E09"/>
    <w:rsid w:val="00B26F7C"/>
    <w:rsid w:val="00B26FDF"/>
    <w:rsid w:val="00B26FFB"/>
    <w:rsid w:val="00B27206"/>
    <w:rsid w:val="00B27270"/>
    <w:rsid w:val="00B2750F"/>
    <w:rsid w:val="00B27727"/>
    <w:rsid w:val="00B2772C"/>
    <w:rsid w:val="00B27851"/>
    <w:rsid w:val="00B2792E"/>
    <w:rsid w:val="00B2799D"/>
    <w:rsid w:val="00B279F0"/>
    <w:rsid w:val="00B27A99"/>
    <w:rsid w:val="00B27A9F"/>
    <w:rsid w:val="00B27AAE"/>
    <w:rsid w:val="00B27AB6"/>
    <w:rsid w:val="00B27B23"/>
    <w:rsid w:val="00B27BE8"/>
    <w:rsid w:val="00B27C69"/>
    <w:rsid w:val="00B27C79"/>
    <w:rsid w:val="00B27D8F"/>
    <w:rsid w:val="00B300B4"/>
    <w:rsid w:val="00B300FD"/>
    <w:rsid w:val="00B30105"/>
    <w:rsid w:val="00B301FF"/>
    <w:rsid w:val="00B302BD"/>
    <w:rsid w:val="00B30526"/>
    <w:rsid w:val="00B30528"/>
    <w:rsid w:val="00B3054B"/>
    <w:rsid w:val="00B307DB"/>
    <w:rsid w:val="00B307FE"/>
    <w:rsid w:val="00B308CE"/>
    <w:rsid w:val="00B30AF2"/>
    <w:rsid w:val="00B30F06"/>
    <w:rsid w:val="00B31012"/>
    <w:rsid w:val="00B311B2"/>
    <w:rsid w:val="00B31326"/>
    <w:rsid w:val="00B31680"/>
    <w:rsid w:val="00B316DA"/>
    <w:rsid w:val="00B3188A"/>
    <w:rsid w:val="00B31B40"/>
    <w:rsid w:val="00B31C4F"/>
    <w:rsid w:val="00B31D11"/>
    <w:rsid w:val="00B31EEE"/>
    <w:rsid w:val="00B31FBE"/>
    <w:rsid w:val="00B320DE"/>
    <w:rsid w:val="00B321A4"/>
    <w:rsid w:val="00B322D9"/>
    <w:rsid w:val="00B32757"/>
    <w:rsid w:val="00B3281A"/>
    <w:rsid w:val="00B328B0"/>
    <w:rsid w:val="00B32C47"/>
    <w:rsid w:val="00B32F96"/>
    <w:rsid w:val="00B33004"/>
    <w:rsid w:val="00B33022"/>
    <w:rsid w:val="00B33043"/>
    <w:rsid w:val="00B33077"/>
    <w:rsid w:val="00B331FC"/>
    <w:rsid w:val="00B332B0"/>
    <w:rsid w:val="00B332EA"/>
    <w:rsid w:val="00B33379"/>
    <w:rsid w:val="00B334F8"/>
    <w:rsid w:val="00B335C4"/>
    <w:rsid w:val="00B336D6"/>
    <w:rsid w:val="00B33733"/>
    <w:rsid w:val="00B3379C"/>
    <w:rsid w:val="00B337FC"/>
    <w:rsid w:val="00B3387F"/>
    <w:rsid w:val="00B33971"/>
    <w:rsid w:val="00B3398B"/>
    <w:rsid w:val="00B339A9"/>
    <w:rsid w:val="00B339ED"/>
    <w:rsid w:val="00B33CEF"/>
    <w:rsid w:val="00B33D8F"/>
    <w:rsid w:val="00B33E4E"/>
    <w:rsid w:val="00B34137"/>
    <w:rsid w:val="00B342DA"/>
    <w:rsid w:val="00B344E0"/>
    <w:rsid w:val="00B34570"/>
    <w:rsid w:val="00B3457E"/>
    <w:rsid w:val="00B345A4"/>
    <w:rsid w:val="00B345D1"/>
    <w:rsid w:val="00B34A1A"/>
    <w:rsid w:val="00B34A3A"/>
    <w:rsid w:val="00B34AA8"/>
    <w:rsid w:val="00B34B07"/>
    <w:rsid w:val="00B34B4A"/>
    <w:rsid w:val="00B34B6F"/>
    <w:rsid w:val="00B34B70"/>
    <w:rsid w:val="00B34BD2"/>
    <w:rsid w:val="00B34C10"/>
    <w:rsid w:val="00B34C1C"/>
    <w:rsid w:val="00B34D1B"/>
    <w:rsid w:val="00B34D52"/>
    <w:rsid w:val="00B34E12"/>
    <w:rsid w:val="00B34F3F"/>
    <w:rsid w:val="00B351CA"/>
    <w:rsid w:val="00B3546E"/>
    <w:rsid w:val="00B3560F"/>
    <w:rsid w:val="00B357CA"/>
    <w:rsid w:val="00B357DD"/>
    <w:rsid w:val="00B358E3"/>
    <w:rsid w:val="00B3591B"/>
    <w:rsid w:val="00B3592C"/>
    <w:rsid w:val="00B35941"/>
    <w:rsid w:val="00B35945"/>
    <w:rsid w:val="00B359EE"/>
    <w:rsid w:val="00B35C59"/>
    <w:rsid w:val="00B35D36"/>
    <w:rsid w:val="00B35ED0"/>
    <w:rsid w:val="00B36339"/>
    <w:rsid w:val="00B363E6"/>
    <w:rsid w:val="00B36544"/>
    <w:rsid w:val="00B365CE"/>
    <w:rsid w:val="00B365FE"/>
    <w:rsid w:val="00B36826"/>
    <w:rsid w:val="00B3684C"/>
    <w:rsid w:val="00B36975"/>
    <w:rsid w:val="00B369EC"/>
    <w:rsid w:val="00B36A1A"/>
    <w:rsid w:val="00B36A87"/>
    <w:rsid w:val="00B36A92"/>
    <w:rsid w:val="00B36B2C"/>
    <w:rsid w:val="00B36D26"/>
    <w:rsid w:val="00B36DCE"/>
    <w:rsid w:val="00B36E08"/>
    <w:rsid w:val="00B36F08"/>
    <w:rsid w:val="00B36F36"/>
    <w:rsid w:val="00B3703E"/>
    <w:rsid w:val="00B370E7"/>
    <w:rsid w:val="00B37132"/>
    <w:rsid w:val="00B373BD"/>
    <w:rsid w:val="00B37480"/>
    <w:rsid w:val="00B375D0"/>
    <w:rsid w:val="00B37637"/>
    <w:rsid w:val="00B37689"/>
    <w:rsid w:val="00B378B9"/>
    <w:rsid w:val="00B378E4"/>
    <w:rsid w:val="00B37ACB"/>
    <w:rsid w:val="00B37B42"/>
    <w:rsid w:val="00B37D76"/>
    <w:rsid w:val="00B37E19"/>
    <w:rsid w:val="00B37E82"/>
    <w:rsid w:val="00B37F73"/>
    <w:rsid w:val="00B40014"/>
    <w:rsid w:val="00B40064"/>
    <w:rsid w:val="00B4014E"/>
    <w:rsid w:val="00B40281"/>
    <w:rsid w:val="00B40617"/>
    <w:rsid w:val="00B407F9"/>
    <w:rsid w:val="00B40813"/>
    <w:rsid w:val="00B40CC2"/>
    <w:rsid w:val="00B40D1B"/>
    <w:rsid w:val="00B40D3F"/>
    <w:rsid w:val="00B40D97"/>
    <w:rsid w:val="00B40DCB"/>
    <w:rsid w:val="00B40E25"/>
    <w:rsid w:val="00B40E47"/>
    <w:rsid w:val="00B4108C"/>
    <w:rsid w:val="00B4109C"/>
    <w:rsid w:val="00B41130"/>
    <w:rsid w:val="00B4124B"/>
    <w:rsid w:val="00B4140B"/>
    <w:rsid w:val="00B414C8"/>
    <w:rsid w:val="00B416E9"/>
    <w:rsid w:val="00B41703"/>
    <w:rsid w:val="00B4175E"/>
    <w:rsid w:val="00B417A3"/>
    <w:rsid w:val="00B418DA"/>
    <w:rsid w:val="00B419AE"/>
    <w:rsid w:val="00B41AD3"/>
    <w:rsid w:val="00B41B0A"/>
    <w:rsid w:val="00B41B9B"/>
    <w:rsid w:val="00B41D0A"/>
    <w:rsid w:val="00B41E37"/>
    <w:rsid w:val="00B41F5E"/>
    <w:rsid w:val="00B42170"/>
    <w:rsid w:val="00B42222"/>
    <w:rsid w:val="00B42275"/>
    <w:rsid w:val="00B42386"/>
    <w:rsid w:val="00B424E9"/>
    <w:rsid w:val="00B426CB"/>
    <w:rsid w:val="00B42743"/>
    <w:rsid w:val="00B42755"/>
    <w:rsid w:val="00B42995"/>
    <w:rsid w:val="00B42AA4"/>
    <w:rsid w:val="00B42AD1"/>
    <w:rsid w:val="00B42B1D"/>
    <w:rsid w:val="00B42C11"/>
    <w:rsid w:val="00B42C8F"/>
    <w:rsid w:val="00B42D15"/>
    <w:rsid w:val="00B42F16"/>
    <w:rsid w:val="00B433C1"/>
    <w:rsid w:val="00B43461"/>
    <w:rsid w:val="00B435D9"/>
    <w:rsid w:val="00B43683"/>
    <w:rsid w:val="00B4368D"/>
    <w:rsid w:val="00B43777"/>
    <w:rsid w:val="00B4386B"/>
    <w:rsid w:val="00B4399D"/>
    <w:rsid w:val="00B43D09"/>
    <w:rsid w:val="00B43F2E"/>
    <w:rsid w:val="00B43FF3"/>
    <w:rsid w:val="00B442B9"/>
    <w:rsid w:val="00B44344"/>
    <w:rsid w:val="00B443C6"/>
    <w:rsid w:val="00B4447A"/>
    <w:rsid w:val="00B444AE"/>
    <w:rsid w:val="00B445B4"/>
    <w:rsid w:val="00B4497D"/>
    <w:rsid w:val="00B449AD"/>
    <w:rsid w:val="00B44CA5"/>
    <w:rsid w:val="00B44CCD"/>
    <w:rsid w:val="00B44D7B"/>
    <w:rsid w:val="00B44E6E"/>
    <w:rsid w:val="00B451D1"/>
    <w:rsid w:val="00B4534C"/>
    <w:rsid w:val="00B453EB"/>
    <w:rsid w:val="00B45687"/>
    <w:rsid w:val="00B4575B"/>
    <w:rsid w:val="00B457E1"/>
    <w:rsid w:val="00B458B3"/>
    <w:rsid w:val="00B459C0"/>
    <w:rsid w:val="00B45A40"/>
    <w:rsid w:val="00B45B67"/>
    <w:rsid w:val="00B45B9F"/>
    <w:rsid w:val="00B45D59"/>
    <w:rsid w:val="00B45E75"/>
    <w:rsid w:val="00B45E9B"/>
    <w:rsid w:val="00B46303"/>
    <w:rsid w:val="00B4630E"/>
    <w:rsid w:val="00B46388"/>
    <w:rsid w:val="00B4638F"/>
    <w:rsid w:val="00B465C1"/>
    <w:rsid w:val="00B465F0"/>
    <w:rsid w:val="00B4686B"/>
    <w:rsid w:val="00B468CC"/>
    <w:rsid w:val="00B46901"/>
    <w:rsid w:val="00B46C0F"/>
    <w:rsid w:val="00B46E0B"/>
    <w:rsid w:val="00B46E7A"/>
    <w:rsid w:val="00B46E81"/>
    <w:rsid w:val="00B47260"/>
    <w:rsid w:val="00B472AB"/>
    <w:rsid w:val="00B472DF"/>
    <w:rsid w:val="00B473CB"/>
    <w:rsid w:val="00B476B5"/>
    <w:rsid w:val="00B47857"/>
    <w:rsid w:val="00B4793B"/>
    <w:rsid w:val="00B47C4F"/>
    <w:rsid w:val="00B47F58"/>
    <w:rsid w:val="00B47FA3"/>
    <w:rsid w:val="00B4E815"/>
    <w:rsid w:val="00B50214"/>
    <w:rsid w:val="00B5024F"/>
    <w:rsid w:val="00B502E3"/>
    <w:rsid w:val="00B503C5"/>
    <w:rsid w:val="00B50404"/>
    <w:rsid w:val="00B504EF"/>
    <w:rsid w:val="00B50580"/>
    <w:rsid w:val="00B50605"/>
    <w:rsid w:val="00B5069E"/>
    <w:rsid w:val="00B50753"/>
    <w:rsid w:val="00B5076C"/>
    <w:rsid w:val="00B50775"/>
    <w:rsid w:val="00B508E8"/>
    <w:rsid w:val="00B50A24"/>
    <w:rsid w:val="00B50A56"/>
    <w:rsid w:val="00B50A7C"/>
    <w:rsid w:val="00B50A87"/>
    <w:rsid w:val="00B50AF3"/>
    <w:rsid w:val="00B50B1A"/>
    <w:rsid w:val="00B50C04"/>
    <w:rsid w:val="00B50EA1"/>
    <w:rsid w:val="00B50EC1"/>
    <w:rsid w:val="00B50F81"/>
    <w:rsid w:val="00B51171"/>
    <w:rsid w:val="00B51268"/>
    <w:rsid w:val="00B5146E"/>
    <w:rsid w:val="00B514D9"/>
    <w:rsid w:val="00B516D3"/>
    <w:rsid w:val="00B519E5"/>
    <w:rsid w:val="00B51A6F"/>
    <w:rsid w:val="00B51B34"/>
    <w:rsid w:val="00B51C4B"/>
    <w:rsid w:val="00B51FDE"/>
    <w:rsid w:val="00B52136"/>
    <w:rsid w:val="00B5227C"/>
    <w:rsid w:val="00B52408"/>
    <w:rsid w:val="00B52585"/>
    <w:rsid w:val="00B52632"/>
    <w:rsid w:val="00B5277D"/>
    <w:rsid w:val="00B527C9"/>
    <w:rsid w:val="00B527FA"/>
    <w:rsid w:val="00B52872"/>
    <w:rsid w:val="00B52886"/>
    <w:rsid w:val="00B528BA"/>
    <w:rsid w:val="00B52A07"/>
    <w:rsid w:val="00B52A5B"/>
    <w:rsid w:val="00B52ACB"/>
    <w:rsid w:val="00B52D30"/>
    <w:rsid w:val="00B52D3F"/>
    <w:rsid w:val="00B52DF6"/>
    <w:rsid w:val="00B52E1F"/>
    <w:rsid w:val="00B52EAA"/>
    <w:rsid w:val="00B5315A"/>
    <w:rsid w:val="00B53276"/>
    <w:rsid w:val="00B532E9"/>
    <w:rsid w:val="00B532F2"/>
    <w:rsid w:val="00B53328"/>
    <w:rsid w:val="00B534CE"/>
    <w:rsid w:val="00B534D0"/>
    <w:rsid w:val="00B53957"/>
    <w:rsid w:val="00B53A0D"/>
    <w:rsid w:val="00B53BAE"/>
    <w:rsid w:val="00B53BC6"/>
    <w:rsid w:val="00B53C49"/>
    <w:rsid w:val="00B54010"/>
    <w:rsid w:val="00B5412F"/>
    <w:rsid w:val="00B54230"/>
    <w:rsid w:val="00B54417"/>
    <w:rsid w:val="00B544DA"/>
    <w:rsid w:val="00B5457A"/>
    <w:rsid w:val="00B5477D"/>
    <w:rsid w:val="00B5479B"/>
    <w:rsid w:val="00B547AD"/>
    <w:rsid w:val="00B5480A"/>
    <w:rsid w:val="00B54842"/>
    <w:rsid w:val="00B54886"/>
    <w:rsid w:val="00B548EB"/>
    <w:rsid w:val="00B549F0"/>
    <w:rsid w:val="00B54B17"/>
    <w:rsid w:val="00B54B1C"/>
    <w:rsid w:val="00B54BB9"/>
    <w:rsid w:val="00B54D6F"/>
    <w:rsid w:val="00B54E9E"/>
    <w:rsid w:val="00B54EF4"/>
    <w:rsid w:val="00B5511A"/>
    <w:rsid w:val="00B551A1"/>
    <w:rsid w:val="00B552DA"/>
    <w:rsid w:val="00B553E8"/>
    <w:rsid w:val="00B556F4"/>
    <w:rsid w:val="00B55822"/>
    <w:rsid w:val="00B55B2B"/>
    <w:rsid w:val="00B55D98"/>
    <w:rsid w:val="00B55E52"/>
    <w:rsid w:val="00B55F0A"/>
    <w:rsid w:val="00B55F58"/>
    <w:rsid w:val="00B5619C"/>
    <w:rsid w:val="00B563A2"/>
    <w:rsid w:val="00B564A0"/>
    <w:rsid w:val="00B566C3"/>
    <w:rsid w:val="00B56715"/>
    <w:rsid w:val="00B569B1"/>
    <w:rsid w:val="00B56A47"/>
    <w:rsid w:val="00B56AE3"/>
    <w:rsid w:val="00B56D3E"/>
    <w:rsid w:val="00B56DD0"/>
    <w:rsid w:val="00B56E8A"/>
    <w:rsid w:val="00B5712D"/>
    <w:rsid w:val="00B572DB"/>
    <w:rsid w:val="00B57455"/>
    <w:rsid w:val="00B576A2"/>
    <w:rsid w:val="00B57851"/>
    <w:rsid w:val="00B57892"/>
    <w:rsid w:val="00B57993"/>
    <w:rsid w:val="00B57A13"/>
    <w:rsid w:val="00B57AA9"/>
    <w:rsid w:val="00B57C15"/>
    <w:rsid w:val="00B57C87"/>
    <w:rsid w:val="00B57D5F"/>
    <w:rsid w:val="00B57D66"/>
    <w:rsid w:val="00B57EE3"/>
    <w:rsid w:val="00B60081"/>
    <w:rsid w:val="00B600FC"/>
    <w:rsid w:val="00B6010A"/>
    <w:rsid w:val="00B60140"/>
    <w:rsid w:val="00B60186"/>
    <w:rsid w:val="00B60216"/>
    <w:rsid w:val="00B602CF"/>
    <w:rsid w:val="00B60444"/>
    <w:rsid w:val="00B6044A"/>
    <w:rsid w:val="00B608B5"/>
    <w:rsid w:val="00B608F1"/>
    <w:rsid w:val="00B609D3"/>
    <w:rsid w:val="00B60A81"/>
    <w:rsid w:val="00B60B3F"/>
    <w:rsid w:val="00B60B65"/>
    <w:rsid w:val="00B60BEC"/>
    <w:rsid w:val="00B60D4D"/>
    <w:rsid w:val="00B60F1E"/>
    <w:rsid w:val="00B6103B"/>
    <w:rsid w:val="00B61096"/>
    <w:rsid w:val="00B61146"/>
    <w:rsid w:val="00B61277"/>
    <w:rsid w:val="00B61395"/>
    <w:rsid w:val="00B61542"/>
    <w:rsid w:val="00B61886"/>
    <w:rsid w:val="00B61AB2"/>
    <w:rsid w:val="00B61D2D"/>
    <w:rsid w:val="00B61D5F"/>
    <w:rsid w:val="00B61D8B"/>
    <w:rsid w:val="00B61F5E"/>
    <w:rsid w:val="00B61FB9"/>
    <w:rsid w:val="00B6208F"/>
    <w:rsid w:val="00B622C0"/>
    <w:rsid w:val="00B62352"/>
    <w:rsid w:val="00B6246E"/>
    <w:rsid w:val="00B62A0C"/>
    <w:rsid w:val="00B62A38"/>
    <w:rsid w:val="00B62C6A"/>
    <w:rsid w:val="00B62D0A"/>
    <w:rsid w:val="00B63029"/>
    <w:rsid w:val="00B63051"/>
    <w:rsid w:val="00B6320B"/>
    <w:rsid w:val="00B63454"/>
    <w:rsid w:val="00B6350B"/>
    <w:rsid w:val="00B63521"/>
    <w:rsid w:val="00B6355B"/>
    <w:rsid w:val="00B63C39"/>
    <w:rsid w:val="00B63F77"/>
    <w:rsid w:val="00B6424A"/>
    <w:rsid w:val="00B64266"/>
    <w:rsid w:val="00B642FD"/>
    <w:rsid w:val="00B646E5"/>
    <w:rsid w:val="00B64722"/>
    <w:rsid w:val="00B647D0"/>
    <w:rsid w:val="00B647F5"/>
    <w:rsid w:val="00B648C4"/>
    <w:rsid w:val="00B649C0"/>
    <w:rsid w:val="00B64AA1"/>
    <w:rsid w:val="00B64C8B"/>
    <w:rsid w:val="00B64CFE"/>
    <w:rsid w:val="00B65399"/>
    <w:rsid w:val="00B657C4"/>
    <w:rsid w:val="00B657D4"/>
    <w:rsid w:val="00B65990"/>
    <w:rsid w:val="00B65A32"/>
    <w:rsid w:val="00B65B3D"/>
    <w:rsid w:val="00B65BC0"/>
    <w:rsid w:val="00B65D93"/>
    <w:rsid w:val="00B65E1A"/>
    <w:rsid w:val="00B65FBC"/>
    <w:rsid w:val="00B66037"/>
    <w:rsid w:val="00B664DC"/>
    <w:rsid w:val="00B6669F"/>
    <w:rsid w:val="00B666D4"/>
    <w:rsid w:val="00B667C7"/>
    <w:rsid w:val="00B66822"/>
    <w:rsid w:val="00B66A33"/>
    <w:rsid w:val="00B66DF4"/>
    <w:rsid w:val="00B66E7E"/>
    <w:rsid w:val="00B66EDF"/>
    <w:rsid w:val="00B66F27"/>
    <w:rsid w:val="00B66F4D"/>
    <w:rsid w:val="00B67031"/>
    <w:rsid w:val="00B67052"/>
    <w:rsid w:val="00B671D3"/>
    <w:rsid w:val="00B6733A"/>
    <w:rsid w:val="00B6759B"/>
    <w:rsid w:val="00B6761E"/>
    <w:rsid w:val="00B6774D"/>
    <w:rsid w:val="00B677B5"/>
    <w:rsid w:val="00B678DE"/>
    <w:rsid w:val="00B67977"/>
    <w:rsid w:val="00B679AF"/>
    <w:rsid w:val="00B67CDE"/>
    <w:rsid w:val="00B67D8D"/>
    <w:rsid w:val="00B67E1A"/>
    <w:rsid w:val="00B67FB5"/>
    <w:rsid w:val="00B70023"/>
    <w:rsid w:val="00B70077"/>
    <w:rsid w:val="00B700BE"/>
    <w:rsid w:val="00B702B2"/>
    <w:rsid w:val="00B704B2"/>
    <w:rsid w:val="00B704C5"/>
    <w:rsid w:val="00B70586"/>
    <w:rsid w:val="00B70774"/>
    <w:rsid w:val="00B70B0C"/>
    <w:rsid w:val="00B70B5F"/>
    <w:rsid w:val="00B70BB3"/>
    <w:rsid w:val="00B70CA0"/>
    <w:rsid w:val="00B70D87"/>
    <w:rsid w:val="00B70DB3"/>
    <w:rsid w:val="00B70E36"/>
    <w:rsid w:val="00B710D1"/>
    <w:rsid w:val="00B71149"/>
    <w:rsid w:val="00B71302"/>
    <w:rsid w:val="00B713A3"/>
    <w:rsid w:val="00B71420"/>
    <w:rsid w:val="00B71586"/>
    <w:rsid w:val="00B71662"/>
    <w:rsid w:val="00B71790"/>
    <w:rsid w:val="00B717CB"/>
    <w:rsid w:val="00B718B7"/>
    <w:rsid w:val="00B718ED"/>
    <w:rsid w:val="00B719A3"/>
    <w:rsid w:val="00B719AD"/>
    <w:rsid w:val="00B71B6E"/>
    <w:rsid w:val="00B71BE7"/>
    <w:rsid w:val="00B71BE9"/>
    <w:rsid w:val="00B71C02"/>
    <w:rsid w:val="00B71E5A"/>
    <w:rsid w:val="00B72017"/>
    <w:rsid w:val="00B7208C"/>
    <w:rsid w:val="00B7210A"/>
    <w:rsid w:val="00B72155"/>
    <w:rsid w:val="00B722E8"/>
    <w:rsid w:val="00B7252A"/>
    <w:rsid w:val="00B725BC"/>
    <w:rsid w:val="00B72649"/>
    <w:rsid w:val="00B72917"/>
    <w:rsid w:val="00B72982"/>
    <w:rsid w:val="00B72B2A"/>
    <w:rsid w:val="00B72C63"/>
    <w:rsid w:val="00B72CF8"/>
    <w:rsid w:val="00B72F66"/>
    <w:rsid w:val="00B72FF9"/>
    <w:rsid w:val="00B730F3"/>
    <w:rsid w:val="00B73197"/>
    <w:rsid w:val="00B731D0"/>
    <w:rsid w:val="00B731E3"/>
    <w:rsid w:val="00B7324E"/>
    <w:rsid w:val="00B732DE"/>
    <w:rsid w:val="00B73304"/>
    <w:rsid w:val="00B73491"/>
    <w:rsid w:val="00B736AF"/>
    <w:rsid w:val="00B7375F"/>
    <w:rsid w:val="00B73954"/>
    <w:rsid w:val="00B739DD"/>
    <w:rsid w:val="00B73E9B"/>
    <w:rsid w:val="00B73EF1"/>
    <w:rsid w:val="00B74013"/>
    <w:rsid w:val="00B74098"/>
    <w:rsid w:val="00B7411C"/>
    <w:rsid w:val="00B745CF"/>
    <w:rsid w:val="00B745E8"/>
    <w:rsid w:val="00B74753"/>
    <w:rsid w:val="00B74775"/>
    <w:rsid w:val="00B74815"/>
    <w:rsid w:val="00B74846"/>
    <w:rsid w:val="00B74849"/>
    <w:rsid w:val="00B748D4"/>
    <w:rsid w:val="00B74A55"/>
    <w:rsid w:val="00B74C0B"/>
    <w:rsid w:val="00B74DD3"/>
    <w:rsid w:val="00B74EC1"/>
    <w:rsid w:val="00B74EF8"/>
    <w:rsid w:val="00B74F51"/>
    <w:rsid w:val="00B74FB9"/>
    <w:rsid w:val="00B75064"/>
    <w:rsid w:val="00B7507C"/>
    <w:rsid w:val="00B751BF"/>
    <w:rsid w:val="00B753BC"/>
    <w:rsid w:val="00B754D7"/>
    <w:rsid w:val="00B756DB"/>
    <w:rsid w:val="00B7580D"/>
    <w:rsid w:val="00B75849"/>
    <w:rsid w:val="00B758F3"/>
    <w:rsid w:val="00B75927"/>
    <w:rsid w:val="00B759B5"/>
    <w:rsid w:val="00B75C04"/>
    <w:rsid w:val="00B75C6B"/>
    <w:rsid w:val="00B75C9F"/>
    <w:rsid w:val="00B75E56"/>
    <w:rsid w:val="00B75E73"/>
    <w:rsid w:val="00B7600B"/>
    <w:rsid w:val="00B760FA"/>
    <w:rsid w:val="00B761A0"/>
    <w:rsid w:val="00B76212"/>
    <w:rsid w:val="00B7622A"/>
    <w:rsid w:val="00B76303"/>
    <w:rsid w:val="00B7632C"/>
    <w:rsid w:val="00B763A7"/>
    <w:rsid w:val="00B76400"/>
    <w:rsid w:val="00B7643E"/>
    <w:rsid w:val="00B76470"/>
    <w:rsid w:val="00B76526"/>
    <w:rsid w:val="00B7659E"/>
    <w:rsid w:val="00B7670E"/>
    <w:rsid w:val="00B76747"/>
    <w:rsid w:val="00B76860"/>
    <w:rsid w:val="00B76A57"/>
    <w:rsid w:val="00B76A8A"/>
    <w:rsid w:val="00B76ACF"/>
    <w:rsid w:val="00B76D36"/>
    <w:rsid w:val="00B76D4C"/>
    <w:rsid w:val="00B76F39"/>
    <w:rsid w:val="00B76F76"/>
    <w:rsid w:val="00B77007"/>
    <w:rsid w:val="00B77329"/>
    <w:rsid w:val="00B77445"/>
    <w:rsid w:val="00B774BD"/>
    <w:rsid w:val="00B775D9"/>
    <w:rsid w:val="00B7793B"/>
    <w:rsid w:val="00B779AA"/>
    <w:rsid w:val="00B77D79"/>
    <w:rsid w:val="00B77D8D"/>
    <w:rsid w:val="00B800DA"/>
    <w:rsid w:val="00B80585"/>
    <w:rsid w:val="00B80625"/>
    <w:rsid w:val="00B8067F"/>
    <w:rsid w:val="00B809E5"/>
    <w:rsid w:val="00B80BC3"/>
    <w:rsid w:val="00B80CB1"/>
    <w:rsid w:val="00B80CE3"/>
    <w:rsid w:val="00B80E16"/>
    <w:rsid w:val="00B80E30"/>
    <w:rsid w:val="00B81031"/>
    <w:rsid w:val="00B81315"/>
    <w:rsid w:val="00B81362"/>
    <w:rsid w:val="00B8154A"/>
    <w:rsid w:val="00B81552"/>
    <w:rsid w:val="00B815F2"/>
    <w:rsid w:val="00B81897"/>
    <w:rsid w:val="00B8195E"/>
    <w:rsid w:val="00B819CA"/>
    <w:rsid w:val="00B819D2"/>
    <w:rsid w:val="00B819F5"/>
    <w:rsid w:val="00B81B14"/>
    <w:rsid w:val="00B81C2C"/>
    <w:rsid w:val="00B81D80"/>
    <w:rsid w:val="00B81FF3"/>
    <w:rsid w:val="00B820AE"/>
    <w:rsid w:val="00B820FE"/>
    <w:rsid w:val="00B821B5"/>
    <w:rsid w:val="00B8221D"/>
    <w:rsid w:val="00B8261D"/>
    <w:rsid w:val="00B826BE"/>
    <w:rsid w:val="00B826CB"/>
    <w:rsid w:val="00B82770"/>
    <w:rsid w:val="00B82BEC"/>
    <w:rsid w:val="00B82E9D"/>
    <w:rsid w:val="00B830E1"/>
    <w:rsid w:val="00B8316B"/>
    <w:rsid w:val="00B831F1"/>
    <w:rsid w:val="00B831FF"/>
    <w:rsid w:val="00B83237"/>
    <w:rsid w:val="00B83286"/>
    <w:rsid w:val="00B83308"/>
    <w:rsid w:val="00B83433"/>
    <w:rsid w:val="00B83457"/>
    <w:rsid w:val="00B8348C"/>
    <w:rsid w:val="00B83491"/>
    <w:rsid w:val="00B836A6"/>
    <w:rsid w:val="00B83709"/>
    <w:rsid w:val="00B8372C"/>
    <w:rsid w:val="00B8372F"/>
    <w:rsid w:val="00B83748"/>
    <w:rsid w:val="00B837B6"/>
    <w:rsid w:val="00B83B31"/>
    <w:rsid w:val="00B83C25"/>
    <w:rsid w:val="00B83C50"/>
    <w:rsid w:val="00B83D42"/>
    <w:rsid w:val="00B83F6C"/>
    <w:rsid w:val="00B84069"/>
    <w:rsid w:val="00B84258"/>
    <w:rsid w:val="00B84414"/>
    <w:rsid w:val="00B84488"/>
    <w:rsid w:val="00B845D7"/>
    <w:rsid w:val="00B8484A"/>
    <w:rsid w:val="00B848B0"/>
    <w:rsid w:val="00B84967"/>
    <w:rsid w:val="00B8496F"/>
    <w:rsid w:val="00B849A7"/>
    <w:rsid w:val="00B84BB5"/>
    <w:rsid w:val="00B84E80"/>
    <w:rsid w:val="00B84EA8"/>
    <w:rsid w:val="00B84F8D"/>
    <w:rsid w:val="00B84FBC"/>
    <w:rsid w:val="00B850A4"/>
    <w:rsid w:val="00B850C6"/>
    <w:rsid w:val="00B850D4"/>
    <w:rsid w:val="00B853CF"/>
    <w:rsid w:val="00B85530"/>
    <w:rsid w:val="00B855E0"/>
    <w:rsid w:val="00B857AF"/>
    <w:rsid w:val="00B857CC"/>
    <w:rsid w:val="00B85941"/>
    <w:rsid w:val="00B85A23"/>
    <w:rsid w:val="00B85B8A"/>
    <w:rsid w:val="00B85C6A"/>
    <w:rsid w:val="00B85C7B"/>
    <w:rsid w:val="00B85CEC"/>
    <w:rsid w:val="00B85D44"/>
    <w:rsid w:val="00B85F1D"/>
    <w:rsid w:val="00B85F70"/>
    <w:rsid w:val="00B860E3"/>
    <w:rsid w:val="00B86126"/>
    <w:rsid w:val="00B861F9"/>
    <w:rsid w:val="00B86263"/>
    <w:rsid w:val="00B86384"/>
    <w:rsid w:val="00B863E7"/>
    <w:rsid w:val="00B86560"/>
    <w:rsid w:val="00B86628"/>
    <w:rsid w:val="00B86703"/>
    <w:rsid w:val="00B86729"/>
    <w:rsid w:val="00B867C7"/>
    <w:rsid w:val="00B869C6"/>
    <w:rsid w:val="00B86AAD"/>
    <w:rsid w:val="00B86CF5"/>
    <w:rsid w:val="00B86D29"/>
    <w:rsid w:val="00B86D64"/>
    <w:rsid w:val="00B87078"/>
    <w:rsid w:val="00B87094"/>
    <w:rsid w:val="00B870BD"/>
    <w:rsid w:val="00B8717E"/>
    <w:rsid w:val="00B87180"/>
    <w:rsid w:val="00B8718B"/>
    <w:rsid w:val="00B87621"/>
    <w:rsid w:val="00B876D1"/>
    <w:rsid w:val="00B87739"/>
    <w:rsid w:val="00B879D1"/>
    <w:rsid w:val="00B87AA9"/>
    <w:rsid w:val="00B87BC0"/>
    <w:rsid w:val="00B87BD7"/>
    <w:rsid w:val="00B87C08"/>
    <w:rsid w:val="00B87C9C"/>
    <w:rsid w:val="00B87D05"/>
    <w:rsid w:val="00B90096"/>
    <w:rsid w:val="00B9043E"/>
    <w:rsid w:val="00B9046A"/>
    <w:rsid w:val="00B9047C"/>
    <w:rsid w:val="00B905A2"/>
    <w:rsid w:val="00B908A7"/>
    <w:rsid w:val="00B908BC"/>
    <w:rsid w:val="00B908F2"/>
    <w:rsid w:val="00B90900"/>
    <w:rsid w:val="00B9099D"/>
    <w:rsid w:val="00B90A6E"/>
    <w:rsid w:val="00B90C8E"/>
    <w:rsid w:val="00B90CD9"/>
    <w:rsid w:val="00B911A6"/>
    <w:rsid w:val="00B9130B"/>
    <w:rsid w:val="00B91326"/>
    <w:rsid w:val="00B9137E"/>
    <w:rsid w:val="00B9149A"/>
    <w:rsid w:val="00B914BC"/>
    <w:rsid w:val="00B91521"/>
    <w:rsid w:val="00B91605"/>
    <w:rsid w:val="00B91673"/>
    <w:rsid w:val="00B918BE"/>
    <w:rsid w:val="00B91A19"/>
    <w:rsid w:val="00B91B77"/>
    <w:rsid w:val="00B91D0C"/>
    <w:rsid w:val="00B91D39"/>
    <w:rsid w:val="00B91D65"/>
    <w:rsid w:val="00B91E92"/>
    <w:rsid w:val="00B91F30"/>
    <w:rsid w:val="00B91F91"/>
    <w:rsid w:val="00B92007"/>
    <w:rsid w:val="00B920AE"/>
    <w:rsid w:val="00B9213B"/>
    <w:rsid w:val="00B922C2"/>
    <w:rsid w:val="00B923C4"/>
    <w:rsid w:val="00B92488"/>
    <w:rsid w:val="00B9286C"/>
    <w:rsid w:val="00B928D7"/>
    <w:rsid w:val="00B92AEB"/>
    <w:rsid w:val="00B92B70"/>
    <w:rsid w:val="00B92C7B"/>
    <w:rsid w:val="00B92C97"/>
    <w:rsid w:val="00B92E5F"/>
    <w:rsid w:val="00B92E91"/>
    <w:rsid w:val="00B92EE1"/>
    <w:rsid w:val="00B92F8D"/>
    <w:rsid w:val="00B92FD5"/>
    <w:rsid w:val="00B93324"/>
    <w:rsid w:val="00B9355E"/>
    <w:rsid w:val="00B93654"/>
    <w:rsid w:val="00B93889"/>
    <w:rsid w:val="00B938F8"/>
    <w:rsid w:val="00B93A21"/>
    <w:rsid w:val="00B93A46"/>
    <w:rsid w:val="00B93B61"/>
    <w:rsid w:val="00B93D2B"/>
    <w:rsid w:val="00B93D7E"/>
    <w:rsid w:val="00B93DC6"/>
    <w:rsid w:val="00B93DE1"/>
    <w:rsid w:val="00B93E9D"/>
    <w:rsid w:val="00B93F35"/>
    <w:rsid w:val="00B93FFA"/>
    <w:rsid w:val="00B9432B"/>
    <w:rsid w:val="00B944DA"/>
    <w:rsid w:val="00B945D8"/>
    <w:rsid w:val="00B94616"/>
    <w:rsid w:val="00B9463B"/>
    <w:rsid w:val="00B947EC"/>
    <w:rsid w:val="00B9493A"/>
    <w:rsid w:val="00B94B9F"/>
    <w:rsid w:val="00B94C6F"/>
    <w:rsid w:val="00B95077"/>
    <w:rsid w:val="00B9511C"/>
    <w:rsid w:val="00B952C4"/>
    <w:rsid w:val="00B952DD"/>
    <w:rsid w:val="00B95351"/>
    <w:rsid w:val="00B953B1"/>
    <w:rsid w:val="00B95412"/>
    <w:rsid w:val="00B95494"/>
    <w:rsid w:val="00B95553"/>
    <w:rsid w:val="00B9556F"/>
    <w:rsid w:val="00B9561B"/>
    <w:rsid w:val="00B956BA"/>
    <w:rsid w:val="00B9588F"/>
    <w:rsid w:val="00B9589B"/>
    <w:rsid w:val="00B958BC"/>
    <w:rsid w:val="00B9596C"/>
    <w:rsid w:val="00B95CDC"/>
    <w:rsid w:val="00B95F29"/>
    <w:rsid w:val="00B96010"/>
    <w:rsid w:val="00B9631C"/>
    <w:rsid w:val="00B96365"/>
    <w:rsid w:val="00B96371"/>
    <w:rsid w:val="00B964CB"/>
    <w:rsid w:val="00B9684E"/>
    <w:rsid w:val="00B96900"/>
    <w:rsid w:val="00B9697E"/>
    <w:rsid w:val="00B96A7C"/>
    <w:rsid w:val="00B96CB3"/>
    <w:rsid w:val="00B96D0B"/>
    <w:rsid w:val="00B96D40"/>
    <w:rsid w:val="00B96D55"/>
    <w:rsid w:val="00B96F32"/>
    <w:rsid w:val="00B96FA8"/>
    <w:rsid w:val="00B96FCA"/>
    <w:rsid w:val="00B97059"/>
    <w:rsid w:val="00B97090"/>
    <w:rsid w:val="00B97448"/>
    <w:rsid w:val="00B97503"/>
    <w:rsid w:val="00B97505"/>
    <w:rsid w:val="00B976B6"/>
    <w:rsid w:val="00B97879"/>
    <w:rsid w:val="00B97915"/>
    <w:rsid w:val="00B97933"/>
    <w:rsid w:val="00B97A21"/>
    <w:rsid w:val="00B97A30"/>
    <w:rsid w:val="00B97B03"/>
    <w:rsid w:val="00B97D00"/>
    <w:rsid w:val="00B97D5C"/>
    <w:rsid w:val="00B97D74"/>
    <w:rsid w:val="00B97EC1"/>
    <w:rsid w:val="00B97F56"/>
    <w:rsid w:val="00B97F58"/>
    <w:rsid w:val="00B97F83"/>
    <w:rsid w:val="00BA0216"/>
    <w:rsid w:val="00BA02DE"/>
    <w:rsid w:val="00BA02EC"/>
    <w:rsid w:val="00BA0664"/>
    <w:rsid w:val="00BA07F3"/>
    <w:rsid w:val="00BA088D"/>
    <w:rsid w:val="00BA0E0E"/>
    <w:rsid w:val="00BA126C"/>
    <w:rsid w:val="00BA13BA"/>
    <w:rsid w:val="00BA160C"/>
    <w:rsid w:val="00BA1891"/>
    <w:rsid w:val="00BA191F"/>
    <w:rsid w:val="00BA1969"/>
    <w:rsid w:val="00BA1A03"/>
    <w:rsid w:val="00BA1A17"/>
    <w:rsid w:val="00BA1A24"/>
    <w:rsid w:val="00BA1B58"/>
    <w:rsid w:val="00BA1C85"/>
    <w:rsid w:val="00BA1C93"/>
    <w:rsid w:val="00BA1FA4"/>
    <w:rsid w:val="00BA1FF9"/>
    <w:rsid w:val="00BA24E1"/>
    <w:rsid w:val="00BA2533"/>
    <w:rsid w:val="00BA255D"/>
    <w:rsid w:val="00BA279C"/>
    <w:rsid w:val="00BA282F"/>
    <w:rsid w:val="00BA2993"/>
    <w:rsid w:val="00BA2AB1"/>
    <w:rsid w:val="00BA2B10"/>
    <w:rsid w:val="00BA2CC1"/>
    <w:rsid w:val="00BA2D55"/>
    <w:rsid w:val="00BA2E02"/>
    <w:rsid w:val="00BA31CC"/>
    <w:rsid w:val="00BA3355"/>
    <w:rsid w:val="00BA3377"/>
    <w:rsid w:val="00BA35BE"/>
    <w:rsid w:val="00BA380D"/>
    <w:rsid w:val="00BA3A82"/>
    <w:rsid w:val="00BA3C0E"/>
    <w:rsid w:val="00BA3C17"/>
    <w:rsid w:val="00BA3C3B"/>
    <w:rsid w:val="00BA3D5D"/>
    <w:rsid w:val="00BA3E92"/>
    <w:rsid w:val="00BA3F17"/>
    <w:rsid w:val="00BA3FE1"/>
    <w:rsid w:val="00BA4061"/>
    <w:rsid w:val="00BA4134"/>
    <w:rsid w:val="00BA41D1"/>
    <w:rsid w:val="00BA4239"/>
    <w:rsid w:val="00BA43C3"/>
    <w:rsid w:val="00BA44A8"/>
    <w:rsid w:val="00BA4508"/>
    <w:rsid w:val="00BA45E5"/>
    <w:rsid w:val="00BA46C9"/>
    <w:rsid w:val="00BA47B5"/>
    <w:rsid w:val="00BA4883"/>
    <w:rsid w:val="00BA48A6"/>
    <w:rsid w:val="00BA49BA"/>
    <w:rsid w:val="00BA4A6F"/>
    <w:rsid w:val="00BA4AE0"/>
    <w:rsid w:val="00BA4AE7"/>
    <w:rsid w:val="00BA4CC1"/>
    <w:rsid w:val="00BA4CF5"/>
    <w:rsid w:val="00BA4FF9"/>
    <w:rsid w:val="00BA5102"/>
    <w:rsid w:val="00BA510B"/>
    <w:rsid w:val="00BA516D"/>
    <w:rsid w:val="00BA51F4"/>
    <w:rsid w:val="00BA5489"/>
    <w:rsid w:val="00BA556D"/>
    <w:rsid w:val="00BA55B3"/>
    <w:rsid w:val="00BA573F"/>
    <w:rsid w:val="00BA57D6"/>
    <w:rsid w:val="00BA5850"/>
    <w:rsid w:val="00BA59E1"/>
    <w:rsid w:val="00BA5A05"/>
    <w:rsid w:val="00BA5DB0"/>
    <w:rsid w:val="00BA5E6B"/>
    <w:rsid w:val="00BA5EA7"/>
    <w:rsid w:val="00BA5F77"/>
    <w:rsid w:val="00BA5F8B"/>
    <w:rsid w:val="00BA6240"/>
    <w:rsid w:val="00BA647C"/>
    <w:rsid w:val="00BA676A"/>
    <w:rsid w:val="00BA67D0"/>
    <w:rsid w:val="00BA68FC"/>
    <w:rsid w:val="00BA6A85"/>
    <w:rsid w:val="00BA6D8E"/>
    <w:rsid w:val="00BA7162"/>
    <w:rsid w:val="00BA72FF"/>
    <w:rsid w:val="00BA7470"/>
    <w:rsid w:val="00BA7586"/>
    <w:rsid w:val="00BA77D4"/>
    <w:rsid w:val="00BA794C"/>
    <w:rsid w:val="00BA799E"/>
    <w:rsid w:val="00BA7BBB"/>
    <w:rsid w:val="00BA7BCE"/>
    <w:rsid w:val="00BA7C9B"/>
    <w:rsid w:val="00BA7D19"/>
    <w:rsid w:val="00BB001B"/>
    <w:rsid w:val="00BB00AF"/>
    <w:rsid w:val="00BB0104"/>
    <w:rsid w:val="00BB0247"/>
    <w:rsid w:val="00BB02F2"/>
    <w:rsid w:val="00BB0336"/>
    <w:rsid w:val="00BB052D"/>
    <w:rsid w:val="00BB05B1"/>
    <w:rsid w:val="00BB07E8"/>
    <w:rsid w:val="00BB0A66"/>
    <w:rsid w:val="00BB0D86"/>
    <w:rsid w:val="00BB0E6D"/>
    <w:rsid w:val="00BB0FAD"/>
    <w:rsid w:val="00BB1221"/>
    <w:rsid w:val="00BB1348"/>
    <w:rsid w:val="00BB13EB"/>
    <w:rsid w:val="00BB1405"/>
    <w:rsid w:val="00BB15A9"/>
    <w:rsid w:val="00BB1689"/>
    <w:rsid w:val="00BB179F"/>
    <w:rsid w:val="00BB1861"/>
    <w:rsid w:val="00BB19FB"/>
    <w:rsid w:val="00BB1A0B"/>
    <w:rsid w:val="00BB1A95"/>
    <w:rsid w:val="00BB1CB1"/>
    <w:rsid w:val="00BB1CCD"/>
    <w:rsid w:val="00BB1FC1"/>
    <w:rsid w:val="00BB1FCF"/>
    <w:rsid w:val="00BB1FF1"/>
    <w:rsid w:val="00BB2036"/>
    <w:rsid w:val="00BB21C0"/>
    <w:rsid w:val="00BB2299"/>
    <w:rsid w:val="00BB23AC"/>
    <w:rsid w:val="00BB247F"/>
    <w:rsid w:val="00BB2657"/>
    <w:rsid w:val="00BB269B"/>
    <w:rsid w:val="00BB287D"/>
    <w:rsid w:val="00BB291E"/>
    <w:rsid w:val="00BB2AB7"/>
    <w:rsid w:val="00BB2AF9"/>
    <w:rsid w:val="00BB2BFF"/>
    <w:rsid w:val="00BB2CB2"/>
    <w:rsid w:val="00BB2D05"/>
    <w:rsid w:val="00BB2DC6"/>
    <w:rsid w:val="00BB2DCF"/>
    <w:rsid w:val="00BB2F9B"/>
    <w:rsid w:val="00BB305F"/>
    <w:rsid w:val="00BB309D"/>
    <w:rsid w:val="00BB318A"/>
    <w:rsid w:val="00BB3326"/>
    <w:rsid w:val="00BB3380"/>
    <w:rsid w:val="00BB3391"/>
    <w:rsid w:val="00BB36DF"/>
    <w:rsid w:val="00BB3742"/>
    <w:rsid w:val="00BB3910"/>
    <w:rsid w:val="00BB39AA"/>
    <w:rsid w:val="00BB3A31"/>
    <w:rsid w:val="00BB3AF7"/>
    <w:rsid w:val="00BB3C47"/>
    <w:rsid w:val="00BB3CD3"/>
    <w:rsid w:val="00BB3D0C"/>
    <w:rsid w:val="00BB3D56"/>
    <w:rsid w:val="00BB3DFE"/>
    <w:rsid w:val="00BB3EE3"/>
    <w:rsid w:val="00BB3FAF"/>
    <w:rsid w:val="00BB400F"/>
    <w:rsid w:val="00BB40DA"/>
    <w:rsid w:val="00BB4103"/>
    <w:rsid w:val="00BB4124"/>
    <w:rsid w:val="00BB41B2"/>
    <w:rsid w:val="00BB43ED"/>
    <w:rsid w:val="00BB443C"/>
    <w:rsid w:val="00BB4590"/>
    <w:rsid w:val="00BB45D0"/>
    <w:rsid w:val="00BB4757"/>
    <w:rsid w:val="00BB485F"/>
    <w:rsid w:val="00BB491A"/>
    <w:rsid w:val="00BB4920"/>
    <w:rsid w:val="00BB499B"/>
    <w:rsid w:val="00BB4A43"/>
    <w:rsid w:val="00BB4AAC"/>
    <w:rsid w:val="00BB4BB1"/>
    <w:rsid w:val="00BB4C03"/>
    <w:rsid w:val="00BB4E69"/>
    <w:rsid w:val="00BB4E78"/>
    <w:rsid w:val="00BB4EC1"/>
    <w:rsid w:val="00BB4F30"/>
    <w:rsid w:val="00BB4FAB"/>
    <w:rsid w:val="00BB51FD"/>
    <w:rsid w:val="00BB5286"/>
    <w:rsid w:val="00BB5326"/>
    <w:rsid w:val="00BB54B9"/>
    <w:rsid w:val="00BB56D7"/>
    <w:rsid w:val="00BB57E8"/>
    <w:rsid w:val="00BB595D"/>
    <w:rsid w:val="00BB5AC3"/>
    <w:rsid w:val="00BB5BB4"/>
    <w:rsid w:val="00BB5D21"/>
    <w:rsid w:val="00BB5DC2"/>
    <w:rsid w:val="00BB5E0F"/>
    <w:rsid w:val="00BB5E18"/>
    <w:rsid w:val="00BB5EC1"/>
    <w:rsid w:val="00BB5F3A"/>
    <w:rsid w:val="00BB5FBC"/>
    <w:rsid w:val="00BB606F"/>
    <w:rsid w:val="00BB60DB"/>
    <w:rsid w:val="00BB60F0"/>
    <w:rsid w:val="00BB6120"/>
    <w:rsid w:val="00BB63E5"/>
    <w:rsid w:val="00BB647F"/>
    <w:rsid w:val="00BB64B7"/>
    <w:rsid w:val="00BB67EF"/>
    <w:rsid w:val="00BB6812"/>
    <w:rsid w:val="00BB68BF"/>
    <w:rsid w:val="00BB68FA"/>
    <w:rsid w:val="00BB69A8"/>
    <w:rsid w:val="00BB6A4C"/>
    <w:rsid w:val="00BB6AB1"/>
    <w:rsid w:val="00BB6B68"/>
    <w:rsid w:val="00BB6BB0"/>
    <w:rsid w:val="00BB6BB9"/>
    <w:rsid w:val="00BB6D17"/>
    <w:rsid w:val="00BB6DAD"/>
    <w:rsid w:val="00BB6E35"/>
    <w:rsid w:val="00BB71C3"/>
    <w:rsid w:val="00BB7318"/>
    <w:rsid w:val="00BB733E"/>
    <w:rsid w:val="00BB734F"/>
    <w:rsid w:val="00BB74D5"/>
    <w:rsid w:val="00BB7525"/>
    <w:rsid w:val="00BB7528"/>
    <w:rsid w:val="00BB757E"/>
    <w:rsid w:val="00BB75F2"/>
    <w:rsid w:val="00BB769C"/>
    <w:rsid w:val="00BB7851"/>
    <w:rsid w:val="00BB78A7"/>
    <w:rsid w:val="00BB78CF"/>
    <w:rsid w:val="00BB78E4"/>
    <w:rsid w:val="00BB78ED"/>
    <w:rsid w:val="00BB78F0"/>
    <w:rsid w:val="00BB79BB"/>
    <w:rsid w:val="00BB7AC8"/>
    <w:rsid w:val="00BB7B4F"/>
    <w:rsid w:val="00BB7C30"/>
    <w:rsid w:val="00BB7D33"/>
    <w:rsid w:val="00BB7E5C"/>
    <w:rsid w:val="00BB7EA8"/>
    <w:rsid w:val="00BC0087"/>
    <w:rsid w:val="00BC031B"/>
    <w:rsid w:val="00BC0407"/>
    <w:rsid w:val="00BC057A"/>
    <w:rsid w:val="00BC05CA"/>
    <w:rsid w:val="00BC05DB"/>
    <w:rsid w:val="00BC05DF"/>
    <w:rsid w:val="00BC066F"/>
    <w:rsid w:val="00BC085C"/>
    <w:rsid w:val="00BC094C"/>
    <w:rsid w:val="00BC098D"/>
    <w:rsid w:val="00BC0995"/>
    <w:rsid w:val="00BC09C7"/>
    <w:rsid w:val="00BC09F8"/>
    <w:rsid w:val="00BC0B41"/>
    <w:rsid w:val="00BC0C1A"/>
    <w:rsid w:val="00BC0CE4"/>
    <w:rsid w:val="00BC0D43"/>
    <w:rsid w:val="00BC0E95"/>
    <w:rsid w:val="00BC0E9B"/>
    <w:rsid w:val="00BC0EED"/>
    <w:rsid w:val="00BC0F9D"/>
    <w:rsid w:val="00BC101B"/>
    <w:rsid w:val="00BC1063"/>
    <w:rsid w:val="00BC10DD"/>
    <w:rsid w:val="00BC13E2"/>
    <w:rsid w:val="00BC14C2"/>
    <w:rsid w:val="00BC14D0"/>
    <w:rsid w:val="00BC14FF"/>
    <w:rsid w:val="00BC151B"/>
    <w:rsid w:val="00BC1558"/>
    <w:rsid w:val="00BC15CE"/>
    <w:rsid w:val="00BC169C"/>
    <w:rsid w:val="00BC1751"/>
    <w:rsid w:val="00BC17D2"/>
    <w:rsid w:val="00BC18FA"/>
    <w:rsid w:val="00BC192D"/>
    <w:rsid w:val="00BC197F"/>
    <w:rsid w:val="00BC1A08"/>
    <w:rsid w:val="00BC1A54"/>
    <w:rsid w:val="00BC1A6F"/>
    <w:rsid w:val="00BC1C78"/>
    <w:rsid w:val="00BC1C7E"/>
    <w:rsid w:val="00BC1DAD"/>
    <w:rsid w:val="00BC1E1D"/>
    <w:rsid w:val="00BC2054"/>
    <w:rsid w:val="00BC2145"/>
    <w:rsid w:val="00BC21CD"/>
    <w:rsid w:val="00BC2223"/>
    <w:rsid w:val="00BC22A9"/>
    <w:rsid w:val="00BC22D5"/>
    <w:rsid w:val="00BC2419"/>
    <w:rsid w:val="00BC2468"/>
    <w:rsid w:val="00BC26F3"/>
    <w:rsid w:val="00BC2747"/>
    <w:rsid w:val="00BC28CB"/>
    <w:rsid w:val="00BC292D"/>
    <w:rsid w:val="00BC2C76"/>
    <w:rsid w:val="00BC2D73"/>
    <w:rsid w:val="00BC2DE2"/>
    <w:rsid w:val="00BC2EC3"/>
    <w:rsid w:val="00BC2EE1"/>
    <w:rsid w:val="00BC3203"/>
    <w:rsid w:val="00BC325C"/>
    <w:rsid w:val="00BC3462"/>
    <w:rsid w:val="00BC34E8"/>
    <w:rsid w:val="00BC36C1"/>
    <w:rsid w:val="00BC36CD"/>
    <w:rsid w:val="00BC36CF"/>
    <w:rsid w:val="00BC37DC"/>
    <w:rsid w:val="00BC37E4"/>
    <w:rsid w:val="00BC38E8"/>
    <w:rsid w:val="00BC3B9F"/>
    <w:rsid w:val="00BC3CED"/>
    <w:rsid w:val="00BC3D6E"/>
    <w:rsid w:val="00BC3DAE"/>
    <w:rsid w:val="00BC3F02"/>
    <w:rsid w:val="00BC3FF9"/>
    <w:rsid w:val="00BC4084"/>
    <w:rsid w:val="00BC444D"/>
    <w:rsid w:val="00BC450D"/>
    <w:rsid w:val="00BC455E"/>
    <w:rsid w:val="00BC4598"/>
    <w:rsid w:val="00BC4710"/>
    <w:rsid w:val="00BC4883"/>
    <w:rsid w:val="00BC4A87"/>
    <w:rsid w:val="00BC4B40"/>
    <w:rsid w:val="00BC4B8D"/>
    <w:rsid w:val="00BC4BB6"/>
    <w:rsid w:val="00BC4BDF"/>
    <w:rsid w:val="00BC4C69"/>
    <w:rsid w:val="00BC4C89"/>
    <w:rsid w:val="00BC4DBE"/>
    <w:rsid w:val="00BC4DC1"/>
    <w:rsid w:val="00BC4E0A"/>
    <w:rsid w:val="00BC4F03"/>
    <w:rsid w:val="00BC51B3"/>
    <w:rsid w:val="00BC5261"/>
    <w:rsid w:val="00BC5273"/>
    <w:rsid w:val="00BC5381"/>
    <w:rsid w:val="00BC545B"/>
    <w:rsid w:val="00BC558C"/>
    <w:rsid w:val="00BC55CC"/>
    <w:rsid w:val="00BC5633"/>
    <w:rsid w:val="00BC5776"/>
    <w:rsid w:val="00BC57F4"/>
    <w:rsid w:val="00BC58F0"/>
    <w:rsid w:val="00BC59B5"/>
    <w:rsid w:val="00BC5C63"/>
    <w:rsid w:val="00BC5D5C"/>
    <w:rsid w:val="00BC5EE4"/>
    <w:rsid w:val="00BC5F05"/>
    <w:rsid w:val="00BC6103"/>
    <w:rsid w:val="00BC6119"/>
    <w:rsid w:val="00BC6167"/>
    <w:rsid w:val="00BC63CC"/>
    <w:rsid w:val="00BC6478"/>
    <w:rsid w:val="00BC66DE"/>
    <w:rsid w:val="00BC674A"/>
    <w:rsid w:val="00BC6B9E"/>
    <w:rsid w:val="00BC6BD7"/>
    <w:rsid w:val="00BC70C0"/>
    <w:rsid w:val="00BC71D6"/>
    <w:rsid w:val="00BC72C0"/>
    <w:rsid w:val="00BC73CC"/>
    <w:rsid w:val="00BC74CE"/>
    <w:rsid w:val="00BC74E7"/>
    <w:rsid w:val="00BC7557"/>
    <w:rsid w:val="00BC7609"/>
    <w:rsid w:val="00BC766A"/>
    <w:rsid w:val="00BC76CE"/>
    <w:rsid w:val="00BC7775"/>
    <w:rsid w:val="00BC77BA"/>
    <w:rsid w:val="00BC7856"/>
    <w:rsid w:val="00BC78BA"/>
    <w:rsid w:val="00BC78BD"/>
    <w:rsid w:val="00BC7AD0"/>
    <w:rsid w:val="00BC7B2A"/>
    <w:rsid w:val="00BC7B89"/>
    <w:rsid w:val="00BC7BE0"/>
    <w:rsid w:val="00BC7D18"/>
    <w:rsid w:val="00BC7DDB"/>
    <w:rsid w:val="00BC7DE8"/>
    <w:rsid w:val="00BD0292"/>
    <w:rsid w:val="00BD0303"/>
    <w:rsid w:val="00BD04A6"/>
    <w:rsid w:val="00BD04A9"/>
    <w:rsid w:val="00BD05B9"/>
    <w:rsid w:val="00BD089E"/>
    <w:rsid w:val="00BD0AC5"/>
    <w:rsid w:val="00BD1002"/>
    <w:rsid w:val="00BD1347"/>
    <w:rsid w:val="00BD14B0"/>
    <w:rsid w:val="00BD14CD"/>
    <w:rsid w:val="00BD1580"/>
    <w:rsid w:val="00BD16B4"/>
    <w:rsid w:val="00BD178B"/>
    <w:rsid w:val="00BD179A"/>
    <w:rsid w:val="00BD1906"/>
    <w:rsid w:val="00BD196D"/>
    <w:rsid w:val="00BD1AA4"/>
    <w:rsid w:val="00BD1B60"/>
    <w:rsid w:val="00BD1C22"/>
    <w:rsid w:val="00BD1C31"/>
    <w:rsid w:val="00BD1C42"/>
    <w:rsid w:val="00BD1CA1"/>
    <w:rsid w:val="00BD2229"/>
    <w:rsid w:val="00BD227F"/>
    <w:rsid w:val="00BD23A0"/>
    <w:rsid w:val="00BD2427"/>
    <w:rsid w:val="00BD255E"/>
    <w:rsid w:val="00BD2888"/>
    <w:rsid w:val="00BD28D3"/>
    <w:rsid w:val="00BD28D9"/>
    <w:rsid w:val="00BD28EA"/>
    <w:rsid w:val="00BD2A47"/>
    <w:rsid w:val="00BD2B01"/>
    <w:rsid w:val="00BD2C58"/>
    <w:rsid w:val="00BD3312"/>
    <w:rsid w:val="00BD362D"/>
    <w:rsid w:val="00BD367C"/>
    <w:rsid w:val="00BD37C0"/>
    <w:rsid w:val="00BD38F6"/>
    <w:rsid w:val="00BD3C8D"/>
    <w:rsid w:val="00BD3E42"/>
    <w:rsid w:val="00BD3E93"/>
    <w:rsid w:val="00BD3EEA"/>
    <w:rsid w:val="00BD3FAF"/>
    <w:rsid w:val="00BD40B0"/>
    <w:rsid w:val="00BD4269"/>
    <w:rsid w:val="00BD452C"/>
    <w:rsid w:val="00BD4802"/>
    <w:rsid w:val="00BD483D"/>
    <w:rsid w:val="00BD48C9"/>
    <w:rsid w:val="00BD4B78"/>
    <w:rsid w:val="00BD4B81"/>
    <w:rsid w:val="00BD4C44"/>
    <w:rsid w:val="00BD4CC2"/>
    <w:rsid w:val="00BD4CF0"/>
    <w:rsid w:val="00BD4D40"/>
    <w:rsid w:val="00BD4D71"/>
    <w:rsid w:val="00BD4DC0"/>
    <w:rsid w:val="00BD4DEB"/>
    <w:rsid w:val="00BD4EF5"/>
    <w:rsid w:val="00BD4F0E"/>
    <w:rsid w:val="00BD501A"/>
    <w:rsid w:val="00BD511D"/>
    <w:rsid w:val="00BD51B5"/>
    <w:rsid w:val="00BD523B"/>
    <w:rsid w:val="00BD5268"/>
    <w:rsid w:val="00BD532B"/>
    <w:rsid w:val="00BD5451"/>
    <w:rsid w:val="00BD5747"/>
    <w:rsid w:val="00BD5749"/>
    <w:rsid w:val="00BD57A4"/>
    <w:rsid w:val="00BD593D"/>
    <w:rsid w:val="00BD594C"/>
    <w:rsid w:val="00BD59AE"/>
    <w:rsid w:val="00BD5B74"/>
    <w:rsid w:val="00BD5F18"/>
    <w:rsid w:val="00BD5F61"/>
    <w:rsid w:val="00BD6247"/>
    <w:rsid w:val="00BD62B3"/>
    <w:rsid w:val="00BD6527"/>
    <w:rsid w:val="00BD65EC"/>
    <w:rsid w:val="00BD6B29"/>
    <w:rsid w:val="00BD6C50"/>
    <w:rsid w:val="00BD6DE0"/>
    <w:rsid w:val="00BD6E40"/>
    <w:rsid w:val="00BD6EAB"/>
    <w:rsid w:val="00BD6EE8"/>
    <w:rsid w:val="00BD6EF7"/>
    <w:rsid w:val="00BD6F04"/>
    <w:rsid w:val="00BD7026"/>
    <w:rsid w:val="00BD7179"/>
    <w:rsid w:val="00BD71D4"/>
    <w:rsid w:val="00BD71FA"/>
    <w:rsid w:val="00BD73DE"/>
    <w:rsid w:val="00BD74A2"/>
    <w:rsid w:val="00BD751F"/>
    <w:rsid w:val="00BD75CD"/>
    <w:rsid w:val="00BD75FD"/>
    <w:rsid w:val="00BD7982"/>
    <w:rsid w:val="00BD7A86"/>
    <w:rsid w:val="00BD7B6D"/>
    <w:rsid w:val="00BD7D39"/>
    <w:rsid w:val="00BD7D4C"/>
    <w:rsid w:val="00BD7E68"/>
    <w:rsid w:val="00BE00E2"/>
    <w:rsid w:val="00BE025B"/>
    <w:rsid w:val="00BE028F"/>
    <w:rsid w:val="00BE037E"/>
    <w:rsid w:val="00BE047F"/>
    <w:rsid w:val="00BE04C5"/>
    <w:rsid w:val="00BE051E"/>
    <w:rsid w:val="00BE056C"/>
    <w:rsid w:val="00BE059D"/>
    <w:rsid w:val="00BE08CC"/>
    <w:rsid w:val="00BE0B36"/>
    <w:rsid w:val="00BE0B61"/>
    <w:rsid w:val="00BE0B77"/>
    <w:rsid w:val="00BE0F5D"/>
    <w:rsid w:val="00BE0F97"/>
    <w:rsid w:val="00BE11C9"/>
    <w:rsid w:val="00BE12D6"/>
    <w:rsid w:val="00BE136C"/>
    <w:rsid w:val="00BE16C7"/>
    <w:rsid w:val="00BE170F"/>
    <w:rsid w:val="00BE18A3"/>
    <w:rsid w:val="00BE18D9"/>
    <w:rsid w:val="00BE18FB"/>
    <w:rsid w:val="00BE19DA"/>
    <w:rsid w:val="00BE19E7"/>
    <w:rsid w:val="00BE1B39"/>
    <w:rsid w:val="00BE1B86"/>
    <w:rsid w:val="00BE1C18"/>
    <w:rsid w:val="00BE1DA8"/>
    <w:rsid w:val="00BE1E45"/>
    <w:rsid w:val="00BE1EE8"/>
    <w:rsid w:val="00BE1F54"/>
    <w:rsid w:val="00BE2084"/>
    <w:rsid w:val="00BE2191"/>
    <w:rsid w:val="00BE22C1"/>
    <w:rsid w:val="00BE25B2"/>
    <w:rsid w:val="00BE25B3"/>
    <w:rsid w:val="00BE267D"/>
    <w:rsid w:val="00BE297B"/>
    <w:rsid w:val="00BE29C5"/>
    <w:rsid w:val="00BE2AFE"/>
    <w:rsid w:val="00BE2B40"/>
    <w:rsid w:val="00BE2C01"/>
    <w:rsid w:val="00BE2C4A"/>
    <w:rsid w:val="00BE2CB1"/>
    <w:rsid w:val="00BE2EAF"/>
    <w:rsid w:val="00BE304A"/>
    <w:rsid w:val="00BE30A1"/>
    <w:rsid w:val="00BE33ED"/>
    <w:rsid w:val="00BE3492"/>
    <w:rsid w:val="00BE3641"/>
    <w:rsid w:val="00BE36FD"/>
    <w:rsid w:val="00BE37E1"/>
    <w:rsid w:val="00BE37FE"/>
    <w:rsid w:val="00BE3992"/>
    <w:rsid w:val="00BE39ED"/>
    <w:rsid w:val="00BE3A6A"/>
    <w:rsid w:val="00BE3CF4"/>
    <w:rsid w:val="00BE3D0F"/>
    <w:rsid w:val="00BE3D1D"/>
    <w:rsid w:val="00BE3D27"/>
    <w:rsid w:val="00BE3D4D"/>
    <w:rsid w:val="00BE3F26"/>
    <w:rsid w:val="00BE40A6"/>
    <w:rsid w:val="00BE42ED"/>
    <w:rsid w:val="00BE4660"/>
    <w:rsid w:val="00BE46D7"/>
    <w:rsid w:val="00BE476E"/>
    <w:rsid w:val="00BE478C"/>
    <w:rsid w:val="00BE47A9"/>
    <w:rsid w:val="00BE4815"/>
    <w:rsid w:val="00BE4B6B"/>
    <w:rsid w:val="00BE4B87"/>
    <w:rsid w:val="00BE4B94"/>
    <w:rsid w:val="00BE4C4F"/>
    <w:rsid w:val="00BE4D0C"/>
    <w:rsid w:val="00BE4D8A"/>
    <w:rsid w:val="00BE4EE1"/>
    <w:rsid w:val="00BE5123"/>
    <w:rsid w:val="00BE519A"/>
    <w:rsid w:val="00BE53D1"/>
    <w:rsid w:val="00BE541E"/>
    <w:rsid w:val="00BE549E"/>
    <w:rsid w:val="00BE54CD"/>
    <w:rsid w:val="00BE54E6"/>
    <w:rsid w:val="00BE55A4"/>
    <w:rsid w:val="00BE5636"/>
    <w:rsid w:val="00BE56EF"/>
    <w:rsid w:val="00BE572F"/>
    <w:rsid w:val="00BE5749"/>
    <w:rsid w:val="00BE57EF"/>
    <w:rsid w:val="00BE585D"/>
    <w:rsid w:val="00BE59C4"/>
    <w:rsid w:val="00BE5B37"/>
    <w:rsid w:val="00BE5B88"/>
    <w:rsid w:val="00BE5BF1"/>
    <w:rsid w:val="00BE5D5C"/>
    <w:rsid w:val="00BE5DE0"/>
    <w:rsid w:val="00BE5E1C"/>
    <w:rsid w:val="00BE5E21"/>
    <w:rsid w:val="00BE5EFC"/>
    <w:rsid w:val="00BE5FB1"/>
    <w:rsid w:val="00BE64C1"/>
    <w:rsid w:val="00BE6637"/>
    <w:rsid w:val="00BE6641"/>
    <w:rsid w:val="00BE6842"/>
    <w:rsid w:val="00BE6A28"/>
    <w:rsid w:val="00BE6AC5"/>
    <w:rsid w:val="00BE6ADE"/>
    <w:rsid w:val="00BE6B77"/>
    <w:rsid w:val="00BE6BB8"/>
    <w:rsid w:val="00BE6BD7"/>
    <w:rsid w:val="00BE6DA0"/>
    <w:rsid w:val="00BE6E97"/>
    <w:rsid w:val="00BE7149"/>
    <w:rsid w:val="00BE71AD"/>
    <w:rsid w:val="00BE7324"/>
    <w:rsid w:val="00BE73BB"/>
    <w:rsid w:val="00BE74A4"/>
    <w:rsid w:val="00BE769A"/>
    <w:rsid w:val="00BE7872"/>
    <w:rsid w:val="00BE7946"/>
    <w:rsid w:val="00BE7952"/>
    <w:rsid w:val="00BE7A15"/>
    <w:rsid w:val="00BE7AE6"/>
    <w:rsid w:val="00BE7BBD"/>
    <w:rsid w:val="00BE7C43"/>
    <w:rsid w:val="00BE7CB0"/>
    <w:rsid w:val="00BE7CBE"/>
    <w:rsid w:val="00BE7F46"/>
    <w:rsid w:val="00BE7F68"/>
    <w:rsid w:val="00BF007E"/>
    <w:rsid w:val="00BF00CA"/>
    <w:rsid w:val="00BF00E5"/>
    <w:rsid w:val="00BF00E7"/>
    <w:rsid w:val="00BF02BF"/>
    <w:rsid w:val="00BF04C9"/>
    <w:rsid w:val="00BF052C"/>
    <w:rsid w:val="00BF05D8"/>
    <w:rsid w:val="00BF061B"/>
    <w:rsid w:val="00BF0657"/>
    <w:rsid w:val="00BF066D"/>
    <w:rsid w:val="00BF080D"/>
    <w:rsid w:val="00BF097C"/>
    <w:rsid w:val="00BF09D0"/>
    <w:rsid w:val="00BF0A5B"/>
    <w:rsid w:val="00BF0A8C"/>
    <w:rsid w:val="00BF0BC9"/>
    <w:rsid w:val="00BF0BE6"/>
    <w:rsid w:val="00BF0BF6"/>
    <w:rsid w:val="00BF0C6D"/>
    <w:rsid w:val="00BF0D50"/>
    <w:rsid w:val="00BF0D9C"/>
    <w:rsid w:val="00BF0E0A"/>
    <w:rsid w:val="00BF0E7D"/>
    <w:rsid w:val="00BF0EA4"/>
    <w:rsid w:val="00BF1003"/>
    <w:rsid w:val="00BF106D"/>
    <w:rsid w:val="00BF1177"/>
    <w:rsid w:val="00BF13D5"/>
    <w:rsid w:val="00BF14EA"/>
    <w:rsid w:val="00BF15D2"/>
    <w:rsid w:val="00BF15DA"/>
    <w:rsid w:val="00BF17FA"/>
    <w:rsid w:val="00BF181D"/>
    <w:rsid w:val="00BF1899"/>
    <w:rsid w:val="00BF189E"/>
    <w:rsid w:val="00BF1A6A"/>
    <w:rsid w:val="00BF1AD2"/>
    <w:rsid w:val="00BF1B1A"/>
    <w:rsid w:val="00BF1B73"/>
    <w:rsid w:val="00BF1BC0"/>
    <w:rsid w:val="00BF1F8D"/>
    <w:rsid w:val="00BF1FE1"/>
    <w:rsid w:val="00BF200C"/>
    <w:rsid w:val="00BF237E"/>
    <w:rsid w:val="00BF2497"/>
    <w:rsid w:val="00BF24A9"/>
    <w:rsid w:val="00BF24C1"/>
    <w:rsid w:val="00BF261A"/>
    <w:rsid w:val="00BF267D"/>
    <w:rsid w:val="00BF268E"/>
    <w:rsid w:val="00BF26AC"/>
    <w:rsid w:val="00BF26B5"/>
    <w:rsid w:val="00BF279A"/>
    <w:rsid w:val="00BF27FC"/>
    <w:rsid w:val="00BF28EA"/>
    <w:rsid w:val="00BF292A"/>
    <w:rsid w:val="00BF2CB9"/>
    <w:rsid w:val="00BF2D49"/>
    <w:rsid w:val="00BF3015"/>
    <w:rsid w:val="00BF301B"/>
    <w:rsid w:val="00BF3355"/>
    <w:rsid w:val="00BF344B"/>
    <w:rsid w:val="00BF34D7"/>
    <w:rsid w:val="00BF3513"/>
    <w:rsid w:val="00BF36E0"/>
    <w:rsid w:val="00BF375A"/>
    <w:rsid w:val="00BF37F5"/>
    <w:rsid w:val="00BF387F"/>
    <w:rsid w:val="00BF3A1D"/>
    <w:rsid w:val="00BF3D25"/>
    <w:rsid w:val="00BF3D4B"/>
    <w:rsid w:val="00BF3E0B"/>
    <w:rsid w:val="00BF3EC5"/>
    <w:rsid w:val="00BF3F35"/>
    <w:rsid w:val="00BF3F9B"/>
    <w:rsid w:val="00BF414A"/>
    <w:rsid w:val="00BF443F"/>
    <w:rsid w:val="00BF44F6"/>
    <w:rsid w:val="00BF453B"/>
    <w:rsid w:val="00BF458A"/>
    <w:rsid w:val="00BF4715"/>
    <w:rsid w:val="00BF478B"/>
    <w:rsid w:val="00BF4848"/>
    <w:rsid w:val="00BF4A33"/>
    <w:rsid w:val="00BF4C52"/>
    <w:rsid w:val="00BF4C58"/>
    <w:rsid w:val="00BF4CEB"/>
    <w:rsid w:val="00BF4D11"/>
    <w:rsid w:val="00BF4D48"/>
    <w:rsid w:val="00BF4E4A"/>
    <w:rsid w:val="00BF4F53"/>
    <w:rsid w:val="00BF5177"/>
    <w:rsid w:val="00BF5394"/>
    <w:rsid w:val="00BF54A8"/>
    <w:rsid w:val="00BF5504"/>
    <w:rsid w:val="00BF560E"/>
    <w:rsid w:val="00BF56BC"/>
    <w:rsid w:val="00BF5707"/>
    <w:rsid w:val="00BF570B"/>
    <w:rsid w:val="00BF580E"/>
    <w:rsid w:val="00BF59A1"/>
    <w:rsid w:val="00BF5A41"/>
    <w:rsid w:val="00BF5DB9"/>
    <w:rsid w:val="00BF5E25"/>
    <w:rsid w:val="00BF5E7A"/>
    <w:rsid w:val="00BF5E80"/>
    <w:rsid w:val="00BF5EFD"/>
    <w:rsid w:val="00BF5F03"/>
    <w:rsid w:val="00BF605F"/>
    <w:rsid w:val="00BF60AE"/>
    <w:rsid w:val="00BF6284"/>
    <w:rsid w:val="00BF642C"/>
    <w:rsid w:val="00BF645A"/>
    <w:rsid w:val="00BF64A5"/>
    <w:rsid w:val="00BF664B"/>
    <w:rsid w:val="00BF667D"/>
    <w:rsid w:val="00BF684B"/>
    <w:rsid w:val="00BF68F9"/>
    <w:rsid w:val="00BF693A"/>
    <w:rsid w:val="00BF695A"/>
    <w:rsid w:val="00BF69CB"/>
    <w:rsid w:val="00BF6BF9"/>
    <w:rsid w:val="00BF6C3F"/>
    <w:rsid w:val="00BF6E7F"/>
    <w:rsid w:val="00BF6EBB"/>
    <w:rsid w:val="00BF6F3B"/>
    <w:rsid w:val="00BF6F4B"/>
    <w:rsid w:val="00BF7000"/>
    <w:rsid w:val="00BF7054"/>
    <w:rsid w:val="00BF710E"/>
    <w:rsid w:val="00BF7315"/>
    <w:rsid w:val="00BF7330"/>
    <w:rsid w:val="00BF7408"/>
    <w:rsid w:val="00BF7437"/>
    <w:rsid w:val="00BF743C"/>
    <w:rsid w:val="00BF75A2"/>
    <w:rsid w:val="00BF7883"/>
    <w:rsid w:val="00BF7B63"/>
    <w:rsid w:val="00BF7CAA"/>
    <w:rsid w:val="00BF7DE6"/>
    <w:rsid w:val="00BF7E3F"/>
    <w:rsid w:val="00BF7FE3"/>
    <w:rsid w:val="00C00024"/>
    <w:rsid w:val="00C0025A"/>
    <w:rsid w:val="00C00474"/>
    <w:rsid w:val="00C00510"/>
    <w:rsid w:val="00C008F0"/>
    <w:rsid w:val="00C00A1D"/>
    <w:rsid w:val="00C00B31"/>
    <w:rsid w:val="00C00BE2"/>
    <w:rsid w:val="00C00D26"/>
    <w:rsid w:val="00C00DBD"/>
    <w:rsid w:val="00C01014"/>
    <w:rsid w:val="00C01289"/>
    <w:rsid w:val="00C012B4"/>
    <w:rsid w:val="00C012F5"/>
    <w:rsid w:val="00C0133B"/>
    <w:rsid w:val="00C0139D"/>
    <w:rsid w:val="00C0146E"/>
    <w:rsid w:val="00C0147C"/>
    <w:rsid w:val="00C01528"/>
    <w:rsid w:val="00C015AF"/>
    <w:rsid w:val="00C015E5"/>
    <w:rsid w:val="00C01731"/>
    <w:rsid w:val="00C01A16"/>
    <w:rsid w:val="00C01BDE"/>
    <w:rsid w:val="00C01C63"/>
    <w:rsid w:val="00C01CFC"/>
    <w:rsid w:val="00C01DB5"/>
    <w:rsid w:val="00C01E27"/>
    <w:rsid w:val="00C01F25"/>
    <w:rsid w:val="00C01F6A"/>
    <w:rsid w:val="00C022ED"/>
    <w:rsid w:val="00C02516"/>
    <w:rsid w:val="00C0274D"/>
    <w:rsid w:val="00C02838"/>
    <w:rsid w:val="00C0285F"/>
    <w:rsid w:val="00C029AF"/>
    <w:rsid w:val="00C02A70"/>
    <w:rsid w:val="00C02B7D"/>
    <w:rsid w:val="00C02C33"/>
    <w:rsid w:val="00C02C98"/>
    <w:rsid w:val="00C02DA1"/>
    <w:rsid w:val="00C02F09"/>
    <w:rsid w:val="00C02F4F"/>
    <w:rsid w:val="00C03359"/>
    <w:rsid w:val="00C034BE"/>
    <w:rsid w:val="00C0351E"/>
    <w:rsid w:val="00C03553"/>
    <w:rsid w:val="00C03843"/>
    <w:rsid w:val="00C038A9"/>
    <w:rsid w:val="00C039A6"/>
    <w:rsid w:val="00C039F7"/>
    <w:rsid w:val="00C03AA0"/>
    <w:rsid w:val="00C03B41"/>
    <w:rsid w:val="00C03D0F"/>
    <w:rsid w:val="00C03DF3"/>
    <w:rsid w:val="00C03F58"/>
    <w:rsid w:val="00C03FD1"/>
    <w:rsid w:val="00C040A3"/>
    <w:rsid w:val="00C04124"/>
    <w:rsid w:val="00C042D5"/>
    <w:rsid w:val="00C044A8"/>
    <w:rsid w:val="00C045C2"/>
    <w:rsid w:val="00C046B1"/>
    <w:rsid w:val="00C04816"/>
    <w:rsid w:val="00C04965"/>
    <w:rsid w:val="00C04A8A"/>
    <w:rsid w:val="00C04AE1"/>
    <w:rsid w:val="00C04B22"/>
    <w:rsid w:val="00C04C2E"/>
    <w:rsid w:val="00C04E1C"/>
    <w:rsid w:val="00C04E90"/>
    <w:rsid w:val="00C04F8F"/>
    <w:rsid w:val="00C04FB7"/>
    <w:rsid w:val="00C04FBA"/>
    <w:rsid w:val="00C05096"/>
    <w:rsid w:val="00C0509F"/>
    <w:rsid w:val="00C051DD"/>
    <w:rsid w:val="00C053E2"/>
    <w:rsid w:val="00C0574A"/>
    <w:rsid w:val="00C058A1"/>
    <w:rsid w:val="00C05940"/>
    <w:rsid w:val="00C05C70"/>
    <w:rsid w:val="00C05F3E"/>
    <w:rsid w:val="00C06002"/>
    <w:rsid w:val="00C06010"/>
    <w:rsid w:val="00C06094"/>
    <w:rsid w:val="00C0634E"/>
    <w:rsid w:val="00C063D4"/>
    <w:rsid w:val="00C06474"/>
    <w:rsid w:val="00C065A2"/>
    <w:rsid w:val="00C0669A"/>
    <w:rsid w:val="00C0672D"/>
    <w:rsid w:val="00C0695D"/>
    <w:rsid w:val="00C06A65"/>
    <w:rsid w:val="00C06BAE"/>
    <w:rsid w:val="00C06C46"/>
    <w:rsid w:val="00C0709A"/>
    <w:rsid w:val="00C0716B"/>
    <w:rsid w:val="00C07179"/>
    <w:rsid w:val="00C071A0"/>
    <w:rsid w:val="00C073B6"/>
    <w:rsid w:val="00C07410"/>
    <w:rsid w:val="00C074C2"/>
    <w:rsid w:val="00C075FB"/>
    <w:rsid w:val="00C07780"/>
    <w:rsid w:val="00C07C5D"/>
    <w:rsid w:val="00C07F6F"/>
    <w:rsid w:val="00C07FAF"/>
    <w:rsid w:val="00C10303"/>
    <w:rsid w:val="00C10428"/>
    <w:rsid w:val="00C10442"/>
    <w:rsid w:val="00C10603"/>
    <w:rsid w:val="00C10695"/>
    <w:rsid w:val="00C1076C"/>
    <w:rsid w:val="00C107B5"/>
    <w:rsid w:val="00C1086F"/>
    <w:rsid w:val="00C10870"/>
    <w:rsid w:val="00C10A74"/>
    <w:rsid w:val="00C10CC5"/>
    <w:rsid w:val="00C10DE6"/>
    <w:rsid w:val="00C10E44"/>
    <w:rsid w:val="00C10E55"/>
    <w:rsid w:val="00C10E76"/>
    <w:rsid w:val="00C10F33"/>
    <w:rsid w:val="00C10F71"/>
    <w:rsid w:val="00C11060"/>
    <w:rsid w:val="00C110CF"/>
    <w:rsid w:val="00C11141"/>
    <w:rsid w:val="00C11232"/>
    <w:rsid w:val="00C11523"/>
    <w:rsid w:val="00C11729"/>
    <w:rsid w:val="00C11859"/>
    <w:rsid w:val="00C11894"/>
    <w:rsid w:val="00C118D5"/>
    <w:rsid w:val="00C11966"/>
    <w:rsid w:val="00C119D4"/>
    <w:rsid w:val="00C11C46"/>
    <w:rsid w:val="00C11CCF"/>
    <w:rsid w:val="00C11E74"/>
    <w:rsid w:val="00C12031"/>
    <w:rsid w:val="00C12078"/>
    <w:rsid w:val="00C12115"/>
    <w:rsid w:val="00C12301"/>
    <w:rsid w:val="00C12360"/>
    <w:rsid w:val="00C1238D"/>
    <w:rsid w:val="00C123B6"/>
    <w:rsid w:val="00C124A5"/>
    <w:rsid w:val="00C125FC"/>
    <w:rsid w:val="00C12756"/>
    <w:rsid w:val="00C128C4"/>
    <w:rsid w:val="00C12AFD"/>
    <w:rsid w:val="00C12C72"/>
    <w:rsid w:val="00C12D4E"/>
    <w:rsid w:val="00C12D72"/>
    <w:rsid w:val="00C12EDF"/>
    <w:rsid w:val="00C13068"/>
    <w:rsid w:val="00C131E9"/>
    <w:rsid w:val="00C1320F"/>
    <w:rsid w:val="00C132CC"/>
    <w:rsid w:val="00C135F9"/>
    <w:rsid w:val="00C1369B"/>
    <w:rsid w:val="00C1394D"/>
    <w:rsid w:val="00C139BF"/>
    <w:rsid w:val="00C13A0E"/>
    <w:rsid w:val="00C13A18"/>
    <w:rsid w:val="00C13A60"/>
    <w:rsid w:val="00C13B1B"/>
    <w:rsid w:val="00C13B89"/>
    <w:rsid w:val="00C13C53"/>
    <w:rsid w:val="00C13C88"/>
    <w:rsid w:val="00C13F35"/>
    <w:rsid w:val="00C1410B"/>
    <w:rsid w:val="00C1418C"/>
    <w:rsid w:val="00C141A9"/>
    <w:rsid w:val="00C14299"/>
    <w:rsid w:val="00C142AD"/>
    <w:rsid w:val="00C14372"/>
    <w:rsid w:val="00C14423"/>
    <w:rsid w:val="00C14450"/>
    <w:rsid w:val="00C144FD"/>
    <w:rsid w:val="00C146ED"/>
    <w:rsid w:val="00C146F9"/>
    <w:rsid w:val="00C14851"/>
    <w:rsid w:val="00C148A1"/>
    <w:rsid w:val="00C14997"/>
    <w:rsid w:val="00C1499B"/>
    <w:rsid w:val="00C14AFA"/>
    <w:rsid w:val="00C14B63"/>
    <w:rsid w:val="00C14C08"/>
    <w:rsid w:val="00C14D2E"/>
    <w:rsid w:val="00C14DB7"/>
    <w:rsid w:val="00C15189"/>
    <w:rsid w:val="00C152B9"/>
    <w:rsid w:val="00C15438"/>
    <w:rsid w:val="00C15490"/>
    <w:rsid w:val="00C15679"/>
    <w:rsid w:val="00C157E9"/>
    <w:rsid w:val="00C159EC"/>
    <w:rsid w:val="00C15D71"/>
    <w:rsid w:val="00C15FE0"/>
    <w:rsid w:val="00C1604C"/>
    <w:rsid w:val="00C1606E"/>
    <w:rsid w:val="00C1608D"/>
    <w:rsid w:val="00C160C2"/>
    <w:rsid w:val="00C1626A"/>
    <w:rsid w:val="00C1636E"/>
    <w:rsid w:val="00C16371"/>
    <w:rsid w:val="00C164F0"/>
    <w:rsid w:val="00C16506"/>
    <w:rsid w:val="00C1650F"/>
    <w:rsid w:val="00C1678E"/>
    <w:rsid w:val="00C167BE"/>
    <w:rsid w:val="00C167D8"/>
    <w:rsid w:val="00C1689D"/>
    <w:rsid w:val="00C16A61"/>
    <w:rsid w:val="00C16C0E"/>
    <w:rsid w:val="00C16C1E"/>
    <w:rsid w:val="00C16D35"/>
    <w:rsid w:val="00C16D4A"/>
    <w:rsid w:val="00C16D58"/>
    <w:rsid w:val="00C16DBB"/>
    <w:rsid w:val="00C16EBC"/>
    <w:rsid w:val="00C16EDB"/>
    <w:rsid w:val="00C16EFF"/>
    <w:rsid w:val="00C1707C"/>
    <w:rsid w:val="00C17091"/>
    <w:rsid w:val="00C17164"/>
    <w:rsid w:val="00C171A2"/>
    <w:rsid w:val="00C17214"/>
    <w:rsid w:val="00C1723E"/>
    <w:rsid w:val="00C174AE"/>
    <w:rsid w:val="00C174B9"/>
    <w:rsid w:val="00C174F2"/>
    <w:rsid w:val="00C17593"/>
    <w:rsid w:val="00C175FD"/>
    <w:rsid w:val="00C17629"/>
    <w:rsid w:val="00C17637"/>
    <w:rsid w:val="00C17660"/>
    <w:rsid w:val="00C176DC"/>
    <w:rsid w:val="00C1794C"/>
    <w:rsid w:val="00C17B5D"/>
    <w:rsid w:val="00C17CEB"/>
    <w:rsid w:val="00C17D0F"/>
    <w:rsid w:val="00C17DB5"/>
    <w:rsid w:val="00C17E9F"/>
    <w:rsid w:val="00C2006C"/>
    <w:rsid w:val="00C20080"/>
    <w:rsid w:val="00C20140"/>
    <w:rsid w:val="00C202AC"/>
    <w:rsid w:val="00C20663"/>
    <w:rsid w:val="00C20896"/>
    <w:rsid w:val="00C2091B"/>
    <w:rsid w:val="00C20A37"/>
    <w:rsid w:val="00C20ABD"/>
    <w:rsid w:val="00C20B49"/>
    <w:rsid w:val="00C20EBC"/>
    <w:rsid w:val="00C2110A"/>
    <w:rsid w:val="00C21118"/>
    <w:rsid w:val="00C21192"/>
    <w:rsid w:val="00C21233"/>
    <w:rsid w:val="00C21243"/>
    <w:rsid w:val="00C21251"/>
    <w:rsid w:val="00C21281"/>
    <w:rsid w:val="00C21326"/>
    <w:rsid w:val="00C21327"/>
    <w:rsid w:val="00C21418"/>
    <w:rsid w:val="00C2146F"/>
    <w:rsid w:val="00C21C2E"/>
    <w:rsid w:val="00C21E4A"/>
    <w:rsid w:val="00C21ECF"/>
    <w:rsid w:val="00C22008"/>
    <w:rsid w:val="00C2209D"/>
    <w:rsid w:val="00C2254C"/>
    <w:rsid w:val="00C2257D"/>
    <w:rsid w:val="00C225BE"/>
    <w:rsid w:val="00C22649"/>
    <w:rsid w:val="00C2281A"/>
    <w:rsid w:val="00C22924"/>
    <w:rsid w:val="00C22EED"/>
    <w:rsid w:val="00C231F8"/>
    <w:rsid w:val="00C2320E"/>
    <w:rsid w:val="00C2341F"/>
    <w:rsid w:val="00C235EF"/>
    <w:rsid w:val="00C237B9"/>
    <w:rsid w:val="00C2381B"/>
    <w:rsid w:val="00C238E9"/>
    <w:rsid w:val="00C23927"/>
    <w:rsid w:val="00C239D6"/>
    <w:rsid w:val="00C23B6F"/>
    <w:rsid w:val="00C23D98"/>
    <w:rsid w:val="00C23DB0"/>
    <w:rsid w:val="00C23DCA"/>
    <w:rsid w:val="00C23E7D"/>
    <w:rsid w:val="00C23F9F"/>
    <w:rsid w:val="00C241FD"/>
    <w:rsid w:val="00C24576"/>
    <w:rsid w:val="00C245AC"/>
    <w:rsid w:val="00C245F2"/>
    <w:rsid w:val="00C24636"/>
    <w:rsid w:val="00C24684"/>
    <w:rsid w:val="00C246E0"/>
    <w:rsid w:val="00C2470D"/>
    <w:rsid w:val="00C249C5"/>
    <w:rsid w:val="00C249C8"/>
    <w:rsid w:val="00C24BCF"/>
    <w:rsid w:val="00C24E06"/>
    <w:rsid w:val="00C24E67"/>
    <w:rsid w:val="00C2512D"/>
    <w:rsid w:val="00C2521C"/>
    <w:rsid w:val="00C25375"/>
    <w:rsid w:val="00C2551F"/>
    <w:rsid w:val="00C256C1"/>
    <w:rsid w:val="00C25759"/>
    <w:rsid w:val="00C257FA"/>
    <w:rsid w:val="00C25987"/>
    <w:rsid w:val="00C259E0"/>
    <w:rsid w:val="00C25A46"/>
    <w:rsid w:val="00C25E66"/>
    <w:rsid w:val="00C25F2C"/>
    <w:rsid w:val="00C25FDD"/>
    <w:rsid w:val="00C26023"/>
    <w:rsid w:val="00C26153"/>
    <w:rsid w:val="00C26504"/>
    <w:rsid w:val="00C26513"/>
    <w:rsid w:val="00C26575"/>
    <w:rsid w:val="00C26581"/>
    <w:rsid w:val="00C267D8"/>
    <w:rsid w:val="00C26A71"/>
    <w:rsid w:val="00C26A86"/>
    <w:rsid w:val="00C26C11"/>
    <w:rsid w:val="00C26D30"/>
    <w:rsid w:val="00C26E94"/>
    <w:rsid w:val="00C26F26"/>
    <w:rsid w:val="00C26FDB"/>
    <w:rsid w:val="00C27081"/>
    <w:rsid w:val="00C2710E"/>
    <w:rsid w:val="00C27171"/>
    <w:rsid w:val="00C272D8"/>
    <w:rsid w:val="00C2731A"/>
    <w:rsid w:val="00C2770E"/>
    <w:rsid w:val="00C2774B"/>
    <w:rsid w:val="00C2785D"/>
    <w:rsid w:val="00C279A8"/>
    <w:rsid w:val="00C279EC"/>
    <w:rsid w:val="00C27C66"/>
    <w:rsid w:val="00C27C69"/>
    <w:rsid w:val="00C27DF1"/>
    <w:rsid w:val="00C27EF3"/>
    <w:rsid w:val="00C30077"/>
    <w:rsid w:val="00C301D7"/>
    <w:rsid w:val="00C301E8"/>
    <w:rsid w:val="00C3030B"/>
    <w:rsid w:val="00C3037E"/>
    <w:rsid w:val="00C303A0"/>
    <w:rsid w:val="00C303AB"/>
    <w:rsid w:val="00C30455"/>
    <w:rsid w:val="00C305E6"/>
    <w:rsid w:val="00C307B8"/>
    <w:rsid w:val="00C30879"/>
    <w:rsid w:val="00C308E7"/>
    <w:rsid w:val="00C3099B"/>
    <w:rsid w:val="00C309CC"/>
    <w:rsid w:val="00C30A76"/>
    <w:rsid w:val="00C30B84"/>
    <w:rsid w:val="00C30BFE"/>
    <w:rsid w:val="00C30CE9"/>
    <w:rsid w:val="00C30CEE"/>
    <w:rsid w:val="00C30D9E"/>
    <w:rsid w:val="00C30DDF"/>
    <w:rsid w:val="00C30EC5"/>
    <w:rsid w:val="00C310C8"/>
    <w:rsid w:val="00C310E8"/>
    <w:rsid w:val="00C310E9"/>
    <w:rsid w:val="00C313D2"/>
    <w:rsid w:val="00C314BB"/>
    <w:rsid w:val="00C315E0"/>
    <w:rsid w:val="00C315EA"/>
    <w:rsid w:val="00C318CA"/>
    <w:rsid w:val="00C318D6"/>
    <w:rsid w:val="00C31970"/>
    <w:rsid w:val="00C319D4"/>
    <w:rsid w:val="00C31B7D"/>
    <w:rsid w:val="00C31C5F"/>
    <w:rsid w:val="00C31C92"/>
    <w:rsid w:val="00C31CE7"/>
    <w:rsid w:val="00C31DBF"/>
    <w:rsid w:val="00C31EA1"/>
    <w:rsid w:val="00C321EB"/>
    <w:rsid w:val="00C32272"/>
    <w:rsid w:val="00C32504"/>
    <w:rsid w:val="00C32510"/>
    <w:rsid w:val="00C326E8"/>
    <w:rsid w:val="00C3276D"/>
    <w:rsid w:val="00C327B3"/>
    <w:rsid w:val="00C327B5"/>
    <w:rsid w:val="00C32807"/>
    <w:rsid w:val="00C32B3D"/>
    <w:rsid w:val="00C32B89"/>
    <w:rsid w:val="00C32C6D"/>
    <w:rsid w:val="00C32CCA"/>
    <w:rsid w:val="00C32CF2"/>
    <w:rsid w:val="00C32D68"/>
    <w:rsid w:val="00C32E60"/>
    <w:rsid w:val="00C32E72"/>
    <w:rsid w:val="00C32F5D"/>
    <w:rsid w:val="00C32FF9"/>
    <w:rsid w:val="00C33030"/>
    <w:rsid w:val="00C33095"/>
    <w:rsid w:val="00C330B3"/>
    <w:rsid w:val="00C3329E"/>
    <w:rsid w:val="00C33397"/>
    <w:rsid w:val="00C333FA"/>
    <w:rsid w:val="00C3340E"/>
    <w:rsid w:val="00C3347E"/>
    <w:rsid w:val="00C33512"/>
    <w:rsid w:val="00C336C5"/>
    <w:rsid w:val="00C33877"/>
    <w:rsid w:val="00C339AB"/>
    <w:rsid w:val="00C33D4E"/>
    <w:rsid w:val="00C33F3E"/>
    <w:rsid w:val="00C33FAA"/>
    <w:rsid w:val="00C3400D"/>
    <w:rsid w:val="00C34073"/>
    <w:rsid w:val="00C340AC"/>
    <w:rsid w:val="00C34226"/>
    <w:rsid w:val="00C342D6"/>
    <w:rsid w:val="00C34439"/>
    <w:rsid w:val="00C345C2"/>
    <w:rsid w:val="00C34698"/>
    <w:rsid w:val="00C346F5"/>
    <w:rsid w:val="00C34806"/>
    <w:rsid w:val="00C34B52"/>
    <w:rsid w:val="00C34D98"/>
    <w:rsid w:val="00C3509B"/>
    <w:rsid w:val="00C35282"/>
    <w:rsid w:val="00C35442"/>
    <w:rsid w:val="00C35569"/>
    <w:rsid w:val="00C3556F"/>
    <w:rsid w:val="00C355FA"/>
    <w:rsid w:val="00C3564F"/>
    <w:rsid w:val="00C35702"/>
    <w:rsid w:val="00C3579D"/>
    <w:rsid w:val="00C3584F"/>
    <w:rsid w:val="00C35917"/>
    <w:rsid w:val="00C3597D"/>
    <w:rsid w:val="00C35A45"/>
    <w:rsid w:val="00C35ADC"/>
    <w:rsid w:val="00C35B0E"/>
    <w:rsid w:val="00C35C6D"/>
    <w:rsid w:val="00C35C98"/>
    <w:rsid w:val="00C35CBA"/>
    <w:rsid w:val="00C35DCD"/>
    <w:rsid w:val="00C35E8A"/>
    <w:rsid w:val="00C35EB3"/>
    <w:rsid w:val="00C3610F"/>
    <w:rsid w:val="00C3616E"/>
    <w:rsid w:val="00C361CF"/>
    <w:rsid w:val="00C3629A"/>
    <w:rsid w:val="00C362DE"/>
    <w:rsid w:val="00C364EC"/>
    <w:rsid w:val="00C3656D"/>
    <w:rsid w:val="00C365BE"/>
    <w:rsid w:val="00C366E8"/>
    <w:rsid w:val="00C36762"/>
    <w:rsid w:val="00C36946"/>
    <w:rsid w:val="00C36962"/>
    <w:rsid w:val="00C36A42"/>
    <w:rsid w:val="00C36BD3"/>
    <w:rsid w:val="00C36CA2"/>
    <w:rsid w:val="00C36CE5"/>
    <w:rsid w:val="00C3703D"/>
    <w:rsid w:val="00C370EC"/>
    <w:rsid w:val="00C37187"/>
    <w:rsid w:val="00C37212"/>
    <w:rsid w:val="00C372BE"/>
    <w:rsid w:val="00C372C2"/>
    <w:rsid w:val="00C3734E"/>
    <w:rsid w:val="00C37417"/>
    <w:rsid w:val="00C376F6"/>
    <w:rsid w:val="00C37801"/>
    <w:rsid w:val="00C379D2"/>
    <w:rsid w:val="00C37B04"/>
    <w:rsid w:val="00C401BD"/>
    <w:rsid w:val="00C40291"/>
    <w:rsid w:val="00C403B6"/>
    <w:rsid w:val="00C403CC"/>
    <w:rsid w:val="00C406DE"/>
    <w:rsid w:val="00C40A52"/>
    <w:rsid w:val="00C40BD0"/>
    <w:rsid w:val="00C40D17"/>
    <w:rsid w:val="00C40E21"/>
    <w:rsid w:val="00C40FC6"/>
    <w:rsid w:val="00C41209"/>
    <w:rsid w:val="00C4131A"/>
    <w:rsid w:val="00C413C0"/>
    <w:rsid w:val="00C413F9"/>
    <w:rsid w:val="00C414E2"/>
    <w:rsid w:val="00C41562"/>
    <w:rsid w:val="00C41679"/>
    <w:rsid w:val="00C4170D"/>
    <w:rsid w:val="00C417C9"/>
    <w:rsid w:val="00C419AF"/>
    <w:rsid w:val="00C41A91"/>
    <w:rsid w:val="00C41CF4"/>
    <w:rsid w:val="00C41D82"/>
    <w:rsid w:val="00C41F1B"/>
    <w:rsid w:val="00C41F6A"/>
    <w:rsid w:val="00C42001"/>
    <w:rsid w:val="00C420A3"/>
    <w:rsid w:val="00C4216C"/>
    <w:rsid w:val="00C4236D"/>
    <w:rsid w:val="00C425C8"/>
    <w:rsid w:val="00C425D3"/>
    <w:rsid w:val="00C426AD"/>
    <w:rsid w:val="00C42847"/>
    <w:rsid w:val="00C428BE"/>
    <w:rsid w:val="00C42A22"/>
    <w:rsid w:val="00C42A55"/>
    <w:rsid w:val="00C42AB6"/>
    <w:rsid w:val="00C42AEE"/>
    <w:rsid w:val="00C42B07"/>
    <w:rsid w:val="00C42B5E"/>
    <w:rsid w:val="00C42B80"/>
    <w:rsid w:val="00C42CD3"/>
    <w:rsid w:val="00C42E08"/>
    <w:rsid w:val="00C42F1F"/>
    <w:rsid w:val="00C431BD"/>
    <w:rsid w:val="00C433AD"/>
    <w:rsid w:val="00C43599"/>
    <w:rsid w:val="00C435DD"/>
    <w:rsid w:val="00C435E0"/>
    <w:rsid w:val="00C4375F"/>
    <w:rsid w:val="00C43818"/>
    <w:rsid w:val="00C43847"/>
    <w:rsid w:val="00C43944"/>
    <w:rsid w:val="00C43978"/>
    <w:rsid w:val="00C43A03"/>
    <w:rsid w:val="00C43BD0"/>
    <w:rsid w:val="00C43C46"/>
    <w:rsid w:val="00C43DEC"/>
    <w:rsid w:val="00C43ED9"/>
    <w:rsid w:val="00C4416E"/>
    <w:rsid w:val="00C441AA"/>
    <w:rsid w:val="00C4438F"/>
    <w:rsid w:val="00C443B0"/>
    <w:rsid w:val="00C44591"/>
    <w:rsid w:val="00C44600"/>
    <w:rsid w:val="00C4470F"/>
    <w:rsid w:val="00C4474B"/>
    <w:rsid w:val="00C44785"/>
    <w:rsid w:val="00C447B6"/>
    <w:rsid w:val="00C447C1"/>
    <w:rsid w:val="00C449C4"/>
    <w:rsid w:val="00C44BAB"/>
    <w:rsid w:val="00C44CAD"/>
    <w:rsid w:val="00C44CB4"/>
    <w:rsid w:val="00C44CC4"/>
    <w:rsid w:val="00C44D03"/>
    <w:rsid w:val="00C44D30"/>
    <w:rsid w:val="00C44DD6"/>
    <w:rsid w:val="00C44E5F"/>
    <w:rsid w:val="00C44F40"/>
    <w:rsid w:val="00C450C0"/>
    <w:rsid w:val="00C450EA"/>
    <w:rsid w:val="00C451A3"/>
    <w:rsid w:val="00C451B6"/>
    <w:rsid w:val="00C4526F"/>
    <w:rsid w:val="00C452C8"/>
    <w:rsid w:val="00C4536C"/>
    <w:rsid w:val="00C4558E"/>
    <w:rsid w:val="00C458B0"/>
    <w:rsid w:val="00C45A71"/>
    <w:rsid w:val="00C45D38"/>
    <w:rsid w:val="00C45E3A"/>
    <w:rsid w:val="00C45EA6"/>
    <w:rsid w:val="00C45F4F"/>
    <w:rsid w:val="00C461C7"/>
    <w:rsid w:val="00C4620D"/>
    <w:rsid w:val="00C46230"/>
    <w:rsid w:val="00C46282"/>
    <w:rsid w:val="00C46347"/>
    <w:rsid w:val="00C4644D"/>
    <w:rsid w:val="00C464AB"/>
    <w:rsid w:val="00C4651B"/>
    <w:rsid w:val="00C4663C"/>
    <w:rsid w:val="00C46690"/>
    <w:rsid w:val="00C46725"/>
    <w:rsid w:val="00C4674C"/>
    <w:rsid w:val="00C467EE"/>
    <w:rsid w:val="00C46835"/>
    <w:rsid w:val="00C46858"/>
    <w:rsid w:val="00C46A90"/>
    <w:rsid w:val="00C46BDA"/>
    <w:rsid w:val="00C46C24"/>
    <w:rsid w:val="00C470C5"/>
    <w:rsid w:val="00C4729E"/>
    <w:rsid w:val="00C472A3"/>
    <w:rsid w:val="00C472A4"/>
    <w:rsid w:val="00C473F8"/>
    <w:rsid w:val="00C4760E"/>
    <w:rsid w:val="00C4769D"/>
    <w:rsid w:val="00C477B2"/>
    <w:rsid w:val="00C478EA"/>
    <w:rsid w:val="00C479A5"/>
    <w:rsid w:val="00C479B5"/>
    <w:rsid w:val="00C47BD8"/>
    <w:rsid w:val="00C47C87"/>
    <w:rsid w:val="00C47CCB"/>
    <w:rsid w:val="00C50052"/>
    <w:rsid w:val="00C501BC"/>
    <w:rsid w:val="00C50290"/>
    <w:rsid w:val="00C5030F"/>
    <w:rsid w:val="00C50319"/>
    <w:rsid w:val="00C5033E"/>
    <w:rsid w:val="00C503AB"/>
    <w:rsid w:val="00C50409"/>
    <w:rsid w:val="00C504A9"/>
    <w:rsid w:val="00C505DD"/>
    <w:rsid w:val="00C506F4"/>
    <w:rsid w:val="00C50760"/>
    <w:rsid w:val="00C508BD"/>
    <w:rsid w:val="00C509FC"/>
    <w:rsid w:val="00C50A70"/>
    <w:rsid w:val="00C50A9F"/>
    <w:rsid w:val="00C50AD1"/>
    <w:rsid w:val="00C50AE6"/>
    <w:rsid w:val="00C50B3E"/>
    <w:rsid w:val="00C50C13"/>
    <w:rsid w:val="00C50C48"/>
    <w:rsid w:val="00C50FA9"/>
    <w:rsid w:val="00C51167"/>
    <w:rsid w:val="00C511C6"/>
    <w:rsid w:val="00C511CA"/>
    <w:rsid w:val="00C51201"/>
    <w:rsid w:val="00C51292"/>
    <w:rsid w:val="00C513CC"/>
    <w:rsid w:val="00C51523"/>
    <w:rsid w:val="00C51554"/>
    <w:rsid w:val="00C51607"/>
    <w:rsid w:val="00C51703"/>
    <w:rsid w:val="00C51765"/>
    <w:rsid w:val="00C518A3"/>
    <w:rsid w:val="00C51930"/>
    <w:rsid w:val="00C51BA4"/>
    <w:rsid w:val="00C51C22"/>
    <w:rsid w:val="00C51CFE"/>
    <w:rsid w:val="00C51E00"/>
    <w:rsid w:val="00C51EB8"/>
    <w:rsid w:val="00C52034"/>
    <w:rsid w:val="00C521F2"/>
    <w:rsid w:val="00C52287"/>
    <w:rsid w:val="00C524FC"/>
    <w:rsid w:val="00C52517"/>
    <w:rsid w:val="00C5258B"/>
    <w:rsid w:val="00C525D3"/>
    <w:rsid w:val="00C526D5"/>
    <w:rsid w:val="00C5291D"/>
    <w:rsid w:val="00C52BDB"/>
    <w:rsid w:val="00C52FC2"/>
    <w:rsid w:val="00C5311E"/>
    <w:rsid w:val="00C531EE"/>
    <w:rsid w:val="00C532A4"/>
    <w:rsid w:val="00C53498"/>
    <w:rsid w:val="00C535E8"/>
    <w:rsid w:val="00C5364E"/>
    <w:rsid w:val="00C53765"/>
    <w:rsid w:val="00C538EB"/>
    <w:rsid w:val="00C5394F"/>
    <w:rsid w:val="00C539C0"/>
    <w:rsid w:val="00C53B46"/>
    <w:rsid w:val="00C53C15"/>
    <w:rsid w:val="00C53E13"/>
    <w:rsid w:val="00C53EB4"/>
    <w:rsid w:val="00C540AD"/>
    <w:rsid w:val="00C54133"/>
    <w:rsid w:val="00C541F0"/>
    <w:rsid w:val="00C54278"/>
    <w:rsid w:val="00C5434A"/>
    <w:rsid w:val="00C544B0"/>
    <w:rsid w:val="00C54792"/>
    <w:rsid w:val="00C5488F"/>
    <w:rsid w:val="00C549CA"/>
    <w:rsid w:val="00C54AAC"/>
    <w:rsid w:val="00C54B05"/>
    <w:rsid w:val="00C54C63"/>
    <w:rsid w:val="00C54D35"/>
    <w:rsid w:val="00C54D83"/>
    <w:rsid w:val="00C54D95"/>
    <w:rsid w:val="00C54E05"/>
    <w:rsid w:val="00C54FC8"/>
    <w:rsid w:val="00C55194"/>
    <w:rsid w:val="00C551D0"/>
    <w:rsid w:val="00C55214"/>
    <w:rsid w:val="00C553B9"/>
    <w:rsid w:val="00C553E8"/>
    <w:rsid w:val="00C55400"/>
    <w:rsid w:val="00C55401"/>
    <w:rsid w:val="00C55532"/>
    <w:rsid w:val="00C556CA"/>
    <w:rsid w:val="00C556E8"/>
    <w:rsid w:val="00C55911"/>
    <w:rsid w:val="00C5595B"/>
    <w:rsid w:val="00C55A4C"/>
    <w:rsid w:val="00C55BB2"/>
    <w:rsid w:val="00C55C08"/>
    <w:rsid w:val="00C55CE5"/>
    <w:rsid w:val="00C55EBF"/>
    <w:rsid w:val="00C55F07"/>
    <w:rsid w:val="00C5606E"/>
    <w:rsid w:val="00C5617A"/>
    <w:rsid w:val="00C56242"/>
    <w:rsid w:val="00C56343"/>
    <w:rsid w:val="00C564E3"/>
    <w:rsid w:val="00C565D4"/>
    <w:rsid w:val="00C5663A"/>
    <w:rsid w:val="00C56670"/>
    <w:rsid w:val="00C566E0"/>
    <w:rsid w:val="00C56B22"/>
    <w:rsid w:val="00C56BEC"/>
    <w:rsid w:val="00C56C62"/>
    <w:rsid w:val="00C57036"/>
    <w:rsid w:val="00C57154"/>
    <w:rsid w:val="00C5718C"/>
    <w:rsid w:val="00C571EE"/>
    <w:rsid w:val="00C5722F"/>
    <w:rsid w:val="00C573D8"/>
    <w:rsid w:val="00C5743F"/>
    <w:rsid w:val="00C57492"/>
    <w:rsid w:val="00C574B5"/>
    <w:rsid w:val="00C577B4"/>
    <w:rsid w:val="00C57826"/>
    <w:rsid w:val="00C579C3"/>
    <w:rsid w:val="00C57B22"/>
    <w:rsid w:val="00C57B6F"/>
    <w:rsid w:val="00C57B7F"/>
    <w:rsid w:val="00C57BA3"/>
    <w:rsid w:val="00C57C3D"/>
    <w:rsid w:val="00C57D39"/>
    <w:rsid w:val="00C57ECC"/>
    <w:rsid w:val="00C6002B"/>
    <w:rsid w:val="00C600EA"/>
    <w:rsid w:val="00C6011B"/>
    <w:rsid w:val="00C601EC"/>
    <w:rsid w:val="00C60203"/>
    <w:rsid w:val="00C6028F"/>
    <w:rsid w:val="00C60293"/>
    <w:rsid w:val="00C60380"/>
    <w:rsid w:val="00C60464"/>
    <w:rsid w:val="00C604EA"/>
    <w:rsid w:val="00C608B7"/>
    <w:rsid w:val="00C60A1C"/>
    <w:rsid w:val="00C60A4C"/>
    <w:rsid w:val="00C60AF8"/>
    <w:rsid w:val="00C60B4F"/>
    <w:rsid w:val="00C60BAC"/>
    <w:rsid w:val="00C60C82"/>
    <w:rsid w:val="00C60E74"/>
    <w:rsid w:val="00C60EF3"/>
    <w:rsid w:val="00C61101"/>
    <w:rsid w:val="00C61276"/>
    <w:rsid w:val="00C6127C"/>
    <w:rsid w:val="00C61526"/>
    <w:rsid w:val="00C6159F"/>
    <w:rsid w:val="00C61606"/>
    <w:rsid w:val="00C61659"/>
    <w:rsid w:val="00C6188B"/>
    <w:rsid w:val="00C619B9"/>
    <w:rsid w:val="00C61AA4"/>
    <w:rsid w:val="00C61B7E"/>
    <w:rsid w:val="00C61CA2"/>
    <w:rsid w:val="00C61CD2"/>
    <w:rsid w:val="00C61CE5"/>
    <w:rsid w:val="00C61D21"/>
    <w:rsid w:val="00C61E1D"/>
    <w:rsid w:val="00C61E2C"/>
    <w:rsid w:val="00C61E8F"/>
    <w:rsid w:val="00C61FDC"/>
    <w:rsid w:val="00C62158"/>
    <w:rsid w:val="00C62199"/>
    <w:rsid w:val="00C621AB"/>
    <w:rsid w:val="00C621FA"/>
    <w:rsid w:val="00C6240B"/>
    <w:rsid w:val="00C62666"/>
    <w:rsid w:val="00C627FD"/>
    <w:rsid w:val="00C628B2"/>
    <w:rsid w:val="00C628E2"/>
    <w:rsid w:val="00C6296E"/>
    <w:rsid w:val="00C62988"/>
    <w:rsid w:val="00C629F3"/>
    <w:rsid w:val="00C62B76"/>
    <w:rsid w:val="00C62BC4"/>
    <w:rsid w:val="00C62D74"/>
    <w:rsid w:val="00C62DC9"/>
    <w:rsid w:val="00C62DDC"/>
    <w:rsid w:val="00C62E91"/>
    <w:rsid w:val="00C630E9"/>
    <w:rsid w:val="00C631DC"/>
    <w:rsid w:val="00C632BB"/>
    <w:rsid w:val="00C634E3"/>
    <w:rsid w:val="00C635BD"/>
    <w:rsid w:val="00C635FC"/>
    <w:rsid w:val="00C637D1"/>
    <w:rsid w:val="00C639BE"/>
    <w:rsid w:val="00C639C5"/>
    <w:rsid w:val="00C63B81"/>
    <w:rsid w:val="00C63B94"/>
    <w:rsid w:val="00C63BDF"/>
    <w:rsid w:val="00C63CFE"/>
    <w:rsid w:val="00C63D38"/>
    <w:rsid w:val="00C63E5F"/>
    <w:rsid w:val="00C63E8D"/>
    <w:rsid w:val="00C63F68"/>
    <w:rsid w:val="00C63FC2"/>
    <w:rsid w:val="00C6402B"/>
    <w:rsid w:val="00C6408E"/>
    <w:rsid w:val="00C6442B"/>
    <w:rsid w:val="00C646B5"/>
    <w:rsid w:val="00C64766"/>
    <w:rsid w:val="00C649DC"/>
    <w:rsid w:val="00C64AAE"/>
    <w:rsid w:val="00C64B33"/>
    <w:rsid w:val="00C64BD7"/>
    <w:rsid w:val="00C64BE1"/>
    <w:rsid w:val="00C64C3D"/>
    <w:rsid w:val="00C64C41"/>
    <w:rsid w:val="00C64E07"/>
    <w:rsid w:val="00C64FD4"/>
    <w:rsid w:val="00C64FD9"/>
    <w:rsid w:val="00C650A8"/>
    <w:rsid w:val="00C6510B"/>
    <w:rsid w:val="00C651B3"/>
    <w:rsid w:val="00C6537B"/>
    <w:rsid w:val="00C653BA"/>
    <w:rsid w:val="00C65534"/>
    <w:rsid w:val="00C657B8"/>
    <w:rsid w:val="00C65955"/>
    <w:rsid w:val="00C65A0F"/>
    <w:rsid w:val="00C65A27"/>
    <w:rsid w:val="00C65AC0"/>
    <w:rsid w:val="00C65BC9"/>
    <w:rsid w:val="00C65DCD"/>
    <w:rsid w:val="00C65E5E"/>
    <w:rsid w:val="00C65FE2"/>
    <w:rsid w:val="00C661EC"/>
    <w:rsid w:val="00C6639B"/>
    <w:rsid w:val="00C6662C"/>
    <w:rsid w:val="00C669E0"/>
    <w:rsid w:val="00C66A80"/>
    <w:rsid w:val="00C66CE1"/>
    <w:rsid w:val="00C66DA2"/>
    <w:rsid w:val="00C66DCB"/>
    <w:rsid w:val="00C66E37"/>
    <w:rsid w:val="00C66EA4"/>
    <w:rsid w:val="00C66EE0"/>
    <w:rsid w:val="00C66F68"/>
    <w:rsid w:val="00C66F6B"/>
    <w:rsid w:val="00C66FF1"/>
    <w:rsid w:val="00C670FA"/>
    <w:rsid w:val="00C6724C"/>
    <w:rsid w:val="00C6735D"/>
    <w:rsid w:val="00C678CA"/>
    <w:rsid w:val="00C679BF"/>
    <w:rsid w:val="00C67C35"/>
    <w:rsid w:val="00C67E39"/>
    <w:rsid w:val="00C70022"/>
    <w:rsid w:val="00C700B6"/>
    <w:rsid w:val="00C7037A"/>
    <w:rsid w:val="00C70601"/>
    <w:rsid w:val="00C706EF"/>
    <w:rsid w:val="00C70732"/>
    <w:rsid w:val="00C707A0"/>
    <w:rsid w:val="00C707F7"/>
    <w:rsid w:val="00C70B4B"/>
    <w:rsid w:val="00C70BAF"/>
    <w:rsid w:val="00C70CA1"/>
    <w:rsid w:val="00C70CF2"/>
    <w:rsid w:val="00C70D4F"/>
    <w:rsid w:val="00C70DD2"/>
    <w:rsid w:val="00C70E69"/>
    <w:rsid w:val="00C71031"/>
    <w:rsid w:val="00C711BF"/>
    <w:rsid w:val="00C7124C"/>
    <w:rsid w:val="00C712BB"/>
    <w:rsid w:val="00C71638"/>
    <w:rsid w:val="00C71770"/>
    <w:rsid w:val="00C717B1"/>
    <w:rsid w:val="00C717F6"/>
    <w:rsid w:val="00C71920"/>
    <w:rsid w:val="00C719BD"/>
    <w:rsid w:val="00C723BD"/>
    <w:rsid w:val="00C724BF"/>
    <w:rsid w:val="00C7255C"/>
    <w:rsid w:val="00C725B1"/>
    <w:rsid w:val="00C7284D"/>
    <w:rsid w:val="00C7287C"/>
    <w:rsid w:val="00C72AC6"/>
    <w:rsid w:val="00C72AE0"/>
    <w:rsid w:val="00C72C03"/>
    <w:rsid w:val="00C72C5C"/>
    <w:rsid w:val="00C72C96"/>
    <w:rsid w:val="00C72D6B"/>
    <w:rsid w:val="00C72D70"/>
    <w:rsid w:val="00C72FA2"/>
    <w:rsid w:val="00C7321F"/>
    <w:rsid w:val="00C73252"/>
    <w:rsid w:val="00C73462"/>
    <w:rsid w:val="00C734E5"/>
    <w:rsid w:val="00C7364F"/>
    <w:rsid w:val="00C737F0"/>
    <w:rsid w:val="00C73868"/>
    <w:rsid w:val="00C7393C"/>
    <w:rsid w:val="00C739DE"/>
    <w:rsid w:val="00C73A22"/>
    <w:rsid w:val="00C73C44"/>
    <w:rsid w:val="00C73E5F"/>
    <w:rsid w:val="00C73EF9"/>
    <w:rsid w:val="00C73FA1"/>
    <w:rsid w:val="00C73FFC"/>
    <w:rsid w:val="00C74097"/>
    <w:rsid w:val="00C7451F"/>
    <w:rsid w:val="00C7452D"/>
    <w:rsid w:val="00C74564"/>
    <w:rsid w:val="00C74582"/>
    <w:rsid w:val="00C7467F"/>
    <w:rsid w:val="00C74736"/>
    <w:rsid w:val="00C747A0"/>
    <w:rsid w:val="00C749BB"/>
    <w:rsid w:val="00C749BC"/>
    <w:rsid w:val="00C74B08"/>
    <w:rsid w:val="00C74B3A"/>
    <w:rsid w:val="00C74C9B"/>
    <w:rsid w:val="00C74DCE"/>
    <w:rsid w:val="00C74E5D"/>
    <w:rsid w:val="00C74E68"/>
    <w:rsid w:val="00C74F4D"/>
    <w:rsid w:val="00C75080"/>
    <w:rsid w:val="00C750E0"/>
    <w:rsid w:val="00C7510D"/>
    <w:rsid w:val="00C7512D"/>
    <w:rsid w:val="00C75169"/>
    <w:rsid w:val="00C751E1"/>
    <w:rsid w:val="00C7522C"/>
    <w:rsid w:val="00C7528D"/>
    <w:rsid w:val="00C752E5"/>
    <w:rsid w:val="00C7535A"/>
    <w:rsid w:val="00C753B5"/>
    <w:rsid w:val="00C7542B"/>
    <w:rsid w:val="00C754EB"/>
    <w:rsid w:val="00C75506"/>
    <w:rsid w:val="00C7550C"/>
    <w:rsid w:val="00C755F5"/>
    <w:rsid w:val="00C7571A"/>
    <w:rsid w:val="00C75735"/>
    <w:rsid w:val="00C75790"/>
    <w:rsid w:val="00C75820"/>
    <w:rsid w:val="00C758A1"/>
    <w:rsid w:val="00C758CD"/>
    <w:rsid w:val="00C75912"/>
    <w:rsid w:val="00C75AB3"/>
    <w:rsid w:val="00C75B56"/>
    <w:rsid w:val="00C75BA9"/>
    <w:rsid w:val="00C75BCA"/>
    <w:rsid w:val="00C75D87"/>
    <w:rsid w:val="00C75D97"/>
    <w:rsid w:val="00C75F0E"/>
    <w:rsid w:val="00C761A9"/>
    <w:rsid w:val="00C761C6"/>
    <w:rsid w:val="00C76288"/>
    <w:rsid w:val="00C76448"/>
    <w:rsid w:val="00C7679F"/>
    <w:rsid w:val="00C7686E"/>
    <w:rsid w:val="00C76AFA"/>
    <w:rsid w:val="00C76C7D"/>
    <w:rsid w:val="00C76E3A"/>
    <w:rsid w:val="00C76EA7"/>
    <w:rsid w:val="00C76F5A"/>
    <w:rsid w:val="00C77213"/>
    <w:rsid w:val="00C773B6"/>
    <w:rsid w:val="00C77413"/>
    <w:rsid w:val="00C7753E"/>
    <w:rsid w:val="00C77577"/>
    <w:rsid w:val="00C775F2"/>
    <w:rsid w:val="00C77613"/>
    <w:rsid w:val="00C7762E"/>
    <w:rsid w:val="00C776CA"/>
    <w:rsid w:val="00C776F9"/>
    <w:rsid w:val="00C778CE"/>
    <w:rsid w:val="00C7794D"/>
    <w:rsid w:val="00C7798B"/>
    <w:rsid w:val="00C7799B"/>
    <w:rsid w:val="00C77ADD"/>
    <w:rsid w:val="00C77B8F"/>
    <w:rsid w:val="00C77C89"/>
    <w:rsid w:val="00C77CF5"/>
    <w:rsid w:val="00C77DB8"/>
    <w:rsid w:val="00C77E30"/>
    <w:rsid w:val="00C77F68"/>
    <w:rsid w:val="00C80126"/>
    <w:rsid w:val="00C8021D"/>
    <w:rsid w:val="00C8021F"/>
    <w:rsid w:val="00C8058E"/>
    <w:rsid w:val="00C805AF"/>
    <w:rsid w:val="00C806A7"/>
    <w:rsid w:val="00C8080B"/>
    <w:rsid w:val="00C808BC"/>
    <w:rsid w:val="00C80975"/>
    <w:rsid w:val="00C80A1E"/>
    <w:rsid w:val="00C80D58"/>
    <w:rsid w:val="00C80D62"/>
    <w:rsid w:val="00C80E13"/>
    <w:rsid w:val="00C80E51"/>
    <w:rsid w:val="00C80F70"/>
    <w:rsid w:val="00C810FC"/>
    <w:rsid w:val="00C8121C"/>
    <w:rsid w:val="00C8128E"/>
    <w:rsid w:val="00C812AB"/>
    <w:rsid w:val="00C812EE"/>
    <w:rsid w:val="00C812FB"/>
    <w:rsid w:val="00C81341"/>
    <w:rsid w:val="00C81378"/>
    <w:rsid w:val="00C813B9"/>
    <w:rsid w:val="00C81565"/>
    <w:rsid w:val="00C815A4"/>
    <w:rsid w:val="00C815F7"/>
    <w:rsid w:val="00C81778"/>
    <w:rsid w:val="00C81858"/>
    <w:rsid w:val="00C818E8"/>
    <w:rsid w:val="00C81AD1"/>
    <w:rsid w:val="00C81CA7"/>
    <w:rsid w:val="00C81E1B"/>
    <w:rsid w:val="00C81E1C"/>
    <w:rsid w:val="00C81FF1"/>
    <w:rsid w:val="00C82239"/>
    <w:rsid w:val="00C82312"/>
    <w:rsid w:val="00C82351"/>
    <w:rsid w:val="00C82482"/>
    <w:rsid w:val="00C825B0"/>
    <w:rsid w:val="00C8266F"/>
    <w:rsid w:val="00C82697"/>
    <w:rsid w:val="00C82935"/>
    <w:rsid w:val="00C82949"/>
    <w:rsid w:val="00C829BA"/>
    <w:rsid w:val="00C829BB"/>
    <w:rsid w:val="00C82D61"/>
    <w:rsid w:val="00C82F00"/>
    <w:rsid w:val="00C82F01"/>
    <w:rsid w:val="00C82F1A"/>
    <w:rsid w:val="00C82F8E"/>
    <w:rsid w:val="00C82F9C"/>
    <w:rsid w:val="00C82FB6"/>
    <w:rsid w:val="00C832A2"/>
    <w:rsid w:val="00C8361D"/>
    <w:rsid w:val="00C83698"/>
    <w:rsid w:val="00C8369C"/>
    <w:rsid w:val="00C83951"/>
    <w:rsid w:val="00C83C2A"/>
    <w:rsid w:val="00C83C99"/>
    <w:rsid w:val="00C83D94"/>
    <w:rsid w:val="00C83D98"/>
    <w:rsid w:val="00C83EA7"/>
    <w:rsid w:val="00C83F8E"/>
    <w:rsid w:val="00C84069"/>
    <w:rsid w:val="00C840C7"/>
    <w:rsid w:val="00C840E1"/>
    <w:rsid w:val="00C841D1"/>
    <w:rsid w:val="00C842A6"/>
    <w:rsid w:val="00C84460"/>
    <w:rsid w:val="00C845CB"/>
    <w:rsid w:val="00C845E7"/>
    <w:rsid w:val="00C84709"/>
    <w:rsid w:val="00C84958"/>
    <w:rsid w:val="00C84A7E"/>
    <w:rsid w:val="00C84AEE"/>
    <w:rsid w:val="00C84BAC"/>
    <w:rsid w:val="00C84C5E"/>
    <w:rsid w:val="00C84D4A"/>
    <w:rsid w:val="00C84E08"/>
    <w:rsid w:val="00C84E17"/>
    <w:rsid w:val="00C84EAB"/>
    <w:rsid w:val="00C84EDD"/>
    <w:rsid w:val="00C84F72"/>
    <w:rsid w:val="00C8505B"/>
    <w:rsid w:val="00C85083"/>
    <w:rsid w:val="00C85114"/>
    <w:rsid w:val="00C85506"/>
    <w:rsid w:val="00C85544"/>
    <w:rsid w:val="00C8558B"/>
    <w:rsid w:val="00C85623"/>
    <w:rsid w:val="00C85834"/>
    <w:rsid w:val="00C8587E"/>
    <w:rsid w:val="00C85A1F"/>
    <w:rsid w:val="00C85A8A"/>
    <w:rsid w:val="00C85C12"/>
    <w:rsid w:val="00C85C9F"/>
    <w:rsid w:val="00C85EF7"/>
    <w:rsid w:val="00C85FD9"/>
    <w:rsid w:val="00C860DF"/>
    <w:rsid w:val="00C86148"/>
    <w:rsid w:val="00C861D3"/>
    <w:rsid w:val="00C861D6"/>
    <w:rsid w:val="00C863AE"/>
    <w:rsid w:val="00C863D7"/>
    <w:rsid w:val="00C8682F"/>
    <w:rsid w:val="00C86909"/>
    <w:rsid w:val="00C8694E"/>
    <w:rsid w:val="00C8698A"/>
    <w:rsid w:val="00C869EE"/>
    <w:rsid w:val="00C86A1F"/>
    <w:rsid w:val="00C86D3E"/>
    <w:rsid w:val="00C86F8F"/>
    <w:rsid w:val="00C873D8"/>
    <w:rsid w:val="00C874D7"/>
    <w:rsid w:val="00C8763E"/>
    <w:rsid w:val="00C877B6"/>
    <w:rsid w:val="00C87845"/>
    <w:rsid w:val="00C8794D"/>
    <w:rsid w:val="00C879C6"/>
    <w:rsid w:val="00C879C9"/>
    <w:rsid w:val="00C87B7A"/>
    <w:rsid w:val="00C87BB5"/>
    <w:rsid w:val="00C87CA2"/>
    <w:rsid w:val="00C87D6C"/>
    <w:rsid w:val="00C87E11"/>
    <w:rsid w:val="00C87E7E"/>
    <w:rsid w:val="00C87F33"/>
    <w:rsid w:val="00C87FD1"/>
    <w:rsid w:val="00C900C5"/>
    <w:rsid w:val="00C90190"/>
    <w:rsid w:val="00C901BE"/>
    <w:rsid w:val="00C9042C"/>
    <w:rsid w:val="00C90439"/>
    <w:rsid w:val="00C90525"/>
    <w:rsid w:val="00C906B6"/>
    <w:rsid w:val="00C906C0"/>
    <w:rsid w:val="00C906D7"/>
    <w:rsid w:val="00C90807"/>
    <w:rsid w:val="00C90B4A"/>
    <w:rsid w:val="00C90BF2"/>
    <w:rsid w:val="00C90CBA"/>
    <w:rsid w:val="00C90CF6"/>
    <w:rsid w:val="00C90E51"/>
    <w:rsid w:val="00C90EDB"/>
    <w:rsid w:val="00C90EDF"/>
    <w:rsid w:val="00C9100E"/>
    <w:rsid w:val="00C91063"/>
    <w:rsid w:val="00C910D3"/>
    <w:rsid w:val="00C910DD"/>
    <w:rsid w:val="00C91271"/>
    <w:rsid w:val="00C91326"/>
    <w:rsid w:val="00C919CE"/>
    <w:rsid w:val="00C91A35"/>
    <w:rsid w:val="00C91B46"/>
    <w:rsid w:val="00C91C7A"/>
    <w:rsid w:val="00C91CBF"/>
    <w:rsid w:val="00C91DD6"/>
    <w:rsid w:val="00C91E42"/>
    <w:rsid w:val="00C91EFE"/>
    <w:rsid w:val="00C92003"/>
    <w:rsid w:val="00C92035"/>
    <w:rsid w:val="00C92184"/>
    <w:rsid w:val="00C9224B"/>
    <w:rsid w:val="00C9237E"/>
    <w:rsid w:val="00C9243D"/>
    <w:rsid w:val="00C924A8"/>
    <w:rsid w:val="00C924D3"/>
    <w:rsid w:val="00C925CF"/>
    <w:rsid w:val="00C927E3"/>
    <w:rsid w:val="00C92803"/>
    <w:rsid w:val="00C9296F"/>
    <w:rsid w:val="00C92A30"/>
    <w:rsid w:val="00C92A63"/>
    <w:rsid w:val="00C92C19"/>
    <w:rsid w:val="00C92C1D"/>
    <w:rsid w:val="00C92C7C"/>
    <w:rsid w:val="00C92EB1"/>
    <w:rsid w:val="00C92EEF"/>
    <w:rsid w:val="00C9310A"/>
    <w:rsid w:val="00C93140"/>
    <w:rsid w:val="00C93173"/>
    <w:rsid w:val="00C932C0"/>
    <w:rsid w:val="00C93308"/>
    <w:rsid w:val="00C9352B"/>
    <w:rsid w:val="00C936B8"/>
    <w:rsid w:val="00C93990"/>
    <w:rsid w:val="00C93B6B"/>
    <w:rsid w:val="00C93C02"/>
    <w:rsid w:val="00C93CA7"/>
    <w:rsid w:val="00C93CC5"/>
    <w:rsid w:val="00C93CDC"/>
    <w:rsid w:val="00C93CF4"/>
    <w:rsid w:val="00C93D9D"/>
    <w:rsid w:val="00C93DCA"/>
    <w:rsid w:val="00C93DE4"/>
    <w:rsid w:val="00C93ED0"/>
    <w:rsid w:val="00C93ED1"/>
    <w:rsid w:val="00C93EF2"/>
    <w:rsid w:val="00C9405A"/>
    <w:rsid w:val="00C940A5"/>
    <w:rsid w:val="00C9413E"/>
    <w:rsid w:val="00C941C5"/>
    <w:rsid w:val="00C94432"/>
    <w:rsid w:val="00C9459E"/>
    <w:rsid w:val="00C945FE"/>
    <w:rsid w:val="00C9476E"/>
    <w:rsid w:val="00C947D3"/>
    <w:rsid w:val="00C94815"/>
    <w:rsid w:val="00C94848"/>
    <w:rsid w:val="00C94BC9"/>
    <w:rsid w:val="00C94C5A"/>
    <w:rsid w:val="00C94C99"/>
    <w:rsid w:val="00C94DD3"/>
    <w:rsid w:val="00C94E4C"/>
    <w:rsid w:val="00C94EFD"/>
    <w:rsid w:val="00C94F4C"/>
    <w:rsid w:val="00C95149"/>
    <w:rsid w:val="00C95280"/>
    <w:rsid w:val="00C952A5"/>
    <w:rsid w:val="00C952CC"/>
    <w:rsid w:val="00C95308"/>
    <w:rsid w:val="00C95387"/>
    <w:rsid w:val="00C95447"/>
    <w:rsid w:val="00C95469"/>
    <w:rsid w:val="00C955DB"/>
    <w:rsid w:val="00C9561D"/>
    <w:rsid w:val="00C9562C"/>
    <w:rsid w:val="00C95672"/>
    <w:rsid w:val="00C9570E"/>
    <w:rsid w:val="00C95798"/>
    <w:rsid w:val="00C957B3"/>
    <w:rsid w:val="00C957E2"/>
    <w:rsid w:val="00C9586A"/>
    <w:rsid w:val="00C95903"/>
    <w:rsid w:val="00C95949"/>
    <w:rsid w:val="00C959E2"/>
    <w:rsid w:val="00C95C9B"/>
    <w:rsid w:val="00C95E7F"/>
    <w:rsid w:val="00C95F1C"/>
    <w:rsid w:val="00C95F81"/>
    <w:rsid w:val="00C95FAD"/>
    <w:rsid w:val="00C961DF"/>
    <w:rsid w:val="00C962ED"/>
    <w:rsid w:val="00C96390"/>
    <w:rsid w:val="00C963D7"/>
    <w:rsid w:val="00C963E8"/>
    <w:rsid w:val="00C9651B"/>
    <w:rsid w:val="00C965EE"/>
    <w:rsid w:val="00C967CD"/>
    <w:rsid w:val="00C968F6"/>
    <w:rsid w:val="00C96922"/>
    <w:rsid w:val="00C96A5C"/>
    <w:rsid w:val="00C96A66"/>
    <w:rsid w:val="00C96B4B"/>
    <w:rsid w:val="00C96C8E"/>
    <w:rsid w:val="00C96D44"/>
    <w:rsid w:val="00C96DC0"/>
    <w:rsid w:val="00C96E55"/>
    <w:rsid w:val="00C96F6D"/>
    <w:rsid w:val="00C97024"/>
    <w:rsid w:val="00C97174"/>
    <w:rsid w:val="00C97209"/>
    <w:rsid w:val="00C9728E"/>
    <w:rsid w:val="00C972A8"/>
    <w:rsid w:val="00C973A1"/>
    <w:rsid w:val="00C97666"/>
    <w:rsid w:val="00C978F3"/>
    <w:rsid w:val="00C97BF7"/>
    <w:rsid w:val="00C97CA0"/>
    <w:rsid w:val="00C97E2F"/>
    <w:rsid w:val="00C97EF9"/>
    <w:rsid w:val="00CA015B"/>
    <w:rsid w:val="00CA026A"/>
    <w:rsid w:val="00CA041C"/>
    <w:rsid w:val="00CA0566"/>
    <w:rsid w:val="00CA0765"/>
    <w:rsid w:val="00CA0774"/>
    <w:rsid w:val="00CA07F9"/>
    <w:rsid w:val="00CA0963"/>
    <w:rsid w:val="00CA0E2F"/>
    <w:rsid w:val="00CA0EEB"/>
    <w:rsid w:val="00CA10C5"/>
    <w:rsid w:val="00CA10E6"/>
    <w:rsid w:val="00CA11C3"/>
    <w:rsid w:val="00CA1259"/>
    <w:rsid w:val="00CA13AF"/>
    <w:rsid w:val="00CA13E0"/>
    <w:rsid w:val="00CA13EE"/>
    <w:rsid w:val="00CA1423"/>
    <w:rsid w:val="00CA1541"/>
    <w:rsid w:val="00CA1754"/>
    <w:rsid w:val="00CA192C"/>
    <w:rsid w:val="00CA19AD"/>
    <w:rsid w:val="00CA1C80"/>
    <w:rsid w:val="00CA1D6C"/>
    <w:rsid w:val="00CA1DBC"/>
    <w:rsid w:val="00CA1E68"/>
    <w:rsid w:val="00CA1FF7"/>
    <w:rsid w:val="00CA2113"/>
    <w:rsid w:val="00CA21C3"/>
    <w:rsid w:val="00CA2624"/>
    <w:rsid w:val="00CA273F"/>
    <w:rsid w:val="00CA2AE3"/>
    <w:rsid w:val="00CA2C63"/>
    <w:rsid w:val="00CA2D95"/>
    <w:rsid w:val="00CA2DBD"/>
    <w:rsid w:val="00CA30EA"/>
    <w:rsid w:val="00CA30F2"/>
    <w:rsid w:val="00CA3235"/>
    <w:rsid w:val="00CA33B1"/>
    <w:rsid w:val="00CA3489"/>
    <w:rsid w:val="00CA350C"/>
    <w:rsid w:val="00CA368F"/>
    <w:rsid w:val="00CA3918"/>
    <w:rsid w:val="00CA3D65"/>
    <w:rsid w:val="00CA3DB0"/>
    <w:rsid w:val="00CA3DF4"/>
    <w:rsid w:val="00CA3ED2"/>
    <w:rsid w:val="00CA3F5E"/>
    <w:rsid w:val="00CA4085"/>
    <w:rsid w:val="00CA4130"/>
    <w:rsid w:val="00CA4180"/>
    <w:rsid w:val="00CA420D"/>
    <w:rsid w:val="00CA4215"/>
    <w:rsid w:val="00CA445B"/>
    <w:rsid w:val="00CA4730"/>
    <w:rsid w:val="00CA49AC"/>
    <w:rsid w:val="00CA4A69"/>
    <w:rsid w:val="00CA4C55"/>
    <w:rsid w:val="00CA4D3E"/>
    <w:rsid w:val="00CA4D8A"/>
    <w:rsid w:val="00CA4DC2"/>
    <w:rsid w:val="00CA4DE3"/>
    <w:rsid w:val="00CA4EDE"/>
    <w:rsid w:val="00CA4F63"/>
    <w:rsid w:val="00CA50AA"/>
    <w:rsid w:val="00CA51C8"/>
    <w:rsid w:val="00CA54EC"/>
    <w:rsid w:val="00CA575B"/>
    <w:rsid w:val="00CA5781"/>
    <w:rsid w:val="00CA57D8"/>
    <w:rsid w:val="00CA59C2"/>
    <w:rsid w:val="00CA5CC0"/>
    <w:rsid w:val="00CA5D7F"/>
    <w:rsid w:val="00CA5E12"/>
    <w:rsid w:val="00CA5E34"/>
    <w:rsid w:val="00CA5FA3"/>
    <w:rsid w:val="00CA5FEE"/>
    <w:rsid w:val="00CA609C"/>
    <w:rsid w:val="00CA6339"/>
    <w:rsid w:val="00CA650E"/>
    <w:rsid w:val="00CA65A0"/>
    <w:rsid w:val="00CA665D"/>
    <w:rsid w:val="00CA6774"/>
    <w:rsid w:val="00CA6845"/>
    <w:rsid w:val="00CA6973"/>
    <w:rsid w:val="00CA6B02"/>
    <w:rsid w:val="00CA6D12"/>
    <w:rsid w:val="00CA6F47"/>
    <w:rsid w:val="00CA7046"/>
    <w:rsid w:val="00CA713F"/>
    <w:rsid w:val="00CA725B"/>
    <w:rsid w:val="00CA72D3"/>
    <w:rsid w:val="00CA7482"/>
    <w:rsid w:val="00CA75E1"/>
    <w:rsid w:val="00CA76B2"/>
    <w:rsid w:val="00CA7754"/>
    <w:rsid w:val="00CA77E1"/>
    <w:rsid w:val="00CA78A2"/>
    <w:rsid w:val="00CA78C4"/>
    <w:rsid w:val="00CA79F5"/>
    <w:rsid w:val="00CA7A43"/>
    <w:rsid w:val="00CA7A6D"/>
    <w:rsid w:val="00CA7B21"/>
    <w:rsid w:val="00CA7C04"/>
    <w:rsid w:val="00CA7E65"/>
    <w:rsid w:val="00CA7E7D"/>
    <w:rsid w:val="00CB019B"/>
    <w:rsid w:val="00CB0332"/>
    <w:rsid w:val="00CB0357"/>
    <w:rsid w:val="00CB03D0"/>
    <w:rsid w:val="00CB0468"/>
    <w:rsid w:val="00CB05FB"/>
    <w:rsid w:val="00CB09AD"/>
    <w:rsid w:val="00CB0B45"/>
    <w:rsid w:val="00CB0B6F"/>
    <w:rsid w:val="00CB0C15"/>
    <w:rsid w:val="00CB0D2C"/>
    <w:rsid w:val="00CB0DE9"/>
    <w:rsid w:val="00CB0EAE"/>
    <w:rsid w:val="00CB0F31"/>
    <w:rsid w:val="00CB0F45"/>
    <w:rsid w:val="00CB0FBE"/>
    <w:rsid w:val="00CB10DB"/>
    <w:rsid w:val="00CB10F6"/>
    <w:rsid w:val="00CB115F"/>
    <w:rsid w:val="00CB116D"/>
    <w:rsid w:val="00CB1580"/>
    <w:rsid w:val="00CB1593"/>
    <w:rsid w:val="00CB1A2A"/>
    <w:rsid w:val="00CB1A67"/>
    <w:rsid w:val="00CB1D1F"/>
    <w:rsid w:val="00CB1FE1"/>
    <w:rsid w:val="00CB2064"/>
    <w:rsid w:val="00CB2164"/>
    <w:rsid w:val="00CB21A2"/>
    <w:rsid w:val="00CB2276"/>
    <w:rsid w:val="00CB23EC"/>
    <w:rsid w:val="00CB25F4"/>
    <w:rsid w:val="00CB261B"/>
    <w:rsid w:val="00CB26FB"/>
    <w:rsid w:val="00CB2794"/>
    <w:rsid w:val="00CB297D"/>
    <w:rsid w:val="00CB2C9E"/>
    <w:rsid w:val="00CB2D52"/>
    <w:rsid w:val="00CB2DD6"/>
    <w:rsid w:val="00CB2F88"/>
    <w:rsid w:val="00CB30EF"/>
    <w:rsid w:val="00CB319A"/>
    <w:rsid w:val="00CB31D9"/>
    <w:rsid w:val="00CB3315"/>
    <w:rsid w:val="00CB340D"/>
    <w:rsid w:val="00CB379C"/>
    <w:rsid w:val="00CB3850"/>
    <w:rsid w:val="00CB388E"/>
    <w:rsid w:val="00CB38F8"/>
    <w:rsid w:val="00CB398B"/>
    <w:rsid w:val="00CB3B4D"/>
    <w:rsid w:val="00CB3C46"/>
    <w:rsid w:val="00CB3CBC"/>
    <w:rsid w:val="00CB3D6D"/>
    <w:rsid w:val="00CB3D9A"/>
    <w:rsid w:val="00CB3E4F"/>
    <w:rsid w:val="00CB3FD4"/>
    <w:rsid w:val="00CB4093"/>
    <w:rsid w:val="00CB413B"/>
    <w:rsid w:val="00CB427F"/>
    <w:rsid w:val="00CB4357"/>
    <w:rsid w:val="00CB443A"/>
    <w:rsid w:val="00CB4587"/>
    <w:rsid w:val="00CB4733"/>
    <w:rsid w:val="00CB4903"/>
    <w:rsid w:val="00CB49AE"/>
    <w:rsid w:val="00CB4A15"/>
    <w:rsid w:val="00CB4B4B"/>
    <w:rsid w:val="00CB4F4E"/>
    <w:rsid w:val="00CB4F9B"/>
    <w:rsid w:val="00CB52DF"/>
    <w:rsid w:val="00CB53AD"/>
    <w:rsid w:val="00CB5422"/>
    <w:rsid w:val="00CB56C2"/>
    <w:rsid w:val="00CB58D7"/>
    <w:rsid w:val="00CB5988"/>
    <w:rsid w:val="00CB5AA8"/>
    <w:rsid w:val="00CB5D6F"/>
    <w:rsid w:val="00CB5DB8"/>
    <w:rsid w:val="00CB5E24"/>
    <w:rsid w:val="00CB5EC7"/>
    <w:rsid w:val="00CB5FB0"/>
    <w:rsid w:val="00CB60E1"/>
    <w:rsid w:val="00CB62EF"/>
    <w:rsid w:val="00CB638C"/>
    <w:rsid w:val="00CB64E6"/>
    <w:rsid w:val="00CB661D"/>
    <w:rsid w:val="00CB67F6"/>
    <w:rsid w:val="00CB67FD"/>
    <w:rsid w:val="00CB69F2"/>
    <w:rsid w:val="00CB6BA0"/>
    <w:rsid w:val="00CB6BE4"/>
    <w:rsid w:val="00CB6DAB"/>
    <w:rsid w:val="00CB6F80"/>
    <w:rsid w:val="00CB708C"/>
    <w:rsid w:val="00CB7181"/>
    <w:rsid w:val="00CB71C4"/>
    <w:rsid w:val="00CB71D0"/>
    <w:rsid w:val="00CB724E"/>
    <w:rsid w:val="00CB72D1"/>
    <w:rsid w:val="00CB746B"/>
    <w:rsid w:val="00CB74DA"/>
    <w:rsid w:val="00CB74E5"/>
    <w:rsid w:val="00CB75C4"/>
    <w:rsid w:val="00CB76B3"/>
    <w:rsid w:val="00CB773B"/>
    <w:rsid w:val="00CB77AE"/>
    <w:rsid w:val="00CB7851"/>
    <w:rsid w:val="00CB78CB"/>
    <w:rsid w:val="00CB7984"/>
    <w:rsid w:val="00CB79CA"/>
    <w:rsid w:val="00CB7B06"/>
    <w:rsid w:val="00CB7BC8"/>
    <w:rsid w:val="00CB7D61"/>
    <w:rsid w:val="00CC0052"/>
    <w:rsid w:val="00CC011A"/>
    <w:rsid w:val="00CC028B"/>
    <w:rsid w:val="00CC037E"/>
    <w:rsid w:val="00CC06A8"/>
    <w:rsid w:val="00CC0C9B"/>
    <w:rsid w:val="00CC0D23"/>
    <w:rsid w:val="00CC0D47"/>
    <w:rsid w:val="00CC0D81"/>
    <w:rsid w:val="00CC0E2B"/>
    <w:rsid w:val="00CC0FC4"/>
    <w:rsid w:val="00CC1071"/>
    <w:rsid w:val="00CC10C5"/>
    <w:rsid w:val="00CC11BA"/>
    <w:rsid w:val="00CC14BF"/>
    <w:rsid w:val="00CC16C2"/>
    <w:rsid w:val="00CC179A"/>
    <w:rsid w:val="00CC1A96"/>
    <w:rsid w:val="00CC1C0E"/>
    <w:rsid w:val="00CC1C46"/>
    <w:rsid w:val="00CC1D21"/>
    <w:rsid w:val="00CC1D69"/>
    <w:rsid w:val="00CC1D73"/>
    <w:rsid w:val="00CC1E29"/>
    <w:rsid w:val="00CC1F61"/>
    <w:rsid w:val="00CC1FDE"/>
    <w:rsid w:val="00CC2066"/>
    <w:rsid w:val="00CC218A"/>
    <w:rsid w:val="00CC22BF"/>
    <w:rsid w:val="00CC22CB"/>
    <w:rsid w:val="00CC22E1"/>
    <w:rsid w:val="00CC2365"/>
    <w:rsid w:val="00CC237F"/>
    <w:rsid w:val="00CC239D"/>
    <w:rsid w:val="00CC2470"/>
    <w:rsid w:val="00CC24AF"/>
    <w:rsid w:val="00CC24CD"/>
    <w:rsid w:val="00CC25CF"/>
    <w:rsid w:val="00CC261D"/>
    <w:rsid w:val="00CC269A"/>
    <w:rsid w:val="00CC2979"/>
    <w:rsid w:val="00CC29CA"/>
    <w:rsid w:val="00CC2C9D"/>
    <w:rsid w:val="00CC2E0D"/>
    <w:rsid w:val="00CC2E23"/>
    <w:rsid w:val="00CC309E"/>
    <w:rsid w:val="00CC3192"/>
    <w:rsid w:val="00CC324D"/>
    <w:rsid w:val="00CC3255"/>
    <w:rsid w:val="00CC32E0"/>
    <w:rsid w:val="00CC35E9"/>
    <w:rsid w:val="00CC388C"/>
    <w:rsid w:val="00CC39B7"/>
    <w:rsid w:val="00CC3C0A"/>
    <w:rsid w:val="00CC3C86"/>
    <w:rsid w:val="00CC3C8D"/>
    <w:rsid w:val="00CC3CB4"/>
    <w:rsid w:val="00CC3E00"/>
    <w:rsid w:val="00CC3EAD"/>
    <w:rsid w:val="00CC3F66"/>
    <w:rsid w:val="00CC4101"/>
    <w:rsid w:val="00CC41C0"/>
    <w:rsid w:val="00CC41DE"/>
    <w:rsid w:val="00CC4225"/>
    <w:rsid w:val="00CC423E"/>
    <w:rsid w:val="00CC426F"/>
    <w:rsid w:val="00CC44CC"/>
    <w:rsid w:val="00CC4578"/>
    <w:rsid w:val="00CC458C"/>
    <w:rsid w:val="00CC460C"/>
    <w:rsid w:val="00CC4721"/>
    <w:rsid w:val="00CC4782"/>
    <w:rsid w:val="00CC4939"/>
    <w:rsid w:val="00CC4BB6"/>
    <w:rsid w:val="00CC4C00"/>
    <w:rsid w:val="00CC4E86"/>
    <w:rsid w:val="00CC5039"/>
    <w:rsid w:val="00CC5074"/>
    <w:rsid w:val="00CC50B5"/>
    <w:rsid w:val="00CC50F8"/>
    <w:rsid w:val="00CC514F"/>
    <w:rsid w:val="00CC51C6"/>
    <w:rsid w:val="00CC5359"/>
    <w:rsid w:val="00CC5366"/>
    <w:rsid w:val="00CC5453"/>
    <w:rsid w:val="00CC5740"/>
    <w:rsid w:val="00CC58E4"/>
    <w:rsid w:val="00CC595D"/>
    <w:rsid w:val="00CC596D"/>
    <w:rsid w:val="00CC5A3C"/>
    <w:rsid w:val="00CC5AEA"/>
    <w:rsid w:val="00CC5C4D"/>
    <w:rsid w:val="00CC5C80"/>
    <w:rsid w:val="00CC5D8E"/>
    <w:rsid w:val="00CC608D"/>
    <w:rsid w:val="00CC610D"/>
    <w:rsid w:val="00CC6343"/>
    <w:rsid w:val="00CC679A"/>
    <w:rsid w:val="00CC6951"/>
    <w:rsid w:val="00CC69A1"/>
    <w:rsid w:val="00CC6C28"/>
    <w:rsid w:val="00CC7065"/>
    <w:rsid w:val="00CC7094"/>
    <w:rsid w:val="00CC7120"/>
    <w:rsid w:val="00CC7238"/>
    <w:rsid w:val="00CC732E"/>
    <w:rsid w:val="00CC73FC"/>
    <w:rsid w:val="00CC7504"/>
    <w:rsid w:val="00CC7521"/>
    <w:rsid w:val="00CC7543"/>
    <w:rsid w:val="00CC75DB"/>
    <w:rsid w:val="00CC7610"/>
    <w:rsid w:val="00CC7646"/>
    <w:rsid w:val="00CC7706"/>
    <w:rsid w:val="00CC79B8"/>
    <w:rsid w:val="00CC79CD"/>
    <w:rsid w:val="00CC7ABE"/>
    <w:rsid w:val="00CC7BA3"/>
    <w:rsid w:val="00CC7C1B"/>
    <w:rsid w:val="00CC7CB7"/>
    <w:rsid w:val="00CC7D36"/>
    <w:rsid w:val="00CC7D80"/>
    <w:rsid w:val="00CC7E75"/>
    <w:rsid w:val="00CC7E91"/>
    <w:rsid w:val="00CC7EC9"/>
    <w:rsid w:val="00CC7ED4"/>
    <w:rsid w:val="00CC7EE8"/>
    <w:rsid w:val="00CC7F33"/>
    <w:rsid w:val="00CC7FD1"/>
    <w:rsid w:val="00CD0048"/>
    <w:rsid w:val="00CD009E"/>
    <w:rsid w:val="00CD00B3"/>
    <w:rsid w:val="00CD00DE"/>
    <w:rsid w:val="00CD0383"/>
    <w:rsid w:val="00CD03B2"/>
    <w:rsid w:val="00CD0622"/>
    <w:rsid w:val="00CD06E5"/>
    <w:rsid w:val="00CD071F"/>
    <w:rsid w:val="00CD08E2"/>
    <w:rsid w:val="00CD09BB"/>
    <w:rsid w:val="00CD0A2D"/>
    <w:rsid w:val="00CD0B83"/>
    <w:rsid w:val="00CD0BC0"/>
    <w:rsid w:val="00CD0DE4"/>
    <w:rsid w:val="00CD0E12"/>
    <w:rsid w:val="00CD0FA7"/>
    <w:rsid w:val="00CD103E"/>
    <w:rsid w:val="00CD10E3"/>
    <w:rsid w:val="00CD1182"/>
    <w:rsid w:val="00CD12FE"/>
    <w:rsid w:val="00CD1328"/>
    <w:rsid w:val="00CD1534"/>
    <w:rsid w:val="00CD17BE"/>
    <w:rsid w:val="00CD18C7"/>
    <w:rsid w:val="00CD18F6"/>
    <w:rsid w:val="00CD19D5"/>
    <w:rsid w:val="00CD1A9D"/>
    <w:rsid w:val="00CD1ABB"/>
    <w:rsid w:val="00CD1ABE"/>
    <w:rsid w:val="00CD1BAE"/>
    <w:rsid w:val="00CD1D04"/>
    <w:rsid w:val="00CD1D60"/>
    <w:rsid w:val="00CD1ED0"/>
    <w:rsid w:val="00CD2004"/>
    <w:rsid w:val="00CD21F7"/>
    <w:rsid w:val="00CD2237"/>
    <w:rsid w:val="00CD24C5"/>
    <w:rsid w:val="00CD259F"/>
    <w:rsid w:val="00CD25AC"/>
    <w:rsid w:val="00CD26D3"/>
    <w:rsid w:val="00CD2821"/>
    <w:rsid w:val="00CD2B72"/>
    <w:rsid w:val="00CD2BBD"/>
    <w:rsid w:val="00CD2C74"/>
    <w:rsid w:val="00CD2D46"/>
    <w:rsid w:val="00CD2DC4"/>
    <w:rsid w:val="00CD2EF0"/>
    <w:rsid w:val="00CD3029"/>
    <w:rsid w:val="00CD313E"/>
    <w:rsid w:val="00CD327C"/>
    <w:rsid w:val="00CD3287"/>
    <w:rsid w:val="00CD32FF"/>
    <w:rsid w:val="00CD3328"/>
    <w:rsid w:val="00CD33AD"/>
    <w:rsid w:val="00CD342A"/>
    <w:rsid w:val="00CD35E1"/>
    <w:rsid w:val="00CD37CC"/>
    <w:rsid w:val="00CD380C"/>
    <w:rsid w:val="00CD3854"/>
    <w:rsid w:val="00CD394E"/>
    <w:rsid w:val="00CD3BEA"/>
    <w:rsid w:val="00CD3BF0"/>
    <w:rsid w:val="00CD3D1E"/>
    <w:rsid w:val="00CD404B"/>
    <w:rsid w:val="00CD4086"/>
    <w:rsid w:val="00CD40F6"/>
    <w:rsid w:val="00CD423A"/>
    <w:rsid w:val="00CD42F2"/>
    <w:rsid w:val="00CD43C0"/>
    <w:rsid w:val="00CD4493"/>
    <w:rsid w:val="00CD44C3"/>
    <w:rsid w:val="00CD44F1"/>
    <w:rsid w:val="00CD4658"/>
    <w:rsid w:val="00CD467B"/>
    <w:rsid w:val="00CD486B"/>
    <w:rsid w:val="00CD4ACF"/>
    <w:rsid w:val="00CD4BB2"/>
    <w:rsid w:val="00CD4C45"/>
    <w:rsid w:val="00CD4C51"/>
    <w:rsid w:val="00CD4D49"/>
    <w:rsid w:val="00CD4DF5"/>
    <w:rsid w:val="00CD4F09"/>
    <w:rsid w:val="00CD50C1"/>
    <w:rsid w:val="00CD51C2"/>
    <w:rsid w:val="00CD531F"/>
    <w:rsid w:val="00CD53FE"/>
    <w:rsid w:val="00CD58B7"/>
    <w:rsid w:val="00CD5944"/>
    <w:rsid w:val="00CD5A11"/>
    <w:rsid w:val="00CD5A24"/>
    <w:rsid w:val="00CD5AC7"/>
    <w:rsid w:val="00CD5B0A"/>
    <w:rsid w:val="00CD5D4D"/>
    <w:rsid w:val="00CD5FAC"/>
    <w:rsid w:val="00CD5FFC"/>
    <w:rsid w:val="00CD612A"/>
    <w:rsid w:val="00CD625E"/>
    <w:rsid w:val="00CD6362"/>
    <w:rsid w:val="00CD6397"/>
    <w:rsid w:val="00CD64DB"/>
    <w:rsid w:val="00CD6528"/>
    <w:rsid w:val="00CD65AF"/>
    <w:rsid w:val="00CD6615"/>
    <w:rsid w:val="00CD6892"/>
    <w:rsid w:val="00CD6C23"/>
    <w:rsid w:val="00CD6C7F"/>
    <w:rsid w:val="00CD6DFC"/>
    <w:rsid w:val="00CD6E43"/>
    <w:rsid w:val="00CD6E85"/>
    <w:rsid w:val="00CD6E88"/>
    <w:rsid w:val="00CD6EC5"/>
    <w:rsid w:val="00CD6F31"/>
    <w:rsid w:val="00CD6F66"/>
    <w:rsid w:val="00CD6FDF"/>
    <w:rsid w:val="00CD7008"/>
    <w:rsid w:val="00CD7226"/>
    <w:rsid w:val="00CD7309"/>
    <w:rsid w:val="00CD73FE"/>
    <w:rsid w:val="00CD746C"/>
    <w:rsid w:val="00CD76F2"/>
    <w:rsid w:val="00CD7886"/>
    <w:rsid w:val="00CD7894"/>
    <w:rsid w:val="00CD78B8"/>
    <w:rsid w:val="00CD7997"/>
    <w:rsid w:val="00CD7AEB"/>
    <w:rsid w:val="00CD7E95"/>
    <w:rsid w:val="00CE0013"/>
    <w:rsid w:val="00CE035A"/>
    <w:rsid w:val="00CE0595"/>
    <w:rsid w:val="00CE0C42"/>
    <w:rsid w:val="00CE0D0C"/>
    <w:rsid w:val="00CE0D9E"/>
    <w:rsid w:val="00CE0DA2"/>
    <w:rsid w:val="00CE0F16"/>
    <w:rsid w:val="00CE0F4A"/>
    <w:rsid w:val="00CE119D"/>
    <w:rsid w:val="00CE11B2"/>
    <w:rsid w:val="00CE1341"/>
    <w:rsid w:val="00CE13E8"/>
    <w:rsid w:val="00CE147A"/>
    <w:rsid w:val="00CE1625"/>
    <w:rsid w:val="00CE1770"/>
    <w:rsid w:val="00CE178B"/>
    <w:rsid w:val="00CE1BF2"/>
    <w:rsid w:val="00CE1CA8"/>
    <w:rsid w:val="00CE1DA1"/>
    <w:rsid w:val="00CE1F7B"/>
    <w:rsid w:val="00CE22B4"/>
    <w:rsid w:val="00CE2312"/>
    <w:rsid w:val="00CE234D"/>
    <w:rsid w:val="00CE2466"/>
    <w:rsid w:val="00CE2588"/>
    <w:rsid w:val="00CE2598"/>
    <w:rsid w:val="00CE2661"/>
    <w:rsid w:val="00CE26AF"/>
    <w:rsid w:val="00CE270F"/>
    <w:rsid w:val="00CE2941"/>
    <w:rsid w:val="00CE2974"/>
    <w:rsid w:val="00CE2BAA"/>
    <w:rsid w:val="00CE2DF1"/>
    <w:rsid w:val="00CE2E00"/>
    <w:rsid w:val="00CE2E74"/>
    <w:rsid w:val="00CE3395"/>
    <w:rsid w:val="00CE359D"/>
    <w:rsid w:val="00CE362F"/>
    <w:rsid w:val="00CE37DC"/>
    <w:rsid w:val="00CE37FB"/>
    <w:rsid w:val="00CE3800"/>
    <w:rsid w:val="00CE394C"/>
    <w:rsid w:val="00CE3962"/>
    <w:rsid w:val="00CE3AB0"/>
    <w:rsid w:val="00CE3F0E"/>
    <w:rsid w:val="00CE3F41"/>
    <w:rsid w:val="00CE417C"/>
    <w:rsid w:val="00CE419B"/>
    <w:rsid w:val="00CE4271"/>
    <w:rsid w:val="00CE427C"/>
    <w:rsid w:val="00CE453F"/>
    <w:rsid w:val="00CE466F"/>
    <w:rsid w:val="00CE4718"/>
    <w:rsid w:val="00CE49A9"/>
    <w:rsid w:val="00CE4A32"/>
    <w:rsid w:val="00CE4A5F"/>
    <w:rsid w:val="00CE4BF9"/>
    <w:rsid w:val="00CE4C86"/>
    <w:rsid w:val="00CE4D0C"/>
    <w:rsid w:val="00CE4D0D"/>
    <w:rsid w:val="00CE4D77"/>
    <w:rsid w:val="00CE4DDB"/>
    <w:rsid w:val="00CE5028"/>
    <w:rsid w:val="00CE50B9"/>
    <w:rsid w:val="00CE512A"/>
    <w:rsid w:val="00CE5153"/>
    <w:rsid w:val="00CE517C"/>
    <w:rsid w:val="00CE51F2"/>
    <w:rsid w:val="00CE5271"/>
    <w:rsid w:val="00CE55DB"/>
    <w:rsid w:val="00CE56EE"/>
    <w:rsid w:val="00CE5701"/>
    <w:rsid w:val="00CE588C"/>
    <w:rsid w:val="00CE595D"/>
    <w:rsid w:val="00CE5985"/>
    <w:rsid w:val="00CE5A3A"/>
    <w:rsid w:val="00CE5B45"/>
    <w:rsid w:val="00CE5C73"/>
    <w:rsid w:val="00CE5D7E"/>
    <w:rsid w:val="00CE5E53"/>
    <w:rsid w:val="00CE5F80"/>
    <w:rsid w:val="00CE6015"/>
    <w:rsid w:val="00CE608F"/>
    <w:rsid w:val="00CE61F6"/>
    <w:rsid w:val="00CE641F"/>
    <w:rsid w:val="00CE6429"/>
    <w:rsid w:val="00CE64A1"/>
    <w:rsid w:val="00CE656B"/>
    <w:rsid w:val="00CE69DD"/>
    <w:rsid w:val="00CE6B5F"/>
    <w:rsid w:val="00CE6B75"/>
    <w:rsid w:val="00CE6C86"/>
    <w:rsid w:val="00CE6E34"/>
    <w:rsid w:val="00CE6EE3"/>
    <w:rsid w:val="00CE7134"/>
    <w:rsid w:val="00CE713C"/>
    <w:rsid w:val="00CE71FA"/>
    <w:rsid w:val="00CE727F"/>
    <w:rsid w:val="00CE73ED"/>
    <w:rsid w:val="00CE7481"/>
    <w:rsid w:val="00CE74C3"/>
    <w:rsid w:val="00CE75FE"/>
    <w:rsid w:val="00CE76EE"/>
    <w:rsid w:val="00CE76F6"/>
    <w:rsid w:val="00CE77AD"/>
    <w:rsid w:val="00CE79B2"/>
    <w:rsid w:val="00CE7C49"/>
    <w:rsid w:val="00CE7CC5"/>
    <w:rsid w:val="00CE7D00"/>
    <w:rsid w:val="00CE7D49"/>
    <w:rsid w:val="00CE7DAB"/>
    <w:rsid w:val="00CE7F1E"/>
    <w:rsid w:val="00CF00B8"/>
    <w:rsid w:val="00CF020A"/>
    <w:rsid w:val="00CF026D"/>
    <w:rsid w:val="00CF0534"/>
    <w:rsid w:val="00CF0687"/>
    <w:rsid w:val="00CF0853"/>
    <w:rsid w:val="00CF0B2D"/>
    <w:rsid w:val="00CF0CA5"/>
    <w:rsid w:val="00CF0F28"/>
    <w:rsid w:val="00CF0F9E"/>
    <w:rsid w:val="00CF0FBA"/>
    <w:rsid w:val="00CF0FC0"/>
    <w:rsid w:val="00CF0FDF"/>
    <w:rsid w:val="00CF12F4"/>
    <w:rsid w:val="00CF14C3"/>
    <w:rsid w:val="00CF14FC"/>
    <w:rsid w:val="00CF16E6"/>
    <w:rsid w:val="00CF1816"/>
    <w:rsid w:val="00CF19BE"/>
    <w:rsid w:val="00CF1A91"/>
    <w:rsid w:val="00CF1BB5"/>
    <w:rsid w:val="00CF1BE7"/>
    <w:rsid w:val="00CF1BF0"/>
    <w:rsid w:val="00CF1C65"/>
    <w:rsid w:val="00CF1C86"/>
    <w:rsid w:val="00CF1DA3"/>
    <w:rsid w:val="00CF1DB2"/>
    <w:rsid w:val="00CF1DEB"/>
    <w:rsid w:val="00CF1E4D"/>
    <w:rsid w:val="00CF201C"/>
    <w:rsid w:val="00CF2129"/>
    <w:rsid w:val="00CF2160"/>
    <w:rsid w:val="00CF22B4"/>
    <w:rsid w:val="00CF234F"/>
    <w:rsid w:val="00CF244F"/>
    <w:rsid w:val="00CF24C3"/>
    <w:rsid w:val="00CF2654"/>
    <w:rsid w:val="00CF278D"/>
    <w:rsid w:val="00CF2827"/>
    <w:rsid w:val="00CF2A1E"/>
    <w:rsid w:val="00CF2AC6"/>
    <w:rsid w:val="00CF2BA3"/>
    <w:rsid w:val="00CF2C0C"/>
    <w:rsid w:val="00CF2C4E"/>
    <w:rsid w:val="00CF307E"/>
    <w:rsid w:val="00CF30AC"/>
    <w:rsid w:val="00CF3182"/>
    <w:rsid w:val="00CF32CE"/>
    <w:rsid w:val="00CF3349"/>
    <w:rsid w:val="00CF3864"/>
    <w:rsid w:val="00CF38A0"/>
    <w:rsid w:val="00CF39AE"/>
    <w:rsid w:val="00CF3A02"/>
    <w:rsid w:val="00CF3A38"/>
    <w:rsid w:val="00CF3A74"/>
    <w:rsid w:val="00CF3BAB"/>
    <w:rsid w:val="00CF3BFB"/>
    <w:rsid w:val="00CF3CEF"/>
    <w:rsid w:val="00CF3F48"/>
    <w:rsid w:val="00CF4386"/>
    <w:rsid w:val="00CF448F"/>
    <w:rsid w:val="00CF4572"/>
    <w:rsid w:val="00CF45A6"/>
    <w:rsid w:val="00CF477A"/>
    <w:rsid w:val="00CF4A65"/>
    <w:rsid w:val="00CF4B45"/>
    <w:rsid w:val="00CF4C73"/>
    <w:rsid w:val="00CF4C91"/>
    <w:rsid w:val="00CF4D7F"/>
    <w:rsid w:val="00CF4DFF"/>
    <w:rsid w:val="00CF4F0C"/>
    <w:rsid w:val="00CF4F44"/>
    <w:rsid w:val="00CF5019"/>
    <w:rsid w:val="00CF5023"/>
    <w:rsid w:val="00CF50A2"/>
    <w:rsid w:val="00CF520D"/>
    <w:rsid w:val="00CF5439"/>
    <w:rsid w:val="00CF544B"/>
    <w:rsid w:val="00CF5541"/>
    <w:rsid w:val="00CF558F"/>
    <w:rsid w:val="00CF55F8"/>
    <w:rsid w:val="00CF56A0"/>
    <w:rsid w:val="00CF57F2"/>
    <w:rsid w:val="00CF586E"/>
    <w:rsid w:val="00CF58D8"/>
    <w:rsid w:val="00CF5BEE"/>
    <w:rsid w:val="00CF5C00"/>
    <w:rsid w:val="00CF5D15"/>
    <w:rsid w:val="00CF5D17"/>
    <w:rsid w:val="00CF5D18"/>
    <w:rsid w:val="00CF5DFC"/>
    <w:rsid w:val="00CF5EE0"/>
    <w:rsid w:val="00CF5FE4"/>
    <w:rsid w:val="00CF60C1"/>
    <w:rsid w:val="00CF636F"/>
    <w:rsid w:val="00CF63DC"/>
    <w:rsid w:val="00CF63F7"/>
    <w:rsid w:val="00CF6567"/>
    <w:rsid w:val="00CF65D3"/>
    <w:rsid w:val="00CF6614"/>
    <w:rsid w:val="00CF6622"/>
    <w:rsid w:val="00CF669E"/>
    <w:rsid w:val="00CF66CC"/>
    <w:rsid w:val="00CF66E0"/>
    <w:rsid w:val="00CF6A90"/>
    <w:rsid w:val="00CF6B0C"/>
    <w:rsid w:val="00CF6BAC"/>
    <w:rsid w:val="00CF6D78"/>
    <w:rsid w:val="00CF6E1E"/>
    <w:rsid w:val="00CF6E8F"/>
    <w:rsid w:val="00CF6EE9"/>
    <w:rsid w:val="00CF7046"/>
    <w:rsid w:val="00CF70B8"/>
    <w:rsid w:val="00CF718F"/>
    <w:rsid w:val="00CF71BB"/>
    <w:rsid w:val="00CF72EB"/>
    <w:rsid w:val="00CF7388"/>
    <w:rsid w:val="00CF73F5"/>
    <w:rsid w:val="00CF74AB"/>
    <w:rsid w:val="00CF74BD"/>
    <w:rsid w:val="00CF7554"/>
    <w:rsid w:val="00CF7598"/>
    <w:rsid w:val="00CF7829"/>
    <w:rsid w:val="00CF7852"/>
    <w:rsid w:val="00CF78B6"/>
    <w:rsid w:val="00CF7911"/>
    <w:rsid w:val="00CF7AFD"/>
    <w:rsid w:val="00CF7B2E"/>
    <w:rsid w:val="00CF7B30"/>
    <w:rsid w:val="00CF7B92"/>
    <w:rsid w:val="00CF7C31"/>
    <w:rsid w:val="00CF7D05"/>
    <w:rsid w:val="00CF7DE1"/>
    <w:rsid w:val="00CF7FDC"/>
    <w:rsid w:val="00D0000E"/>
    <w:rsid w:val="00D00096"/>
    <w:rsid w:val="00D0013F"/>
    <w:rsid w:val="00D001CE"/>
    <w:rsid w:val="00D002C5"/>
    <w:rsid w:val="00D0031D"/>
    <w:rsid w:val="00D00362"/>
    <w:rsid w:val="00D004D1"/>
    <w:rsid w:val="00D007BB"/>
    <w:rsid w:val="00D0085C"/>
    <w:rsid w:val="00D00883"/>
    <w:rsid w:val="00D00894"/>
    <w:rsid w:val="00D0093A"/>
    <w:rsid w:val="00D00989"/>
    <w:rsid w:val="00D00EBE"/>
    <w:rsid w:val="00D00EF8"/>
    <w:rsid w:val="00D00F0C"/>
    <w:rsid w:val="00D00FC6"/>
    <w:rsid w:val="00D0104B"/>
    <w:rsid w:val="00D0105C"/>
    <w:rsid w:val="00D01263"/>
    <w:rsid w:val="00D0135F"/>
    <w:rsid w:val="00D014B2"/>
    <w:rsid w:val="00D014FE"/>
    <w:rsid w:val="00D01610"/>
    <w:rsid w:val="00D016A0"/>
    <w:rsid w:val="00D016A8"/>
    <w:rsid w:val="00D0174F"/>
    <w:rsid w:val="00D01801"/>
    <w:rsid w:val="00D019B8"/>
    <w:rsid w:val="00D01A24"/>
    <w:rsid w:val="00D01B55"/>
    <w:rsid w:val="00D01B6A"/>
    <w:rsid w:val="00D01CA7"/>
    <w:rsid w:val="00D01F1B"/>
    <w:rsid w:val="00D01F74"/>
    <w:rsid w:val="00D0205A"/>
    <w:rsid w:val="00D0217B"/>
    <w:rsid w:val="00D021FD"/>
    <w:rsid w:val="00D022E8"/>
    <w:rsid w:val="00D023B1"/>
    <w:rsid w:val="00D0251A"/>
    <w:rsid w:val="00D0264E"/>
    <w:rsid w:val="00D027A8"/>
    <w:rsid w:val="00D029A6"/>
    <w:rsid w:val="00D029E4"/>
    <w:rsid w:val="00D029F9"/>
    <w:rsid w:val="00D02A59"/>
    <w:rsid w:val="00D02D9F"/>
    <w:rsid w:val="00D03253"/>
    <w:rsid w:val="00D034AC"/>
    <w:rsid w:val="00D0368F"/>
    <w:rsid w:val="00D03717"/>
    <w:rsid w:val="00D037B6"/>
    <w:rsid w:val="00D038FB"/>
    <w:rsid w:val="00D03BF7"/>
    <w:rsid w:val="00D03DDF"/>
    <w:rsid w:val="00D03ED0"/>
    <w:rsid w:val="00D03F99"/>
    <w:rsid w:val="00D0405B"/>
    <w:rsid w:val="00D04060"/>
    <w:rsid w:val="00D04295"/>
    <w:rsid w:val="00D0439D"/>
    <w:rsid w:val="00D04502"/>
    <w:rsid w:val="00D04580"/>
    <w:rsid w:val="00D04602"/>
    <w:rsid w:val="00D0477C"/>
    <w:rsid w:val="00D0478E"/>
    <w:rsid w:val="00D04CFC"/>
    <w:rsid w:val="00D04ED2"/>
    <w:rsid w:val="00D05416"/>
    <w:rsid w:val="00D0547F"/>
    <w:rsid w:val="00D055BD"/>
    <w:rsid w:val="00D055D9"/>
    <w:rsid w:val="00D0567C"/>
    <w:rsid w:val="00D0583C"/>
    <w:rsid w:val="00D059AC"/>
    <w:rsid w:val="00D05BD6"/>
    <w:rsid w:val="00D05C73"/>
    <w:rsid w:val="00D05CC6"/>
    <w:rsid w:val="00D05DB5"/>
    <w:rsid w:val="00D05E4B"/>
    <w:rsid w:val="00D05FA6"/>
    <w:rsid w:val="00D060FA"/>
    <w:rsid w:val="00D06145"/>
    <w:rsid w:val="00D06289"/>
    <w:rsid w:val="00D06346"/>
    <w:rsid w:val="00D0634A"/>
    <w:rsid w:val="00D063E0"/>
    <w:rsid w:val="00D06438"/>
    <w:rsid w:val="00D0651E"/>
    <w:rsid w:val="00D0665D"/>
    <w:rsid w:val="00D06686"/>
    <w:rsid w:val="00D0670F"/>
    <w:rsid w:val="00D06735"/>
    <w:rsid w:val="00D067E1"/>
    <w:rsid w:val="00D0689B"/>
    <w:rsid w:val="00D06A1D"/>
    <w:rsid w:val="00D06A74"/>
    <w:rsid w:val="00D06B86"/>
    <w:rsid w:val="00D06BB6"/>
    <w:rsid w:val="00D06BF2"/>
    <w:rsid w:val="00D06CB4"/>
    <w:rsid w:val="00D06D10"/>
    <w:rsid w:val="00D06E75"/>
    <w:rsid w:val="00D06EEC"/>
    <w:rsid w:val="00D07118"/>
    <w:rsid w:val="00D0712C"/>
    <w:rsid w:val="00D071A3"/>
    <w:rsid w:val="00D07271"/>
    <w:rsid w:val="00D07276"/>
    <w:rsid w:val="00D072FD"/>
    <w:rsid w:val="00D07341"/>
    <w:rsid w:val="00D07389"/>
    <w:rsid w:val="00D075B9"/>
    <w:rsid w:val="00D0773A"/>
    <w:rsid w:val="00D07776"/>
    <w:rsid w:val="00D07A74"/>
    <w:rsid w:val="00D07A7A"/>
    <w:rsid w:val="00D07A94"/>
    <w:rsid w:val="00D07F1C"/>
    <w:rsid w:val="00D07FDC"/>
    <w:rsid w:val="00D10000"/>
    <w:rsid w:val="00D10154"/>
    <w:rsid w:val="00D101C7"/>
    <w:rsid w:val="00D1029E"/>
    <w:rsid w:val="00D102A7"/>
    <w:rsid w:val="00D10509"/>
    <w:rsid w:val="00D10671"/>
    <w:rsid w:val="00D109E6"/>
    <w:rsid w:val="00D10B79"/>
    <w:rsid w:val="00D10B8C"/>
    <w:rsid w:val="00D10BE7"/>
    <w:rsid w:val="00D10C77"/>
    <w:rsid w:val="00D10E03"/>
    <w:rsid w:val="00D10F87"/>
    <w:rsid w:val="00D110B4"/>
    <w:rsid w:val="00D110D5"/>
    <w:rsid w:val="00D1111A"/>
    <w:rsid w:val="00D11397"/>
    <w:rsid w:val="00D114E4"/>
    <w:rsid w:val="00D11773"/>
    <w:rsid w:val="00D117E9"/>
    <w:rsid w:val="00D118D1"/>
    <w:rsid w:val="00D11911"/>
    <w:rsid w:val="00D1197C"/>
    <w:rsid w:val="00D11AA6"/>
    <w:rsid w:val="00D11B46"/>
    <w:rsid w:val="00D11B62"/>
    <w:rsid w:val="00D11BE2"/>
    <w:rsid w:val="00D12164"/>
    <w:rsid w:val="00D12210"/>
    <w:rsid w:val="00D12400"/>
    <w:rsid w:val="00D12626"/>
    <w:rsid w:val="00D1269A"/>
    <w:rsid w:val="00D12738"/>
    <w:rsid w:val="00D12827"/>
    <w:rsid w:val="00D128FF"/>
    <w:rsid w:val="00D1298A"/>
    <w:rsid w:val="00D12A10"/>
    <w:rsid w:val="00D12DCD"/>
    <w:rsid w:val="00D1304E"/>
    <w:rsid w:val="00D130F4"/>
    <w:rsid w:val="00D13113"/>
    <w:rsid w:val="00D13198"/>
    <w:rsid w:val="00D1328B"/>
    <w:rsid w:val="00D132E1"/>
    <w:rsid w:val="00D133DA"/>
    <w:rsid w:val="00D1347B"/>
    <w:rsid w:val="00D134BB"/>
    <w:rsid w:val="00D13662"/>
    <w:rsid w:val="00D13680"/>
    <w:rsid w:val="00D13A45"/>
    <w:rsid w:val="00D13BA9"/>
    <w:rsid w:val="00D13C69"/>
    <w:rsid w:val="00D13CE8"/>
    <w:rsid w:val="00D13D31"/>
    <w:rsid w:val="00D13E2E"/>
    <w:rsid w:val="00D13F6F"/>
    <w:rsid w:val="00D13FAD"/>
    <w:rsid w:val="00D13FF0"/>
    <w:rsid w:val="00D13FFD"/>
    <w:rsid w:val="00D1406E"/>
    <w:rsid w:val="00D1451B"/>
    <w:rsid w:val="00D14524"/>
    <w:rsid w:val="00D1455A"/>
    <w:rsid w:val="00D14575"/>
    <w:rsid w:val="00D148C0"/>
    <w:rsid w:val="00D14A10"/>
    <w:rsid w:val="00D14A47"/>
    <w:rsid w:val="00D14A5D"/>
    <w:rsid w:val="00D14AC4"/>
    <w:rsid w:val="00D14BE4"/>
    <w:rsid w:val="00D14BEE"/>
    <w:rsid w:val="00D14BF6"/>
    <w:rsid w:val="00D14F72"/>
    <w:rsid w:val="00D150B6"/>
    <w:rsid w:val="00D151EF"/>
    <w:rsid w:val="00D154C6"/>
    <w:rsid w:val="00D155D5"/>
    <w:rsid w:val="00D15735"/>
    <w:rsid w:val="00D1576B"/>
    <w:rsid w:val="00D1585B"/>
    <w:rsid w:val="00D15B28"/>
    <w:rsid w:val="00D15B31"/>
    <w:rsid w:val="00D15C90"/>
    <w:rsid w:val="00D15DC8"/>
    <w:rsid w:val="00D15E3C"/>
    <w:rsid w:val="00D15F00"/>
    <w:rsid w:val="00D16001"/>
    <w:rsid w:val="00D161E0"/>
    <w:rsid w:val="00D162A0"/>
    <w:rsid w:val="00D163C1"/>
    <w:rsid w:val="00D163EE"/>
    <w:rsid w:val="00D16452"/>
    <w:rsid w:val="00D164E3"/>
    <w:rsid w:val="00D16670"/>
    <w:rsid w:val="00D16795"/>
    <w:rsid w:val="00D16890"/>
    <w:rsid w:val="00D16D7C"/>
    <w:rsid w:val="00D16DD9"/>
    <w:rsid w:val="00D16EC9"/>
    <w:rsid w:val="00D16FD8"/>
    <w:rsid w:val="00D1709C"/>
    <w:rsid w:val="00D17111"/>
    <w:rsid w:val="00D172E1"/>
    <w:rsid w:val="00D17314"/>
    <w:rsid w:val="00D173CF"/>
    <w:rsid w:val="00D1742F"/>
    <w:rsid w:val="00D17AC8"/>
    <w:rsid w:val="00D17B1F"/>
    <w:rsid w:val="00D17B69"/>
    <w:rsid w:val="00D17BFC"/>
    <w:rsid w:val="00D17D41"/>
    <w:rsid w:val="00D17E50"/>
    <w:rsid w:val="00D17E5D"/>
    <w:rsid w:val="00D17E6A"/>
    <w:rsid w:val="00D200BC"/>
    <w:rsid w:val="00D201AB"/>
    <w:rsid w:val="00D201EF"/>
    <w:rsid w:val="00D202C0"/>
    <w:rsid w:val="00D20381"/>
    <w:rsid w:val="00D20502"/>
    <w:rsid w:val="00D2059E"/>
    <w:rsid w:val="00D206B0"/>
    <w:rsid w:val="00D2076D"/>
    <w:rsid w:val="00D20866"/>
    <w:rsid w:val="00D20A53"/>
    <w:rsid w:val="00D20B6D"/>
    <w:rsid w:val="00D20CA3"/>
    <w:rsid w:val="00D20D76"/>
    <w:rsid w:val="00D20F34"/>
    <w:rsid w:val="00D20F58"/>
    <w:rsid w:val="00D21149"/>
    <w:rsid w:val="00D2116F"/>
    <w:rsid w:val="00D211A2"/>
    <w:rsid w:val="00D211B2"/>
    <w:rsid w:val="00D211EF"/>
    <w:rsid w:val="00D21510"/>
    <w:rsid w:val="00D2153B"/>
    <w:rsid w:val="00D215D5"/>
    <w:rsid w:val="00D215E7"/>
    <w:rsid w:val="00D21613"/>
    <w:rsid w:val="00D216D6"/>
    <w:rsid w:val="00D218C4"/>
    <w:rsid w:val="00D2198D"/>
    <w:rsid w:val="00D21AD8"/>
    <w:rsid w:val="00D21BC2"/>
    <w:rsid w:val="00D21C9F"/>
    <w:rsid w:val="00D21D5D"/>
    <w:rsid w:val="00D21D83"/>
    <w:rsid w:val="00D21E05"/>
    <w:rsid w:val="00D21E30"/>
    <w:rsid w:val="00D21E71"/>
    <w:rsid w:val="00D21E8F"/>
    <w:rsid w:val="00D21F46"/>
    <w:rsid w:val="00D21FFD"/>
    <w:rsid w:val="00D2208A"/>
    <w:rsid w:val="00D220B0"/>
    <w:rsid w:val="00D22161"/>
    <w:rsid w:val="00D22580"/>
    <w:rsid w:val="00D2262E"/>
    <w:rsid w:val="00D22A78"/>
    <w:rsid w:val="00D22B12"/>
    <w:rsid w:val="00D22C81"/>
    <w:rsid w:val="00D22C91"/>
    <w:rsid w:val="00D22E2D"/>
    <w:rsid w:val="00D23081"/>
    <w:rsid w:val="00D2312E"/>
    <w:rsid w:val="00D2323F"/>
    <w:rsid w:val="00D23257"/>
    <w:rsid w:val="00D232B8"/>
    <w:rsid w:val="00D232DE"/>
    <w:rsid w:val="00D233EF"/>
    <w:rsid w:val="00D234E4"/>
    <w:rsid w:val="00D2372A"/>
    <w:rsid w:val="00D23800"/>
    <w:rsid w:val="00D238B5"/>
    <w:rsid w:val="00D238FE"/>
    <w:rsid w:val="00D23A0B"/>
    <w:rsid w:val="00D23A33"/>
    <w:rsid w:val="00D23B2C"/>
    <w:rsid w:val="00D23BF9"/>
    <w:rsid w:val="00D23C52"/>
    <w:rsid w:val="00D23EB2"/>
    <w:rsid w:val="00D23F0C"/>
    <w:rsid w:val="00D23F8B"/>
    <w:rsid w:val="00D241CF"/>
    <w:rsid w:val="00D24390"/>
    <w:rsid w:val="00D243BD"/>
    <w:rsid w:val="00D243EE"/>
    <w:rsid w:val="00D24572"/>
    <w:rsid w:val="00D245D3"/>
    <w:rsid w:val="00D2467E"/>
    <w:rsid w:val="00D24709"/>
    <w:rsid w:val="00D24919"/>
    <w:rsid w:val="00D24A38"/>
    <w:rsid w:val="00D24A79"/>
    <w:rsid w:val="00D24ADA"/>
    <w:rsid w:val="00D250A4"/>
    <w:rsid w:val="00D251B3"/>
    <w:rsid w:val="00D2537E"/>
    <w:rsid w:val="00D254ED"/>
    <w:rsid w:val="00D2560A"/>
    <w:rsid w:val="00D2566A"/>
    <w:rsid w:val="00D256F1"/>
    <w:rsid w:val="00D257D5"/>
    <w:rsid w:val="00D25803"/>
    <w:rsid w:val="00D2580E"/>
    <w:rsid w:val="00D2588A"/>
    <w:rsid w:val="00D258C6"/>
    <w:rsid w:val="00D258F9"/>
    <w:rsid w:val="00D25AA0"/>
    <w:rsid w:val="00D25B5E"/>
    <w:rsid w:val="00D25C06"/>
    <w:rsid w:val="00D25C5F"/>
    <w:rsid w:val="00D25E7C"/>
    <w:rsid w:val="00D25FD8"/>
    <w:rsid w:val="00D26071"/>
    <w:rsid w:val="00D26091"/>
    <w:rsid w:val="00D260F5"/>
    <w:rsid w:val="00D26144"/>
    <w:rsid w:val="00D26146"/>
    <w:rsid w:val="00D261BF"/>
    <w:rsid w:val="00D26292"/>
    <w:rsid w:val="00D26514"/>
    <w:rsid w:val="00D265F3"/>
    <w:rsid w:val="00D2686F"/>
    <w:rsid w:val="00D2690A"/>
    <w:rsid w:val="00D2699D"/>
    <w:rsid w:val="00D26B1F"/>
    <w:rsid w:val="00D26BC0"/>
    <w:rsid w:val="00D26D15"/>
    <w:rsid w:val="00D26EEB"/>
    <w:rsid w:val="00D26FC2"/>
    <w:rsid w:val="00D27023"/>
    <w:rsid w:val="00D27145"/>
    <w:rsid w:val="00D27156"/>
    <w:rsid w:val="00D271BB"/>
    <w:rsid w:val="00D27258"/>
    <w:rsid w:val="00D2726D"/>
    <w:rsid w:val="00D27291"/>
    <w:rsid w:val="00D272D0"/>
    <w:rsid w:val="00D2737F"/>
    <w:rsid w:val="00D27454"/>
    <w:rsid w:val="00D2767F"/>
    <w:rsid w:val="00D276D5"/>
    <w:rsid w:val="00D27733"/>
    <w:rsid w:val="00D2775D"/>
    <w:rsid w:val="00D27769"/>
    <w:rsid w:val="00D277FA"/>
    <w:rsid w:val="00D27C54"/>
    <w:rsid w:val="00D27CAA"/>
    <w:rsid w:val="00D27ED3"/>
    <w:rsid w:val="00D27EE9"/>
    <w:rsid w:val="00D27F0A"/>
    <w:rsid w:val="00D301AB"/>
    <w:rsid w:val="00D301CE"/>
    <w:rsid w:val="00D30287"/>
    <w:rsid w:val="00D302B6"/>
    <w:rsid w:val="00D303EF"/>
    <w:rsid w:val="00D304F3"/>
    <w:rsid w:val="00D30905"/>
    <w:rsid w:val="00D309BE"/>
    <w:rsid w:val="00D309F9"/>
    <w:rsid w:val="00D30A8F"/>
    <w:rsid w:val="00D30AF2"/>
    <w:rsid w:val="00D310A6"/>
    <w:rsid w:val="00D310AF"/>
    <w:rsid w:val="00D31304"/>
    <w:rsid w:val="00D317A3"/>
    <w:rsid w:val="00D3180F"/>
    <w:rsid w:val="00D31D57"/>
    <w:rsid w:val="00D32025"/>
    <w:rsid w:val="00D321D2"/>
    <w:rsid w:val="00D321D9"/>
    <w:rsid w:val="00D32222"/>
    <w:rsid w:val="00D3246F"/>
    <w:rsid w:val="00D32486"/>
    <w:rsid w:val="00D32489"/>
    <w:rsid w:val="00D3256E"/>
    <w:rsid w:val="00D328E3"/>
    <w:rsid w:val="00D32A25"/>
    <w:rsid w:val="00D32A75"/>
    <w:rsid w:val="00D32AE4"/>
    <w:rsid w:val="00D32B3F"/>
    <w:rsid w:val="00D32B5A"/>
    <w:rsid w:val="00D32C9D"/>
    <w:rsid w:val="00D32CEF"/>
    <w:rsid w:val="00D32D84"/>
    <w:rsid w:val="00D32D9D"/>
    <w:rsid w:val="00D32EC8"/>
    <w:rsid w:val="00D32FEF"/>
    <w:rsid w:val="00D330E2"/>
    <w:rsid w:val="00D332A8"/>
    <w:rsid w:val="00D33439"/>
    <w:rsid w:val="00D334C2"/>
    <w:rsid w:val="00D334C7"/>
    <w:rsid w:val="00D3356A"/>
    <w:rsid w:val="00D3357E"/>
    <w:rsid w:val="00D33780"/>
    <w:rsid w:val="00D3379D"/>
    <w:rsid w:val="00D33815"/>
    <w:rsid w:val="00D33980"/>
    <w:rsid w:val="00D33B0E"/>
    <w:rsid w:val="00D33B11"/>
    <w:rsid w:val="00D33DD7"/>
    <w:rsid w:val="00D33E8D"/>
    <w:rsid w:val="00D340E0"/>
    <w:rsid w:val="00D340E4"/>
    <w:rsid w:val="00D34132"/>
    <w:rsid w:val="00D343FE"/>
    <w:rsid w:val="00D3448E"/>
    <w:rsid w:val="00D344FD"/>
    <w:rsid w:val="00D345CF"/>
    <w:rsid w:val="00D3467C"/>
    <w:rsid w:val="00D34B00"/>
    <w:rsid w:val="00D34BF2"/>
    <w:rsid w:val="00D34DA5"/>
    <w:rsid w:val="00D34ED2"/>
    <w:rsid w:val="00D34EFE"/>
    <w:rsid w:val="00D34FE9"/>
    <w:rsid w:val="00D35044"/>
    <w:rsid w:val="00D35059"/>
    <w:rsid w:val="00D35268"/>
    <w:rsid w:val="00D353D7"/>
    <w:rsid w:val="00D35413"/>
    <w:rsid w:val="00D356C5"/>
    <w:rsid w:val="00D35872"/>
    <w:rsid w:val="00D35A24"/>
    <w:rsid w:val="00D35BC3"/>
    <w:rsid w:val="00D35D87"/>
    <w:rsid w:val="00D35E84"/>
    <w:rsid w:val="00D35FA4"/>
    <w:rsid w:val="00D3614A"/>
    <w:rsid w:val="00D36362"/>
    <w:rsid w:val="00D363B1"/>
    <w:rsid w:val="00D36895"/>
    <w:rsid w:val="00D368A4"/>
    <w:rsid w:val="00D3696B"/>
    <w:rsid w:val="00D36AF0"/>
    <w:rsid w:val="00D36C01"/>
    <w:rsid w:val="00D36EA7"/>
    <w:rsid w:val="00D36ECB"/>
    <w:rsid w:val="00D36F7B"/>
    <w:rsid w:val="00D37083"/>
    <w:rsid w:val="00D373BC"/>
    <w:rsid w:val="00D3758C"/>
    <w:rsid w:val="00D375D9"/>
    <w:rsid w:val="00D3798B"/>
    <w:rsid w:val="00D37A4D"/>
    <w:rsid w:val="00D37A6B"/>
    <w:rsid w:val="00D37B79"/>
    <w:rsid w:val="00D37BD5"/>
    <w:rsid w:val="00D37E14"/>
    <w:rsid w:val="00D37E22"/>
    <w:rsid w:val="00D40069"/>
    <w:rsid w:val="00D40108"/>
    <w:rsid w:val="00D4019A"/>
    <w:rsid w:val="00D401DA"/>
    <w:rsid w:val="00D40437"/>
    <w:rsid w:val="00D40535"/>
    <w:rsid w:val="00D405D3"/>
    <w:rsid w:val="00D4066B"/>
    <w:rsid w:val="00D4069B"/>
    <w:rsid w:val="00D406DA"/>
    <w:rsid w:val="00D4078D"/>
    <w:rsid w:val="00D40984"/>
    <w:rsid w:val="00D409DD"/>
    <w:rsid w:val="00D40A96"/>
    <w:rsid w:val="00D40FFE"/>
    <w:rsid w:val="00D4106E"/>
    <w:rsid w:val="00D410CC"/>
    <w:rsid w:val="00D4114A"/>
    <w:rsid w:val="00D4131A"/>
    <w:rsid w:val="00D41568"/>
    <w:rsid w:val="00D41679"/>
    <w:rsid w:val="00D418CB"/>
    <w:rsid w:val="00D418CF"/>
    <w:rsid w:val="00D418FD"/>
    <w:rsid w:val="00D41B1A"/>
    <w:rsid w:val="00D41BF8"/>
    <w:rsid w:val="00D41C77"/>
    <w:rsid w:val="00D41D2B"/>
    <w:rsid w:val="00D41DB8"/>
    <w:rsid w:val="00D41E02"/>
    <w:rsid w:val="00D41F2A"/>
    <w:rsid w:val="00D42195"/>
    <w:rsid w:val="00D421FA"/>
    <w:rsid w:val="00D42692"/>
    <w:rsid w:val="00D42758"/>
    <w:rsid w:val="00D427DC"/>
    <w:rsid w:val="00D42DCB"/>
    <w:rsid w:val="00D42EA1"/>
    <w:rsid w:val="00D42ECB"/>
    <w:rsid w:val="00D43126"/>
    <w:rsid w:val="00D43164"/>
    <w:rsid w:val="00D431BD"/>
    <w:rsid w:val="00D4341E"/>
    <w:rsid w:val="00D43428"/>
    <w:rsid w:val="00D435DC"/>
    <w:rsid w:val="00D436C8"/>
    <w:rsid w:val="00D43782"/>
    <w:rsid w:val="00D43796"/>
    <w:rsid w:val="00D43886"/>
    <w:rsid w:val="00D43B00"/>
    <w:rsid w:val="00D43B31"/>
    <w:rsid w:val="00D43B59"/>
    <w:rsid w:val="00D43FC1"/>
    <w:rsid w:val="00D44001"/>
    <w:rsid w:val="00D4409D"/>
    <w:rsid w:val="00D440E2"/>
    <w:rsid w:val="00D44168"/>
    <w:rsid w:val="00D441AB"/>
    <w:rsid w:val="00D44460"/>
    <w:rsid w:val="00D44548"/>
    <w:rsid w:val="00D445CD"/>
    <w:rsid w:val="00D44601"/>
    <w:rsid w:val="00D44792"/>
    <w:rsid w:val="00D447C3"/>
    <w:rsid w:val="00D4487E"/>
    <w:rsid w:val="00D448BC"/>
    <w:rsid w:val="00D44A4F"/>
    <w:rsid w:val="00D44BB3"/>
    <w:rsid w:val="00D44CB5"/>
    <w:rsid w:val="00D44E98"/>
    <w:rsid w:val="00D44F2D"/>
    <w:rsid w:val="00D44F88"/>
    <w:rsid w:val="00D45026"/>
    <w:rsid w:val="00D450AD"/>
    <w:rsid w:val="00D450DD"/>
    <w:rsid w:val="00D451B3"/>
    <w:rsid w:val="00D4533D"/>
    <w:rsid w:val="00D45349"/>
    <w:rsid w:val="00D454EB"/>
    <w:rsid w:val="00D45520"/>
    <w:rsid w:val="00D456A8"/>
    <w:rsid w:val="00D4575D"/>
    <w:rsid w:val="00D4577F"/>
    <w:rsid w:val="00D45940"/>
    <w:rsid w:val="00D45B3B"/>
    <w:rsid w:val="00D45B56"/>
    <w:rsid w:val="00D45C76"/>
    <w:rsid w:val="00D45D09"/>
    <w:rsid w:val="00D45DF0"/>
    <w:rsid w:val="00D45F64"/>
    <w:rsid w:val="00D45FCF"/>
    <w:rsid w:val="00D4604A"/>
    <w:rsid w:val="00D46076"/>
    <w:rsid w:val="00D46189"/>
    <w:rsid w:val="00D4618B"/>
    <w:rsid w:val="00D4622D"/>
    <w:rsid w:val="00D46311"/>
    <w:rsid w:val="00D46450"/>
    <w:rsid w:val="00D466E4"/>
    <w:rsid w:val="00D46792"/>
    <w:rsid w:val="00D468F7"/>
    <w:rsid w:val="00D4691A"/>
    <w:rsid w:val="00D46BBD"/>
    <w:rsid w:val="00D46CC8"/>
    <w:rsid w:val="00D46CF5"/>
    <w:rsid w:val="00D46D57"/>
    <w:rsid w:val="00D46EBC"/>
    <w:rsid w:val="00D46FDC"/>
    <w:rsid w:val="00D470C0"/>
    <w:rsid w:val="00D470EF"/>
    <w:rsid w:val="00D470F0"/>
    <w:rsid w:val="00D47187"/>
    <w:rsid w:val="00D4721C"/>
    <w:rsid w:val="00D47230"/>
    <w:rsid w:val="00D47843"/>
    <w:rsid w:val="00D47904"/>
    <w:rsid w:val="00D47B07"/>
    <w:rsid w:val="00D47B71"/>
    <w:rsid w:val="00D47BC0"/>
    <w:rsid w:val="00D50007"/>
    <w:rsid w:val="00D5017A"/>
    <w:rsid w:val="00D5018E"/>
    <w:rsid w:val="00D50282"/>
    <w:rsid w:val="00D504C3"/>
    <w:rsid w:val="00D504D2"/>
    <w:rsid w:val="00D504F6"/>
    <w:rsid w:val="00D50566"/>
    <w:rsid w:val="00D505E2"/>
    <w:rsid w:val="00D5068B"/>
    <w:rsid w:val="00D50BF2"/>
    <w:rsid w:val="00D510B2"/>
    <w:rsid w:val="00D510E5"/>
    <w:rsid w:val="00D512B4"/>
    <w:rsid w:val="00D51311"/>
    <w:rsid w:val="00D51345"/>
    <w:rsid w:val="00D51664"/>
    <w:rsid w:val="00D516CA"/>
    <w:rsid w:val="00D517CC"/>
    <w:rsid w:val="00D5188D"/>
    <w:rsid w:val="00D51893"/>
    <w:rsid w:val="00D51AE5"/>
    <w:rsid w:val="00D51BBA"/>
    <w:rsid w:val="00D51C33"/>
    <w:rsid w:val="00D51D45"/>
    <w:rsid w:val="00D51DCB"/>
    <w:rsid w:val="00D51EF3"/>
    <w:rsid w:val="00D51FF7"/>
    <w:rsid w:val="00D52089"/>
    <w:rsid w:val="00D5218E"/>
    <w:rsid w:val="00D52191"/>
    <w:rsid w:val="00D52201"/>
    <w:rsid w:val="00D52228"/>
    <w:rsid w:val="00D5228D"/>
    <w:rsid w:val="00D52380"/>
    <w:rsid w:val="00D523C4"/>
    <w:rsid w:val="00D52427"/>
    <w:rsid w:val="00D52446"/>
    <w:rsid w:val="00D526FC"/>
    <w:rsid w:val="00D52763"/>
    <w:rsid w:val="00D5292F"/>
    <w:rsid w:val="00D52B12"/>
    <w:rsid w:val="00D52B30"/>
    <w:rsid w:val="00D52C6B"/>
    <w:rsid w:val="00D52D5D"/>
    <w:rsid w:val="00D52D86"/>
    <w:rsid w:val="00D52EC5"/>
    <w:rsid w:val="00D52F27"/>
    <w:rsid w:val="00D52F6D"/>
    <w:rsid w:val="00D530C7"/>
    <w:rsid w:val="00D53199"/>
    <w:rsid w:val="00D53547"/>
    <w:rsid w:val="00D53741"/>
    <w:rsid w:val="00D53871"/>
    <w:rsid w:val="00D539A0"/>
    <w:rsid w:val="00D53AE5"/>
    <w:rsid w:val="00D53B2C"/>
    <w:rsid w:val="00D53B56"/>
    <w:rsid w:val="00D53B60"/>
    <w:rsid w:val="00D53D1D"/>
    <w:rsid w:val="00D53D51"/>
    <w:rsid w:val="00D53D76"/>
    <w:rsid w:val="00D53FA5"/>
    <w:rsid w:val="00D53FBB"/>
    <w:rsid w:val="00D54277"/>
    <w:rsid w:val="00D542CF"/>
    <w:rsid w:val="00D54813"/>
    <w:rsid w:val="00D54930"/>
    <w:rsid w:val="00D54979"/>
    <w:rsid w:val="00D54B0B"/>
    <w:rsid w:val="00D54E95"/>
    <w:rsid w:val="00D54EAB"/>
    <w:rsid w:val="00D55289"/>
    <w:rsid w:val="00D552A5"/>
    <w:rsid w:val="00D552DE"/>
    <w:rsid w:val="00D552F4"/>
    <w:rsid w:val="00D55396"/>
    <w:rsid w:val="00D553A4"/>
    <w:rsid w:val="00D5543E"/>
    <w:rsid w:val="00D5566B"/>
    <w:rsid w:val="00D5575C"/>
    <w:rsid w:val="00D558A2"/>
    <w:rsid w:val="00D55B47"/>
    <w:rsid w:val="00D55C50"/>
    <w:rsid w:val="00D55C7B"/>
    <w:rsid w:val="00D55C88"/>
    <w:rsid w:val="00D55EC4"/>
    <w:rsid w:val="00D55EF3"/>
    <w:rsid w:val="00D561A5"/>
    <w:rsid w:val="00D561CA"/>
    <w:rsid w:val="00D5620F"/>
    <w:rsid w:val="00D56645"/>
    <w:rsid w:val="00D566E0"/>
    <w:rsid w:val="00D566FF"/>
    <w:rsid w:val="00D56782"/>
    <w:rsid w:val="00D56893"/>
    <w:rsid w:val="00D568A7"/>
    <w:rsid w:val="00D569BC"/>
    <w:rsid w:val="00D56B19"/>
    <w:rsid w:val="00D56BB9"/>
    <w:rsid w:val="00D56E35"/>
    <w:rsid w:val="00D57071"/>
    <w:rsid w:val="00D57114"/>
    <w:rsid w:val="00D571BC"/>
    <w:rsid w:val="00D571CE"/>
    <w:rsid w:val="00D572A9"/>
    <w:rsid w:val="00D5748F"/>
    <w:rsid w:val="00D5751C"/>
    <w:rsid w:val="00D57664"/>
    <w:rsid w:val="00D57898"/>
    <w:rsid w:val="00D57A06"/>
    <w:rsid w:val="00D57B2B"/>
    <w:rsid w:val="00D57D63"/>
    <w:rsid w:val="00D57DD1"/>
    <w:rsid w:val="00D57EE9"/>
    <w:rsid w:val="00D57FEB"/>
    <w:rsid w:val="00D601E6"/>
    <w:rsid w:val="00D603EC"/>
    <w:rsid w:val="00D606B9"/>
    <w:rsid w:val="00D606FA"/>
    <w:rsid w:val="00D60753"/>
    <w:rsid w:val="00D6080D"/>
    <w:rsid w:val="00D609E6"/>
    <w:rsid w:val="00D60A69"/>
    <w:rsid w:val="00D60AA6"/>
    <w:rsid w:val="00D60B20"/>
    <w:rsid w:val="00D60D3B"/>
    <w:rsid w:val="00D60FE4"/>
    <w:rsid w:val="00D61017"/>
    <w:rsid w:val="00D6141F"/>
    <w:rsid w:val="00D61439"/>
    <w:rsid w:val="00D61690"/>
    <w:rsid w:val="00D618AA"/>
    <w:rsid w:val="00D618EA"/>
    <w:rsid w:val="00D619F5"/>
    <w:rsid w:val="00D61A29"/>
    <w:rsid w:val="00D61C5B"/>
    <w:rsid w:val="00D61D4C"/>
    <w:rsid w:val="00D61DF2"/>
    <w:rsid w:val="00D61E83"/>
    <w:rsid w:val="00D61F2F"/>
    <w:rsid w:val="00D61F5D"/>
    <w:rsid w:val="00D6201E"/>
    <w:rsid w:val="00D620B6"/>
    <w:rsid w:val="00D6226E"/>
    <w:rsid w:val="00D62281"/>
    <w:rsid w:val="00D6229E"/>
    <w:rsid w:val="00D62342"/>
    <w:rsid w:val="00D6241C"/>
    <w:rsid w:val="00D62717"/>
    <w:rsid w:val="00D62921"/>
    <w:rsid w:val="00D629EE"/>
    <w:rsid w:val="00D62A65"/>
    <w:rsid w:val="00D62AB6"/>
    <w:rsid w:val="00D62AC9"/>
    <w:rsid w:val="00D62AE9"/>
    <w:rsid w:val="00D62CCE"/>
    <w:rsid w:val="00D62D1B"/>
    <w:rsid w:val="00D62DB5"/>
    <w:rsid w:val="00D62E73"/>
    <w:rsid w:val="00D63158"/>
    <w:rsid w:val="00D63226"/>
    <w:rsid w:val="00D6324E"/>
    <w:rsid w:val="00D63408"/>
    <w:rsid w:val="00D6355F"/>
    <w:rsid w:val="00D6377A"/>
    <w:rsid w:val="00D637FF"/>
    <w:rsid w:val="00D63BBA"/>
    <w:rsid w:val="00D63BF8"/>
    <w:rsid w:val="00D63C3B"/>
    <w:rsid w:val="00D63D3D"/>
    <w:rsid w:val="00D63DF1"/>
    <w:rsid w:val="00D63E13"/>
    <w:rsid w:val="00D63E99"/>
    <w:rsid w:val="00D63FD1"/>
    <w:rsid w:val="00D64072"/>
    <w:rsid w:val="00D640EF"/>
    <w:rsid w:val="00D64118"/>
    <w:rsid w:val="00D64164"/>
    <w:rsid w:val="00D6417E"/>
    <w:rsid w:val="00D6428D"/>
    <w:rsid w:val="00D64363"/>
    <w:rsid w:val="00D643AA"/>
    <w:rsid w:val="00D643F0"/>
    <w:rsid w:val="00D644BA"/>
    <w:rsid w:val="00D64571"/>
    <w:rsid w:val="00D64801"/>
    <w:rsid w:val="00D648EA"/>
    <w:rsid w:val="00D64911"/>
    <w:rsid w:val="00D64954"/>
    <w:rsid w:val="00D6498E"/>
    <w:rsid w:val="00D64B57"/>
    <w:rsid w:val="00D64D14"/>
    <w:rsid w:val="00D64DA4"/>
    <w:rsid w:val="00D64EA8"/>
    <w:rsid w:val="00D64EC2"/>
    <w:rsid w:val="00D64FCC"/>
    <w:rsid w:val="00D6509E"/>
    <w:rsid w:val="00D65100"/>
    <w:rsid w:val="00D651A0"/>
    <w:rsid w:val="00D6527A"/>
    <w:rsid w:val="00D65345"/>
    <w:rsid w:val="00D6563F"/>
    <w:rsid w:val="00D65743"/>
    <w:rsid w:val="00D65CD9"/>
    <w:rsid w:val="00D65F60"/>
    <w:rsid w:val="00D66023"/>
    <w:rsid w:val="00D66059"/>
    <w:rsid w:val="00D660C3"/>
    <w:rsid w:val="00D660EA"/>
    <w:rsid w:val="00D662F9"/>
    <w:rsid w:val="00D6647F"/>
    <w:rsid w:val="00D6649B"/>
    <w:rsid w:val="00D665AA"/>
    <w:rsid w:val="00D666A5"/>
    <w:rsid w:val="00D666D8"/>
    <w:rsid w:val="00D666DC"/>
    <w:rsid w:val="00D668B9"/>
    <w:rsid w:val="00D6699D"/>
    <w:rsid w:val="00D66BCA"/>
    <w:rsid w:val="00D66BFE"/>
    <w:rsid w:val="00D66C9C"/>
    <w:rsid w:val="00D66CE4"/>
    <w:rsid w:val="00D66E3C"/>
    <w:rsid w:val="00D66FAB"/>
    <w:rsid w:val="00D67012"/>
    <w:rsid w:val="00D67016"/>
    <w:rsid w:val="00D670E4"/>
    <w:rsid w:val="00D67146"/>
    <w:rsid w:val="00D672E2"/>
    <w:rsid w:val="00D673F9"/>
    <w:rsid w:val="00D674D7"/>
    <w:rsid w:val="00D6773D"/>
    <w:rsid w:val="00D67783"/>
    <w:rsid w:val="00D67836"/>
    <w:rsid w:val="00D67973"/>
    <w:rsid w:val="00D679F1"/>
    <w:rsid w:val="00D67AF9"/>
    <w:rsid w:val="00D67D5D"/>
    <w:rsid w:val="00D67F9F"/>
    <w:rsid w:val="00D6FB21"/>
    <w:rsid w:val="00D70146"/>
    <w:rsid w:val="00D7016C"/>
    <w:rsid w:val="00D70259"/>
    <w:rsid w:val="00D702A7"/>
    <w:rsid w:val="00D70359"/>
    <w:rsid w:val="00D70412"/>
    <w:rsid w:val="00D704D7"/>
    <w:rsid w:val="00D70680"/>
    <w:rsid w:val="00D706AD"/>
    <w:rsid w:val="00D706D5"/>
    <w:rsid w:val="00D7079F"/>
    <w:rsid w:val="00D708E2"/>
    <w:rsid w:val="00D70949"/>
    <w:rsid w:val="00D70A48"/>
    <w:rsid w:val="00D70B0A"/>
    <w:rsid w:val="00D70D62"/>
    <w:rsid w:val="00D70E15"/>
    <w:rsid w:val="00D70E22"/>
    <w:rsid w:val="00D70E8D"/>
    <w:rsid w:val="00D70F2F"/>
    <w:rsid w:val="00D70FBE"/>
    <w:rsid w:val="00D7106C"/>
    <w:rsid w:val="00D71220"/>
    <w:rsid w:val="00D7126F"/>
    <w:rsid w:val="00D7133D"/>
    <w:rsid w:val="00D715E9"/>
    <w:rsid w:val="00D71672"/>
    <w:rsid w:val="00D7179A"/>
    <w:rsid w:val="00D717EA"/>
    <w:rsid w:val="00D71866"/>
    <w:rsid w:val="00D718F3"/>
    <w:rsid w:val="00D7191E"/>
    <w:rsid w:val="00D71AED"/>
    <w:rsid w:val="00D71B26"/>
    <w:rsid w:val="00D71BE1"/>
    <w:rsid w:val="00D71BE8"/>
    <w:rsid w:val="00D71CAD"/>
    <w:rsid w:val="00D71F5C"/>
    <w:rsid w:val="00D71F62"/>
    <w:rsid w:val="00D71FF7"/>
    <w:rsid w:val="00D7205D"/>
    <w:rsid w:val="00D7233F"/>
    <w:rsid w:val="00D7235E"/>
    <w:rsid w:val="00D723DD"/>
    <w:rsid w:val="00D72548"/>
    <w:rsid w:val="00D726B6"/>
    <w:rsid w:val="00D7275E"/>
    <w:rsid w:val="00D727E9"/>
    <w:rsid w:val="00D7286B"/>
    <w:rsid w:val="00D72894"/>
    <w:rsid w:val="00D7292F"/>
    <w:rsid w:val="00D72982"/>
    <w:rsid w:val="00D72AAA"/>
    <w:rsid w:val="00D72AF9"/>
    <w:rsid w:val="00D72BC8"/>
    <w:rsid w:val="00D72C0B"/>
    <w:rsid w:val="00D72C46"/>
    <w:rsid w:val="00D72E59"/>
    <w:rsid w:val="00D72E5F"/>
    <w:rsid w:val="00D72F48"/>
    <w:rsid w:val="00D72F83"/>
    <w:rsid w:val="00D73180"/>
    <w:rsid w:val="00D7323F"/>
    <w:rsid w:val="00D73343"/>
    <w:rsid w:val="00D734B8"/>
    <w:rsid w:val="00D736A8"/>
    <w:rsid w:val="00D736C0"/>
    <w:rsid w:val="00D73712"/>
    <w:rsid w:val="00D738EB"/>
    <w:rsid w:val="00D739D8"/>
    <w:rsid w:val="00D739DC"/>
    <w:rsid w:val="00D73B3A"/>
    <w:rsid w:val="00D73B56"/>
    <w:rsid w:val="00D73B98"/>
    <w:rsid w:val="00D73C10"/>
    <w:rsid w:val="00D73C33"/>
    <w:rsid w:val="00D73D3C"/>
    <w:rsid w:val="00D74025"/>
    <w:rsid w:val="00D740AC"/>
    <w:rsid w:val="00D7422E"/>
    <w:rsid w:val="00D74459"/>
    <w:rsid w:val="00D7456A"/>
    <w:rsid w:val="00D74831"/>
    <w:rsid w:val="00D7498A"/>
    <w:rsid w:val="00D74CD1"/>
    <w:rsid w:val="00D74CD2"/>
    <w:rsid w:val="00D74E4B"/>
    <w:rsid w:val="00D74E90"/>
    <w:rsid w:val="00D74FB3"/>
    <w:rsid w:val="00D75189"/>
    <w:rsid w:val="00D75358"/>
    <w:rsid w:val="00D75579"/>
    <w:rsid w:val="00D755AD"/>
    <w:rsid w:val="00D7561D"/>
    <w:rsid w:val="00D757E1"/>
    <w:rsid w:val="00D758C5"/>
    <w:rsid w:val="00D7591C"/>
    <w:rsid w:val="00D759A0"/>
    <w:rsid w:val="00D75B9D"/>
    <w:rsid w:val="00D75BF1"/>
    <w:rsid w:val="00D75C84"/>
    <w:rsid w:val="00D75D37"/>
    <w:rsid w:val="00D75DB1"/>
    <w:rsid w:val="00D75E13"/>
    <w:rsid w:val="00D75E50"/>
    <w:rsid w:val="00D75EF2"/>
    <w:rsid w:val="00D75F27"/>
    <w:rsid w:val="00D75F35"/>
    <w:rsid w:val="00D76004"/>
    <w:rsid w:val="00D7613F"/>
    <w:rsid w:val="00D76189"/>
    <w:rsid w:val="00D761A9"/>
    <w:rsid w:val="00D76266"/>
    <w:rsid w:val="00D7641A"/>
    <w:rsid w:val="00D7644C"/>
    <w:rsid w:val="00D76500"/>
    <w:rsid w:val="00D76515"/>
    <w:rsid w:val="00D7654A"/>
    <w:rsid w:val="00D7665A"/>
    <w:rsid w:val="00D76724"/>
    <w:rsid w:val="00D7674F"/>
    <w:rsid w:val="00D7683E"/>
    <w:rsid w:val="00D76996"/>
    <w:rsid w:val="00D769AF"/>
    <w:rsid w:val="00D76FAB"/>
    <w:rsid w:val="00D7708B"/>
    <w:rsid w:val="00D770F0"/>
    <w:rsid w:val="00D77484"/>
    <w:rsid w:val="00D774F3"/>
    <w:rsid w:val="00D7751E"/>
    <w:rsid w:val="00D77537"/>
    <w:rsid w:val="00D7756F"/>
    <w:rsid w:val="00D7761F"/>
    <w:rsid w:val="00D7764C"/>
    <w:rsid w:val="00D777B9"/>
    <w:rsid w:val="00D778E9"/>
    <w:rsid w:val="00D77A6F"/>
    <w:rsid w:val="00D77D57"/>
    <w:rsid w:val="00D77DB3"/>
    <w:rsid w:val="00D77F3F"/>
    <w:rsid w:val="00D8014D"/>
    <w:rsid w:val="00D8018D"/>
    <w:rsid w:val="00D8025C"/>
    <w:rsid w:val="00D80427"/>
    <w:rsid w:val="00D805BE"/>
    <w:rsid w:val="00D80621"/>
    <w:rsid w:val="00D80634"/>
    <w:rsid w:val="00D80682"/>
    <w:rsid w:val="00D806E7"/>
    <w:rsid w:val="00D80A53"/>
    <w:rsid w:val="00D80A66"/>
    <w:rsid w:val="00D80BD3"/>
    <w:rsid w:val="00D80C18"/>
    <w:rsid w:val="00D80EF8"/>
    <w:rsid w:val="00D8101C"/>
    <w:rsid w:val="00D810C6"/>
    <w:rsid w:val="00D812C5"/>
    <w:rsid w:val="00D81351"/>
    <w:rsid w:val="00D81430"/>
    <w:rsid w:val="00D8164C"/>
    <w:rsid w:val="00D817D2"/>
    <w:rsid w:val="00D81874"/>
    <w:rsid w:val="00D81878"/>
    <w:rsid w:val="00D819F1"/>
    <w:rsid w:val="00D81A43"/>
    <w:rsid w:val="00D81B5F"/>
    <w:rsid w:val="00D81D60"/>
    <w:rsid w:val="00D81D6F"/>
    <w:rsid w:val="00D81D7A"/>
    <w:rsid w:val="00D82137"/>
    <w:rsid w:val="00D8216B"/>
    <w:rsid w:val="00D8228F"/>
    <w:rsid w:val="00D8230C"/>
    <w:rsid w:val="00D82389"/>
    <w:rsid w:val="00D82404"/>
    <w:rsid w:val="00D824E0"/>
    <w:rsid w:val="00D82533"/>
    <w:rsid w:val="00D8253D"/>
    <w:rsid w:val="00D82567"/>
    <w:rsid w:val="00D825B7"/>
    <w:rsid w:val="00D82787"/>
    <w:rsid w:val="00D8281F"/>
    <w:rsid w:val="00D82947"/>
    <w:rsid w:val="00D82DD9"/>
    <w:rsid w:val="00D82E55"/>
    <w:rsid w:val="00D82F01"/>
    <w:rsid w:val="00D82FEC"/>
    <w:rsid w:val="00D83068"/>
    <w:rsid w:val="00D830FA"/>
    <w:rsid w:val="00D831C6"/>
    <w:rsid w:val="00D8334C"/>
    <w:rsid w:val="00D833B7"/>
    <w:rsid w:val="00D83645"/>
    <w:rsid w:val="00D83829"/>
    <w:rsid w:val="00D83977"/>
    <w:rsid w:val="00D839FD"/>
    <w:rsid w:val="00D83A25"/>
    <w:rsid w:val="00D83A49"/>
    <w:rsid w:val="00D83C12"/>
    <w:rsid w:val="00D83CBD"/>
    <w:rsid w:val="00D83E79"/>
    <w:rsid w:val="00D83E96"/>
    <w:rsid w:val="00D83EAD"/>
    <w:rsid w:val="00D840B9"/>
    <w:rsid w:val="00D84121"/>
    <w:rsid w:val="00D8412A"/>
    <w:rsid w:val="00D8417B"/>
    <w:rsid w:val="00D843CB"/>
    <w:rsid w:val="00D8442B"/>
    <w:rsid w:val="00D84474"/>
    <w:rsid w:val="00D8448C"/>
    <w:rsid w:val="00D84675"/>
    <w:rsid w:val="00D846B3"/>
    <w:rsid w:val="00D847ED"/>
    <w:rsid w:val="00D847FD"/>
    <w:rsid w:val="00D84825"/>
    <w:rsid w:val="00D84890"/>
    <w:rsid w:val="00D84A82"/>
    <w:rsid w:val="00D84CE2"/>
    <w:rsid w:val="00D84DF8"/>
    <w:rsid w:val="00D84E9C"/>
    <w:rsid w:val="00D84EA9"/>
    <w:rsid w:val="00D84F79"/>
    <w:rsid w:val="00D84FC7"/>
    <w:rsid w:val="00D850C1"/>
    <w:rsid w:val="00D851AA"/>
    <w:rsid w:val="00D853CE"/>
    <w:rsid w:val="00D8549D"/>
    <w:rsid w:val="00D855F2"/>
    <w:rsid w:val="00D85669"/>
    <w:rsid w:val="00D857BD"/>
    <w:rsid w:val="00D857EB"/>
    <w:rsid w:val="00D85D6F"/>
    <w:rsid w:val="00D86095"/>
    <w:rsid w:val="00D86200"/>
    <w:rsid w:val="00D86238"/>
    <w:rsid w:val="00D863BA"/>
    <w:rsid w:val="00D864DF"/>
    <w:rsid w:val="00D8650A"/>
    <w:rsid w:val="00D865C1"/>
    <w:rsid w:val="00D86708"/>
    <w:rsid w:val="00D8679F"/>
    <w:rsid w:val="00D868E6"/>
    <w:rsid w:val="00D86925"/>
    <w:rsid w:val="00D86CC1"/>
    <w:rsid w:val="00D86CC2"/>
    <w:rsid w:val="00D86DF5"/>
    <w:rsid w:val="00D86E35"/>
    <w:rsid w:val="00D86F81"/>
    <w:rsid w:val="00D875AB"/>
    <w:rsid w:val="00D8770C"/>
    <w:rsid w:val="00D8774C"/>
    <w:rsid w:val="00D877F5"/>
    <w:rsid w:val="00D879D3"/>
    <w:rsid w:val="00D87A1F"/>
    <w:rsid w:val="00D87AFA"/>
    <w:rsid w:val="00D87B01"/>
    <w:rsid w:val="00D87C00"/>
    <w:rsid w:val="00D87CB6"/>
    <w:rsid w:val="00D87E63"/>
    <w:rsid w:val="00D9015A"/>
    <w:rsid w:val="00D90234"/>
    <w:rsid w:val="00D90573"/>
    <w:rsid w:val="00D90927"/>
    <w:rsid w:val="00D90AF5"/>
    <w:rsid w:val="00D90B24"/>
    <w:rsid w:val="00D90C48"/>
    <w:rsid w:val="00D90D3D"/>
    <w:rsid w:val="00D90DED"/>
    <w:rsid w:val="00D90E76"/>
    <w:rsid w:val="00D9103F"/>
    <w:rsid w:val="00D911CB"/>
    <w:rsid w:val="00D9142C"/>
    <w:rsid w:val="00D915AA"/>
    <w:rsid w:val="00D915CA"/>
    <w:rsid w:val="00D917A9"/>
    <w:rsid w:val="00D91993"/>
    <w:rsid w:val="00D91BFD"/>
    <w:rsid w:val="00D91C1F"/>
    <w:rsid w:val="00D91D74"/>
    <w:rsid w:val="00D91EA9"/>
    <w:rsid w:val="00D91FE1"/>
    <w:rsid w:val="00D920B8"/>
    <w:rsid w:val="00D9212A"/>
    <w:rsid w:val="00D92157"/>
    <w:rsid w:val="00D922BE"/>
    <w:rsid w:val="00D92497"/>
    <w:rsid w:val="00D924DA"/>
    <w:rsid w:val="00D92515"/>
    <w:rsid w:val="00D9294B"/>
    <w:rsid w:val="00D92A4D"/>
    <w:rsid w:val="00D92AB4"/>
    <w:rsid w:val="00D92B92"/>
    <w:rsid w:val="00D92D0C"/>
    <w:rsid w:val="00D93145"/>
    <w:rsid w:val="00D9323D"/>
    <w:rsid w:val="00D933F4"/>
    <w:rsid w:val="00D93624"/>
    <w:rsid w:val="00D93698"/>
    <w:rsid w:val="00D93775"/>
    <w:rsid w:val="00D937D3"/>
    <w:rsid w:val="00D9380E"/>
    <w:rsid w:val="00D9383B"/>
    <w:rsid w:val="00D938A0"/>
    <w:rsid w:val="00D939D8"/>
    <w:rsid w:val="00D93B08"/>
    <w:rsid w:val="00D93B28"/>
    <w:rsid w:val="00D93B2A"/>
    <w:rsid w:val="00D93BA5"/>
    <w:rsid w:val="00D93DFD"/>
    <w:rsid w:val="00D93E20"/>
    <w:rsid w:val="00D93F15"/>
    <w:rsid w:val="00D940F1"/>
    <w:rsid w:val="00D9416F"/>
    <w:rsid w:val="00D9431C"/>
    <w:rsid w:val="00D94483"/>
    <w:rsid w:val="00D94653"/>
    <w:rsid w:val="00D947EB"/>
    <w:rsid w:val="00D94A41"/>
    <w:rsid w:val="00D94AD3"/>
    <w:rsid w:val="00D94B20"/>
    <w:rsid w:val="00D94D7A"/>
    <w:rsid w:val="00D94F90"/>
    <w:rsid w:val="00D9523E"/>
    <w:rsid w:val="00D95296"/>
    <w:rsid w:val="00D95317"/>
    <w:rsid w:val="00D95372"/>
    <w:rsid w:val="00D9541E"/>
    <w:rsid w:val="00D9549B"/>
    <w:rsid w:val="00D95527"/>
    <w:rsid w:val="00D95679"/>
    <w:rsid w:val="00D957F3"/>
    <w:rsid w:val="00D95BCF"/>
    <w:rsid w:val="00D95BD6"/>
    <w:rsid w:val="00D95E53"/>
    <w:rsid w:val="00D95EEF"/>
    <w:rsid w:val="00D95F25"/>
    <w:rsid w:val="00D960DA"/>
    <w:rsid w:val="00D96157"/>
    <w:rsid w:val="00D9620D"/>
    <w:rsid w:val="00D9628F"/>
    <w:rsid w:val="00D962E1"/>
    <w:rsid w:val="00D96409"/>
    <w:rsid w:val="00D9653C"/>
    <w:rsid w:val="00D9677E"/>
    <w:rsid w:val="00D96825"/>
    <w:rsid w:val="00D968B2"/>
    <w:rsid w:val="00D96A27"/>
    <w:rsid w:val="00D96A94"/>
    <w:rsid w:val="00D96AF1"/>
    <w:rsid w:val="00D96B72"/>
    <w:rsid w:val="00D96C09"/>
    <w:rsid w:val="00D96E80"/>
    <w:rsid w:val="00D97046"/>
    <w:rsid w:val="00D97071"/>
    <w:rsid w:val="00D97153"/>
    <w:rsid w:val="00D97206"/>
    <w:rsid w:val="00D9731C"/>
    <w:rsid w:val="00D97354"/>
    <w:rsid w:val="00D9749E"/>
    <w:rsid w:val="00D974BC"/>
    <w:rsid w:val="00D975C7"/>
    <w:rsid w:val="00D9772D"/>
    <w:rsid w:val="00D97882"/>
    <w:rsid w:val="00D97D18"/>
    <w:rsid w:val="00D97D2D"/>
    <w:rsid w:val="00D97D52"/>
    <w:rsid w:val="00D97D5C"/>
    <w:rsid w:val="00D97E6F"/>
    <w:rsid w:val="00D97F59"/>
    <w:rsid w:val="00DA0162"/>
    <w:rsid w:val="00DA0240"/>
    <w:rsid w:val="00DA02DD"/>
    <w:rsid w:val="00DA0332"/>
    <w:rsid w:val="00DA03A5"/>
    <w:rsid w:val="00DA0448"/>
    <w:rsid w:val="00DA04B2"/>
    <w:rsid w:val="00DA06C5"/>
    <w:rsid w:val="00DA06CE"/>
    <w:rsid w:val="00DA093B"/>
    <w:rsid w:val="00DA0946"/>
    <w:rsid w:val="00DA0F6C"/>
    <w:rsid w:val="00DA1094"/>
    <w:rsid w:val="00DA1518"/>
    <w:rsid w:val="00DA1661"/>
    <w:rsid w:val="00DA16BE"/>
    <w:rsid w:val="00DA1736"/>
    <w:rsid w:val="00DA18E5"/>
    <w:rsid w:val="00DA1933"/>
    <w:rsid w:val="00DA19C8"/>
    <w:rsid w:val="00DA1A47"/>
    <w:rsid w:val="00DA1AF4"/>
    <w:rsid w:val="00DA1B8F"/>
    <w:rsid w:val="00DA1D3C"/>
    <w:rsid w:val="00DA1E74"/>
    <w:rsid w:val="00DA1F18"/>
    <w:rsid w:val="00DA1F97"/>
    <w:rsid w:val="00DA2052"/>
    <w:rsid w:val="00DA20A7"/>
    <w:rsid w:val="00DA20C4"/>
    <w:rsid w:val="00DA2424"/>
    <w:rsid w:val="00DA2587"/>
    <w:rsid w:val="00DA26C1"/>
    <w:rsid w:val="00DA2858"/>
    <w:rsid w:val="00DA2994"/>
    <w:rsid w:val="00DA2B20"/>
    <w:rsid w:val="00DA2D75"/>
    <w:rsid w:val="00DA2D81"/>
    <w:rsid w:val="00DA2D91"/>
    <w:rsid w:val="00DA2DC5"/>
    <w:rsid w:val="00DA2E18"/>
    <w:rsid w:val="00DA316B"/>
    <w:rsid w:val="00DA31B3"/>
    <w:rsid w:val="00DA32A4"/>
    <w:rsid w:val="00DA383F"/>
    <w:rsid w:val="00DA3926"/>
    <w:rsid w:val="00DA3B17"/>
    <w:rsid w:val="00DA3B1D"/>
    <w:rsid w:val="00DA3B8F"/>
    <w:rsid w:val="00DA3C5C"/>
    <w:rsid w:val="00DA3E14"/>
    <w:rsid w:val="00DA3E17"/>
    <w:rsid w:val="00DA4015"/>
    <w:rsid w:val="00DA4090"/>
    <w:rsid w:val="00DA40DB"/>
    <w:rsid w:val="00DA4233"/>
    <w:rsid w:val="00DA437F"/>
    <w:rsid w:val="00DA44EF"/>
    <w:rsid w:val="00DA4687"/>
    <w:rsid w:val="00DA473A"/>
    <w:rsid w:val="00DA47F3"/>
    <w:rsid w:val="00DA483D"/>
    <w:rsid w:val="00DA4908"/>
    <w:rsid w:val="00DA4961"/>
    <w:rsid w:val="00DA4974"/>
    <w:rsid w:val="00DA497E"/>
    <w:rsid w:val="00DA49A6"/>
    <w:rsid w:val="00DA49DD"/>
    <w:rsid w:val="00DA4AEC"/>
    <w:rsid w:val="00DA4B03"/>
    <w:rsid w:val="00DA4B6F"/>
    <w:rsid w:val="00DA4E38"/>
    <w:rsid w:val="00DA4FED"/>
    <w:rsid w:val="00DA50F8"/>
    <w:rsid w:val="00DA516D"/>
    <w:rsid w:val="00DA5235"/>
    <w:rsid w:val="00DA52AC"/>
    <w:rsid w:val="00DA5300"/>
    <w:rsid w:val="00DA534E"/>
    <w:rsid w:val="00DA53D1"/>
    <w:rsid w:val="00DA53E1"/>
    <w:rsid w:val="00DA5513"/>
    <w:rsid w:val="00DA55BD"/>
    <w:rsid w:val="00DA5637"/>
    <w:rsid w:val="00DA59B8"/>
    <w:rsid w:val="00DA5BB1"/>
    <w:rsid w:val="00DA5D4A"/>
    <w:rsid w:val="00DA5F8D"/>
    <w:rsid w:val="00DA5FA8"/>
    <w:rsid w:val="00DA60CD"/>
    <w:rsid w:val="00DA60CF"/>
    <w:rsid w:val="00DA60EA"/>
    <w:rsid w:val="00DA60F2"/>
    <w:rsid w:val="00DA61DB"/>
    <w:rsid w:val="00DA627C"/>
    <w:rsid w:val="00DA6437"/>
    <w:rsid w:val="00DA6575"/>
    <w:rsid w:val="00DA685D"/>
    <w:rsid w:val="00DA6865"/>
    <w:rsid w:val="00DA6A20"/>
    <w:rsid w:val="00DA6AA9"/>
    <w:rsid w:val="00DA6B88"/>
    <w:rsid w:val="00DA6CE4"/>
    <w:rsid w:val="00DA6E65"/>
    <w:rsid w:val="00DA6F60"/>
    <w:rsid w:val="00DA72E6"/>
    <w:rsid w:val="00DA731B"/>
    <w:rsid w:val="00DA7387"/>
    <w:rsid w:val="00DA7447"/>
    <w:rsid w:val="00DA763E"/>
    <w:rsid w:val="00DA77CE"/>
    <w:rsid w:val="00DA783D"/>
    <w:rsid w:val="00DA78B0"/>
    <w:rsid w:val="00DA797B"/>
    <w:rsid w:val="00DA7B08"/>
    <w:rsid w:val="00DA7D0D"/>
    <w:rsid w:val="00DA7D1A"/>
    <w:rsid w:val="00DA7DEF"/>
    <w:rsid w:val="00DB008A"/>
    <w:rsid w:val="00DB00A6"/>
    <w:rsid w:val="00DB0117"/>
    <w:rsid w:val="00DB03D6"/>
    <w:rsid w:val="00DB03FC"/>
    <w:rsid w:val="00DB0480"/>
    <w:rsid w:val="00DB071F"/>
    <w:rsid w:val="00DB0726"/>
    <w:rsid w:val="00DB07EE"/>
    <w:rsid w:val="00DB0904"/>
    <w:rsid w:val="00DB0966"/>
    <w:rsid w:val="00DB0976"/>
    <w:rsid w:val="00DB0BC6"/>
    <w:rsid w:val="00DB0BEC"/>
    <w:rsid w:val="00DB0CA0"/>
    <w:rsid w:val="00DB0E12"/>
    <w:rsid w:val="00DB0E78"/>
    <w:rsid w:val="00DB0F29"/>
    <w:rsid w:val="00DB0F55"/>
    <w:rsid w:val="00DB12B2"/>
    <w:rsid w:val="00DB12EB"/>
    <w:rsid w:val="00DB1505"/>
    <w:rsid w:val="00DB173E"/>
    <w:rsid w:val="00DB1798"/>
    <w:rsid w:val="00DB1953"/>
    <w:rsid w:val="00DB1A3A"/>
    <w:rsid w:val="00DB1CFE"/>
    <w:rsid w:val="00DB1CFF"/>
    <w:rsid w:val="00DB1D33"/>
    <w:rsid w:val="00DB1E4B"/>
    <w:rsid w:val="00DB1E8D"/>
    <w:rsid w:val="00DB1F33"/>
    <w:rsid w:val="00DB200C"/>
    <w:rsid w:val="00DB21B3"/>
    <w:rsid w:val="00DB22A9"/>
    <w:rsid w:val="00DB22B4"/>
    <w:rsid w:val="00DB23B1"/>
    <w:rsid w:val="00DB247E"/>
    <w:rsid w:val="00DB24FE"/>
    <w:rsid w:val="00DB26FE"/>
    <w:rsid w:val="00DB2A77"/>
    <w:rsid w:val="00DB2AB1"/>
    <w:rsid w:val="00DB2AB7"/>
    <w:rsid w:val="00DB2BFC"/>
    <w:rsid w:val="00DB2C71"/>
    <w:rsid w:val="00DB2F0D"/>
    <w:rsid w:val="00DB2F43"/>
    <w:rsid w:val="00DB3062"/>
    <w:rsid w:val="00DB3086"/>
    <w:rsid w:val="00DB30DC"/>
    <w:rsid w:val="00DB3237"/>
    <w:rsid w:val="00DB324C"/>
    <w:rsid w:val="00DB3318"/>
    <w:rsid w:val="00DB3333"/>
    <w:rsid w:val="00DB333F"/>
    <w:rsid w:val="00DB3383"/>
    <w:rsid w:val="00DB3399"/>
    <w:rsid w:val="00DB33C5"/>
    <w:rsid w:val="00DB354B"/>
    <w:rsid w:val="00DB35AD"/>
    <w:rsid w:val="00DB35AF"/>
    <w:rsid w:val="00DB35BB"/>
    <w:rsid w:val="00DB3A37"/>
    <w:rsid w:val="00DB3A38"/>
    <w:rsid w:val="00DB3AF4"/>
    <w:rsid w:val="00DB3CDD"/>
    <w:rsid w:val="00DB3D1A"/>
    <w:rsid w:val="00DB3D9F"/>
    <w:rsid w:val="00DB3E1F"/>
    <w:rsid w:val="00DB3E79"/>
    <w:rsid w:val="00DB3F1C"/>
    <w:rsid w:val="00DB3FB5"/>
    <w:rsid w:val="00DB412E"/>
    <w:rsid w:val="00DB4145"/>
    <w:rsid w:val="00DB4236"/>
    <w:rsid w:val="00DB4247"/>
    <w:rsid w:val="00DB42BF"/>
    <w:rsid w:val="00DB4319"/>
    <w:rsid w:val="00DB4335"/>
    <w:rsid w:val="00DB434D"/>
    <w:rsid w:val="00DB440B"/>
    <w:rsid w:val="00DB479A"/>
    <w:rsid w:val="00DB4892"/>
    <w:rsid w:val="00DB4A18"/>
    <w:rsid w:val="00DB4A86"/>
    <w:rsid w:val="00DB4B26"/>
    <w:rsid w:val="00DB4C2A"/>
    <w:rsid w:val="00DB4CF2"/>
    <w:rsid w:val="00DB4E0E"/>
    <w:rsid w:val="00DB5082"/>
    <w:rsid w:val="00DB50E2"/>
    <w:rsid w:val="00DB52B4"/>
    <w:rsid w:val="00DB5374"/>
    <w:rsid w:val="00DB5436"/>
    <w:rsid w:val="00DB5465"/>
    <w:rsid w:val="00DB54B8"/>
    <w:rsid w:val="00DB54DC"/>
    <w:rsid w:val="00DB57A2"/>
    <w:rsid w:val="00DB5835"/>
    <w:rsid w:val="00DB5999"/>
    <w:rsid w:val="00DB5A5D"/>
    <w:rsid w:val="00DB5C51"/>
    <w:rsid w:val="00DB5CC1"/>
    <w:rsid w:val="00DB5CFF"/>
    <w:rsid w:val="00DB5D51"/>
    <w:rsid w:val="00DB5EC8"/>
    <w:rsid w:val="00DB605A"/>
    <w:rsid w:val="00DB60E9"/>
    <w:rsid w:val="00DB6163"/>
    <w:rsid w:val="00DB6197"/>
    <w:rsid w:val="00DB626E"/>
    <w:rsid w:val="00DB62BF"/>
    <w:rsid w:val="00DB62C9"/>
    <w:rsid w:val="00DB6371"/>
    <w:rsid w:val="00DB64A6"/>
    <w:rsid w:val="00DB64D8"/>
    <w:rsid w:val="00DB6576"/>
    <w:rsid w:val="00DB65BC"/>
    <w:rsid w:val="00DB673A"/>
    <w:rsid w:val="00DB6965"/>
    <w:rsid w:val="00DB6A04"/>
    <w:rsid w:val="00DB6AF7"/>
    <w:rsid w:val="00DB6D23"/>
    <w:rsid w:val="00DB6D3D"/>
    <w:rsid w:val="00DB6D75"/>
    <w:rsid w:val="00DB6EE7"/>
    <w:rsid w:val="00DB6EF9"/>
    <w:rsid w:val="00DB6F4D"/>
    <w:rsid w:val="00DB7002"/>
    <w:rsid w:val="00DB7038"/>
    <w:rsid w:val="00DB7095"/>
    <w:rsid w:val="00DB710C"/>
    <w:rsid w:val="00DB719C"/>
    <w:rsid w:val="00DB72C9"/>
    <w:rsid w:val="00DB7385"/>
    <w:rsid w:val="00DB7468"/>
    <w:rsid w:val="00DB7538"/>
    <w:rsid w:val="00DB75E9"/>
    <w:rsid w:val="00DB7602"/>
    <w:rsid w:val="00DB77AC"/>
    <w:rsid w:val="00DB78C7"/>
    <w:rsid w:val="00DB78D9"/>
    <w:rsid w:val="00DB7A41"/>
    <w:rsid w:val="00DB7B2E"/>
    <w:rsid w:val="00DB7B65"/>
    <w:rsid w:val="00DB7B6E"/>
    <w:rsid w:val="00DB7C04"/>
    <w:rsid w:val="00DB7C13"/>
    <w:rsid w:val="00DB7C25"/>
    <w:rsid w:val="00DB7DC1"/>
    <w:rsid w:val="00DB7E18"/>
    <w:rsid w:val="00DB7F6A"/>
    <w:rsid w:val="00DB7FF3"/>
    <w:rsid w:val="00DC0078"/>
    <w:rsid w:val="00DC00FE"/>
    <w:rsid w:val="00DC01AD"/>
    <w:rsid w:val="00DC04B1"/>
    <w:rsid w:val="00DC0567"/>
    <w:rsid w:val="00DC05B0"/>
    <w:rsid w:val="00DC0662"/>
    <w:rsid w:val="00DC0877"/>
    <w:rsid w:val="00DC08FB"/>
    <w:rsid w:val="00DC092B"/>
    <w:rsid w:val="00DC0AF9"/>
    <w:rsid w:val="00DC0B2B"/>
    <w:rsid w:val="00DC0BD9"/>
    <w:rsid w:val="00DC0CF2"/>
    <w:rsid w:val="00DC0DDC"/>
    <w:rsid w:val="00DC10C5"/>
    <w:rsid w:val="00DC10E3"/>
    <w:rsid w:val="00DC11C5"/>
    <w:rsid w:val="00DC1281"/>
    <w:rsid w:val="00DC1343"/>
    <w:rsid w:val="00DC1404"/>
    <w:rsid w:val="00DC1452"/>
    <w:rsid w:val="00DC1487"/>
    <w:rsid w:val="00DC165F"/>
    <w:rsid w:val="00DC1731"/>
    <w:rsid w:val="00DC17C7"/>
    <w:rsid w:val="00DC1911"/>
    <w:rsid w:val="00DC1C5B"/>
    <w:rsid w:val="00DC1DBD"/>
    <w:rsid w:val="00DC1DCA"/>
    <w:rsid w:val="00DC1E72"/>
    <w:rsid w:val="00DC1FB9"/>
    <w:rsid w:val="00DC2057"/>
    <w:rsid w:val="00DC2082"/>
    <w:rsid w:val="00DC2146"/>
    <w:rsid w:val="00DC2457"/>
    <w:rsid w:val="00DC284C"/>
    <w:rsid w:val="00DC294F"/>
    <w:rsid w:val="00DC2A83"/>
    <w:rsid w:val="00DC2AF7"/>
    <w:rsid w:val="00DC2B0B"/>
    <w:rsid w:val="00DC2DEE"/>
    <w:rsid w:val="00DC2E77"/>
    <w:rsid w:val="00DC2EA2"/>
    <w:rsid w:val="00DC3010"/>
    <w:rsid w:val="00DC302C"/>
    <w:rsid w:val="00DC3121"/>
    <w:rsid w:val="00DC315D"/>
    <w:rsid w:val="00DC33E1"/>
    <w:rsid w:val="00DC3427"/>
    <w:rsid w:val="00DC345E"/>
    <w:rsid w:val="00DC3498"/>
    <w:rsid w:val="00DC34BE"/>
    <w:rsid w:val="00DC35E2"/>
    <w:rsid w:val="00DC367F"/>
    <w:rsid w:val="00DC3760"/>
    <w:rsid w:val="00DC3BB8"/>
    <w:rsid w:val="00DC3C22"/>
    <w:rsid w:val="00DC3DE7"/>
    <w:rsid w:val="00DC3E10"/>
    <w:rsid w:val="00DC3E5C"/>
    <w:rsid w:val="00DC3EA3"/>
    <w:rsid w:val="00DC3FEA"/>
    <w:rsid w:val="00DC4180"/>
    <w:rsid w:val="00DC41FB"/>
    <w:rsid w:val="00DC420F"/>
    <w:rsid w:val="00DC4374"/>
    <w:rsid w:val="00DC4387"/>
    <w:rsid w:val="00DC444B"/>
    <w:rsid w:val="00DC4514"/>
    <w:rsid w:val="00DC45D8"/>
    <w:rsid w:val="00DC4611"/>
    <w:rsid w:val="00DC4669"/>
    <w:rsid w:val="00DC4711"/>
    <w:rsid w:val="00DC48F6"/>
    <w:rsid w:val="00DC4998"/>
    <w:rsid w:val="00DC4A32"/>
    <w:rsid w:val="00DC4B5E"/>
    <w:rsid w:val="00DC4BD9"/>
    <w:rsid w:val="00DC4CC3"/>
    <w:rsid w:val="00DC4DB7"/>
    <w:rsid w:val="00DC4EF9"/>
    <w:rsid w:val="00DC51D4"/>
    <w:rsid w:val="00DC5224"/>
    <w:rsid w:val="00DC5324"/>
    <w:rsid w:val="00DC53A5"/>
    <w:rsid w:val="00DC53F2"/>
    <w:rsid w:val="00DC5622"/>
    <w:rsid w:val="00DC5720"/>
    <w:rsid w:val="00DC57BB"/>
    <w:rsid w:val="00DC59D3"/>
    <w:rsid w:val="00DC5C0B"/>
    <w:rsid w:val="00DC5D77"/>
    <w:rsid w:val="00DC5DC3"/>
    <w:rsid w:val="00DC6078"/>
    <w:rsid w:val="00DC62B9"/>
    <w:rsid w:val="00DC66F8"/>
    <w:rsid w:val="00DC691D"/>
    <w:rsid w:val="00DC6954"/>
    <w:rsid w:val="00DC6A98"/>
    <w:rsid w:val="00DC6ABF"/>
    <w:rsid w:val="00DC6B5A"/>
    <w:rsid w:val="00DC6BF3"/>
    <w:rsid w:val="00DC6CD5"/>
    <w:rsid w:val="00DC6DEA"/>
    <w:rsid w:val="00DC6E81"/>
    <w:rsid w:val="00DC6F9C"/>
    <w:rsid w:val="00DC6FE6"/>
    <w:rsid w:val="00DC71B9"/>
    <w:rsid w:val="00DC72D8"/>
    <w:rsid w:val="00DC72E8"/>
    <w:rsid w:val="00DC732B"/>
    <w:rsid w:val="00DC733C"/>
    <w:rsid w:val="00DC74C5"/>
    <w:rsid w:val="00DC74D8"/>
    <w:rsid w:val="00DC75F3"/>
    <w:rsid w:val="00DC7730"/>
    <w:rsid w:val="00DC779E"/>
    <w:rsid w:val="00DC781A"/>
    <w:rsid w:val="00DC78B0"/>
    <w:rsid w:val="00DC78DD"/>
    <w:rsid w:val="00DC7903"/>
    <w:rsid w:val="00DC79B7"/>
    <w:rsid w:val="00DC7A08"/>
    <w:rsid w:val="00DC7A45"/>
    <w:rsid w:val="00DC7AD4"/>
    <w:rsid w:val="00DC7BE6"/>
    <w:rsid w:val="00DC7D19"/>
    <w:rsid w:val="00DC7F77"/>
    <w:rsid w:val="00DD0032"/>
    <w:rsid w:val="00DD0096"/>
    <w:rsid w:val="00DD0230"/>
    <w:rsid w:val="00DD023B"/>
    <w:rsid w:val="00DD02EA"/>
    <w:rsid w:val="00DD0374"/>
    <w:rsid w:val="00DD041D"/>
    <w:rsid w:val="00DD048B"/>
    <w:rsid w:val="00DD0517"/>
    <w:rsid w:val="00DD052B"/>
    <w:rsid w:val="00DD061B"/>
    <w:rsid w:val="00DD07E9"/>
    <w:rsid w:val="00DD0813"/>
    <w:rsid w:val="00DD0908"/>
    <w:rsid w:val="00DD093B"/>
    <w:rsid w:val="00DD0C1E"/>
    <w:rsid w:val="00DD0D40"/>
    <w:rsid w:val="00DD0F24"/>
    <w:rsid w:val="00DD1285"/>
    <w:rsid w:val="00DD1321"/>
    <w:rsid w:val="00DD1450"/>
    <w:rsid w:val="00DD1607"/>
    <w:rsid w:val="00DD16FD"/>
    <w:rsid w:val="00DD191F"/>
    <w:rsid w:val="00DD1A29"/>
    <w:rsid w:val="00DD1A62"/>
    <w:rsid w:val="00DD1A80"/>
    <w:rsid w:val="00DD1ADC"/>
    <w:rsid w:val="00DD1C90"/>
    <w:rsid w:val="00DD1F10"/>
    <w:rsid w:val="00DD1F6F"/>
    <w:rsid w:val="00DD1FE4"/>
    <w:rsid w:val="00DD2039"/>
    <w:rsid w:val="00DD2040"/>
    <w:rsid w:val="00DD2126"/>
    <w:rsid w:val="00DD22C5"/>
    <w:rsid w:val="00DD22F2"/>
    <w:rsid w:val="00DD2432"/>
    <w:rsid w:val="00DD2508"/>
    <w:rsid w:val="00DD252A"/>
    <w:rsid w:val="00DD27C2"/>
    <w:rsid w:val="00DD2BA1"/>
    <w:rsid w:val="00DD2BBD"/>
    <w:rsid w:val="00DD2BDE"/>
    <w:rsid w:val="00DD2BF3"/>
    <w:rsid w:val="00DD2D8E"/>
    <w:rsid w:val="00DD2E30"/>
    <w:rsid w:val="00DD326E"/>
    <w:rsid w:val="00DD335D"/>
    <w:rsid w:val="00DD3432"/>
    <w:rsid w:val="00DD350B"/>
    <w:rsid w:val="00DD352B"/>
    <w:rsid w:val="00DD3631"/>
    <w:rsid w:val="00DD38B0"/>
    <w:rsid w:val="00DD3A7C"/>
    <w:rsid w:val="00DD3AF4"/>
    <w:rsid w:val="00DD3BFF"/>
    <w:rsid w:val="00DD3C27"/>
    <w:rsid w:val="00DD3C2E"/>
    <w:rsid w:val="00DD3CF3"/>
    <w:rsid w:val="00DD3D05"/>
    <w:rsid w:val="00DD3D6C"/>
    <w:rsid w:val="00DD4091"/>
    <w:rsid w:val="00DD4195"/>
    <w:rsid w:val="00DD440E"/>
    <w:rsid w:val="00DD44C0"/>
    <w:rsid w:val="00DD44DF"/>
    <w:rsid w:val="00DD451F"/>
    <w:rsid w:val="00DD46C9"/>
    <w:rsid w:val="00DD46F4"/>
    <w:rsid w:val="00DD470E"/>
    <w:rsid w:val="00DD4960"/>
    <w:rsid w:val="00DD498A"/>
    <w:rsid w:val="00DD49F1"/>
    <w:rsid w:val="00DD4AC5"/>
    <w:rsid w:val="00DD4BB3"/>
    <w:rsid w:val="00DD4E6E"/>
    <w:rsid w:val="00DD4FB8"/>
    <w:rsid w:val="00DD510F"/>
    <w:rsid w:val="00DD5133"/>
    <w:rsid w:val="00DD5159"/>
    <w:rsid w:val="00DD51BE"/>
    <w:rsid w:val="00DD5223"/>
    <w:rsid w:val="00DD54ED"/>
    <w:rsid w:val="00DD570B"/>
    <w:rsid w:val="00DD5996"/>
    <w:rsid w:val="00DD59EE"/>
    <w:rsid w:val="00DD5A2E"/>
    <w:rsid w:val="00DD5C7A"/>
    <w:rsid w:val="00DD5C8E"/>
    <w:rsid w:val="00DD5E4A"/>
    <w:rsid w:val="00DD6165"/>
    <w:rsid w:val="00DD635D"/>
    <w:rsid w:val="00DD6360"/>
    <w:rsid w:val="00DD6488"/>
    <w:rsid w:val="00DD6822"/>
    <w:rsid w:val="00DD689A"/>
    <w:rsid w:val="00DD6A42"/>
    <w:rsid w:val="00DD6A6E"/>
    <w:rsid w:val="00DD6EE7"/>
    <w:rsid w:val="00DD6F1F"/>
    <w:rsid w:val="00DD6F56"/>
    <w:rsid w:val="00DD6FC3"/>
    <w:rsid w:val="00DD6FF9"/>
    <w:rsid w:val="00DD70D9"/>
    <w:rsid w:val="00DD72BB"/>
    <w:rsid w:val="00DD72DB"/>
    <w:rsid w:val="00DD72E8"/>
    <w:rsid w:val="00DD74D2"/>
    <w:rsid w:val="00DD74EC"/>
    <w:rsid w:val="00DD762E"/>
    <w:rsid w:val="00DD795D"/>
    <w:rsid w:val="00DD7A79"/>
    <w:rsid w:val="00DD7B0D"/>
    <w:rsid w:val="00DD7C68"/>
    <w:rsid w:val="00DD7DC7"/>
    <w:rsid w:val="00DD7DCE"/>
    <w:rsid w:val="00DD7E34"/>
    <w:rsid w:val="00DD7EE3"/>
    <w:rsid w:val="00DD7FB5"/>
    <w:rsid w:val="00DE026C"/>
    <w:rsid w:val="00DE0290"/>
    <w:rsid w:val="00DE0325"/>
    <w:rsid w:val="00DE04F4"/>
    <w:rsid w:val="00DE0501"/>
    <w:rsid w:val="00DE0581"/>
    <w:rsid w:val="00DE069E"/>
    <w:rsid w:val="00DE06FB"/>
    <w:rsid w:val="00DE0778"/>
    <w:rsid w:val="00DE07A4"/>
    <w:rsid w:val="00DE0872"/>
    <w:rsid w:val="00DE08C4"/>
    <w:rsid w:val="00DE095A"/>
    <w:rsid w:val="00DE0AFF"/>
    <w:rsid w:val="00DE0B58"/>
    <w:rsid w:val="00DE0D49"/>
    <w:rsid w:val="00DE0D99"/>
    <w:rsid w:val="00DE0DE7"/>
    <w:rsid w:val="00DE0F3D"/>
    <w:rsid w:val="00DE113E"/>
    <w:rsid w:val="00DE1149"/>
    <w:rsid w:val="00DE1326"/>
    <w:rsid w:val="00DE1727"/>
    <w:rsid w:val="00DE18DC"/>
    <w:rsid w:val="00DE1A49"/>
    <w:rsid w:val="00DE1C8B"/>
    <w:rsid w:val="00DE1C9F"/>
    <w:rsid w:val="00DE1E12"/>
    <w:rsid w:val="00DE1E61"/>
    <w:rsid w:val="00DE1F10"/>
    <w:rsid w:val="00DE2015"/>
    <w:rsid w:val="00DE22EA"/>
    <w:rsid w:val="00DE2404"/>
    <w:rsid w:val="00DE274A"/>
    <w:rsid w:val="00DE2A42"/>
    <w:rsid w:val="00DE2B18"/>
    <w:rsid w:val="00DE2E41"/>
    <w:rsid w:val="00DE2EB2"/>
    <w:rsid w:val="00DE3004"/>
    <w:rsid w:val="00DE3282"/>
    <w:rsid w:val="00DE32CE"/>
    <w:rsid w:val="00DE3317"/>
    <w:rsid w:val="00DE33C9"/>
    <w:rsid w:val="00DE3654"/>
    <w:rsid w:val="00DE3667"/>
    <w:rsid w:val="00DE3688"/>
    <w:rsid w:val="00DE3783"/>
    <w:rsid w:val="00DE3845"/>
    <w:rsid w:val="00DE385C"/>
    <w:rsid w:val="00DE3A3A"/>
    <w:rsid w:val="00DE3AEE"/>
    <w:rsid w:val="00DE3B0F"/>
    <w:rsid w:val="00DE3B71"/>
    <w:rsid w:val="00DE4047"/>
    <w:rsid w:val="00DE40AF"/>
    <w:rsid w:val="00DE4130"/>
    <w:rsid w:val="00DE4203"/>
    <w:rsid w:val="00DE4407"/>
    <w:rsid w:val="00DE4465"/>
    <w:rsid w:val="00DE4523"/>
    <w:rsid w:val="00DE452F"/>
    <w:rsid w:val="00DE4984"/>
    <w:rsid w:val="00DE4B8B"/>
    <w:rsid w:val="00DE4D4D"/>
    <w:rsid w:val="00DE4D6E"/>
    <w:rsid w:val="00DE4E18"/>
    <w:rsid w:val="00DE4F2A"/>
    <w:rsid w:val="00DE4F2C"/>
    <w:rsid w:val="00DE5120"/>
    <w:rsid w:val="00DE5204"/>
    <w:rsid w:val="00DE52F0"/>
    <w:rsid w:val="00DE543B"/>
    <w:rsid w:val="00DE554D"/>
    <w:rsid w:val="00DE567E"/>
    <w:rsid w:val="00DE570C"/>
    <w:rsid w:val="00DE574F"/>
    <w:rsid w:val="00DE59D4"/>
    <w:rsid w:val="00DE5AD7"/>
    <w:rsid w:val="00DE5AED"/>
    <w:rsid w:val="00DE5B21"/>
    <w:rsid w:val="00DE5B8B"/>
    <w:rsid w:val="00DE5BBF"/>
    <w:rsid w:val="00DE5C47"/>
    <w:rsid w:val="00DE5CFF"/>
    <w:rsid w:val="00DE5D06"/>
    <w:rsid w:val="00DE5D5F"/>
    <w:rsid w:val="00DE60DB"/>
    <w:rsid w:val="00DE60E2"/>
    <w:rsid w:val="00DE615C"/>
    <w:rsid w:val="00DE6171"/>
    <w:rsid w:val="00DE6196"/>
    <w:rsid w:val="00DE61C1"/>
    <w:rsid w:val="00DE6222"/>
    <w:rsid w:val="00DE633C"/>
    <w:rsid w:val="00DE6361"/>
    <w:rsid w:val="00DE646E"/>
    <w:rsid w:val="00DE6485"/>
    <w:rsid w:val="00DE66F1"/>
    <w:rsid w:val="00DE6709"/>
    <w:rsid w:val="00DE6936"/>
    <w:rsid w:val="00DE69E8"/>
    <w:rsid w:val="00DE6A6A"/>
    <w:rsid w:val="00DE6BE0"/>
    <w:rsid w:val="00DE6BEC"/>
    <w:rsid w:val="00DE6E1A"/>
    <w:rsid w:val="00DE6E42"/>
    <w:rsid w:val="00DE6E88"/>
    <w:rsid w:val="00DE6EA3"/>
    <w:rsid w:val="00DE6FB6"/>
    <w:rsid w:val="00DE7015"/>
    <w:rsid w:val="00DE7021"/>
    <w:rsid w:val="00DE7046"/>
    <w:rsid w:val="00DE7153"/>
    <w:rsid w:val="00DE7199"/>
    <w:rsid w:val="00DE7223"/>
    <w:rsid w:val="00DE7394"/>
    <w:rsid w:val="00DE73B9"/>
    <w:rsid w:val="00DE76B3"/>
    <w:rsid w:val="00DE7702"/>
    <w:rsid w:val="00DE77A8"/>
    <w:rsid w:val="00DE78A6"/>
    <w:rsid w:val="00DE78AC"/>
    <w:rsid w:val="00DE78B0"/>
    <w:rsid w:val="00DE7909"/>
    <w:rsid w:val="00DE7992"/>
    <w:rsid w:val="00DE79BD"/>
    <w:rsid w:val="00DE7A07"/>
    <w:rsid w:val="00DE7A0C"/>
    <w:rsid w:val="00DE7A19"/>
    <w:rsid w:val="00DE7ACB"/>
    <w:rsid w:val="00DE7B91"/>
    <w:rsid w:val="00DE7FA1"/>
    <w:rsid w:val="00DF01F4"/>
    <w:rsid w:val="00DF01F6"/>
    <w:rsid w:val="00DF035E"/>
    <w:rsid w:val="00DF0388"/>
    <w:rsid w:val="00DF03C0"/>
    <w:rsid w:val="00DF0477"/>
    <w:rsid w:val="00DF04AF"/>
    <w:rsid w:val="00DF04FF"/>
    <w:rsid w:val="00DF0618"/>
    <w:rsid w:val="00DF07C8"/>
    <w:rsid w:val="00DF0878"/>
    <w:rsid w:val="00DF0896"/>
    <w:rsid w:val="00DF08E6"/>
    <w:rsid w:val="00DF09FA"/>
    <w:rsid w:val="00DF0A0A"/>
    <w:rsid w:val="00DF0A5E"/>
    <w:rsid w:val="00DF0B09"/>
    <w:rsid w:val="00DF0B1F"/>
    <w:rsid w:val="00DF0B33"/>
    <w:rsid w:val="00DF0BBD"/>
    <w:rsid w:val="00DF0C9F"/>
    <w:rsid w:val="00DF0EAB"/>
    <w:rsid w:val="00DF0ECE"/>
    <w:rsid w:val="00DF0F5C"/>
    <w:rsid w:val="00DF0FE9"/>
    <w:rsid w:val="00DF12F2"/>
    <w:rsid w:val="00DF141E"/>
    <w:rsid w:val="00DF1435"/>
    <w:rsid w:val="00DF160C"/>
    <w:rsid w:val="00DF1668"/>
    <w:rsid w:val="00DF17D5"/>
    <w:rsid w:val="00DF17FF"/>
    <w:rsid w:val="00DF1909"/>
    <w:rsid w:val="00DF1969"/>
    <w:rsid w:val="00DF1A3A"/>
    <w:rsid w:val="00DF1B55"/>
    <w:rsid w:val="00DF1BD1"/>
    <w:rsid w:val="00DF1BF0"/>
    <w:rsid w:val="00DF1D50"/>
    <w:rsid w:val="00DF1DEC"/>
    <w:rsid w:val="00DF1E44"/>
    <w:rsid w:val="00DF1EFD"/>
    <w:rsid w:val="00DF1F92"/>
    <w:rsid w:val="00DF2124"/>
    <w:rsid w:val="00DF21EC"/>
    <w:rsid w:val="00DF2261"/>
    <w:rsid w:val="00DF2296"/>
    <w:rsid w:val="00DF23B2"/>
    <w:rsid w:val="00DF267F"/>
    <w:rsid w:val="00DF2820"/>
    <w:rsid w:val="00DF2942"/>
    <w:rsid w:val="00DF29CE"/>
    <w:rsid w:val="00DF2D7C"/>
    <w:rsid w:val="00DF2DC9"/>
    <w:rsid w:val="00DF2E8E"/>
    <w:rsid w:val="00DF2F4F"/>
    <w:rsid w:val="00DF2F7E"/>
    <w:rsid w:val="00DF2FC6"/>
    <w:rsid w:val="00DF31B3"/>
    <w:rsid w:val="00DF325A"/>
    <w:rsid w:val="00DF3343"/>
    <w:rsid w:val="00DF3366"/>
    <w:rsid w:val="00DF3381"/>
    <w:rsid w:val="00DF33D6"/>
    <w:rsid w:val="00DF3773"/>
    <w:rsid w:val="00DF38E4"/>
    <w:rsid w:val="00DF392D"/>
    <w:rsid w:val="00DF3A31"/>
    <w:rsid w:val="00DF3AB7"/>
    <w:rsid w:val="00DF3C04"/>
    <w:rsid w:val="00DF3C60"/>
    <w:rsid w:val="00DF3E35"/>
    <w:rsid w:val="00DF3E5E"/>
    <w:rsid w:val="00DF40B1"/>
    <w:rsid w:val="00DF4124"/>
    <w:rsid w:val="00DF4192"/>
    <w:rsid w:val="00DF423E"/>
    <w:rsid w:val="00DF4267"/>
    <w:rsid w:val="00DF4270"/>
    <w:rsid w:val="00DF43BF"/>
    <w:rsid w:val="00DF46A7"/>
    <w:rsid w:val="00DF4746"/>
    <w:rsid w:val="00DF47A9"/>
    <w:rsid w:val="00DF4852"/>
    <w:rsid w:val="00DF4D74"/>
    <w:rsid w:val="00DF4D8E"/>
    <w:rsid w:val="00DF4E2E"/>
    <w:rsid w:val="00DF4FE4"/>
    <w:rsid w:val="00DF509A"/>
    <w:rsid w:val="00DF511E"/>
    <w:rsid w:val="00DF5155"/>
    <w:rsid w:val="00DF520B"/>
    <w:rsid w:val="00DF521A"/>
    <w:rsid w:val="00DF5512"/>
    <w:rsid w:val="00DF574B"/>
    <w:rsid w:val="00DF5797"/>
    <w:rsid w:val="00DF58AC"/>
    <w:rsid w:val="00DF5BDD"/>
    <w:rsid w:val="00DF5C3A"/>
    <w:rsid w:val="00DF5D5D"/>
    <w:rsid w:val="00DF5DBE"/>
    <w:rsid w:val="00DF5DDD"/>
    <w:rsid w:val="00DF5E19"/>
    <w:rsid w:val="00DF5E98"/>
    <w:rsid w:val="00DF5F2F"/>
    <w:rsid w:val="00DF5FCA"/>
    <w:rsid w:val="00DF61A8"/>
    <w:rsid w:val="00DF6404"/>
    <w:rsid w:val="00DF6435"/>
    <w:rsid w:val="00DF6476"/>
    <w:rsid w:val="00DF6649"/>
    <w:rsid w:val="00DF66BF"/>
    <w:rsid w:val="00DF67A9"/>
    <w:rsid w:val="00DF67C4"/>
    <w:rsid w:val="00DF68DD"/>
    <w:rsid w:val="00DF6DF4"/>
    <w:rsid w:val="00DF6EA7"/>
    <w:rsid w:val="00DF6EC5"/>
    <w:rsid w:val="00DF6FD9"/>
    <w:rsid w:val="00DF704E"/>
    <w:rsid w:val="00DF7070"/>
    <w:rsid w:val="00DF7109"/>
    <w:rsid w:val="00DF7347"/>
    <w:rsid w:val="00DF734E"/>
    <w:rsid w:val="00DF73A3"/>
    <w:rsid w:val="00DF7662"/>
    <w:rsid w:val="00DF76F4"/>
    <w:rsid w:val="00DF782A"/>
    <w:rsid w:val="00DF7900"/>
    <w:rsid w:val="00DF7AE1"/>
    <w:rsid w:val="00DF7B12"/>
    <w:rsid w:val="00DF7B14"/>
    <w:rsid w:val="00DF7B6E"/>
    <w:rsid w:val="00DF7CDB"/>
    <w:rsid w:val="00DF7D44"/>
    <w:rsid w:val="00DF7D7F"/>
    <w:rsid w:val="00DF7D8D"/>
    <w:rsid w:val="00DF7E26"/>
    <w:rsid w:val="00E0010A"/>
    <w:rsid w:val="00E00170"/>
    <w:rsid w:val="00E00320"/>
    <w:rsid w:val="00E00369"/>
    <w:rsid w:val="00E004B7"/>
    <w:rsid w:val="00E00580"/>
    <w:rsid w:val="00E00675"/>
    <w:rsid w:val="00E006D1"/>
    <w:rsid w:val="00E00769"/>
    <w:rsid w:val="00E009B6"/>
    <w:rsid w:val="00E00D04"/>
    <w:rsid w:val="00E0102A"/>
    <w:rsid w:val="00E01030"/>
    <w:rsid w:val="00E01173"/>
    <w:rsid w:val="00E011E5"/>
    <w:rsid w:val="00E01223"/>
    <w:rsid w:val="00E0124A"/>
    <w:rsid w:val="00E013CD"/>
    <w:rsid w:val="00E01603"/>
    <w:rsid w:val="00E01626"/>
    <w:rsid w:val="00E016F7"/>
    <w:rsid w:val="00E017C9"/>
    <w:rsid w:val="00E018D1"/>
    <w:rsid w:val="00E01904"/>
    <w:rsid w:val="00E01A4F"/>
    <w:rsid w:val="00E01A74"/>
    <w:rsid w:val="00E01AE9"/>
    <w:rsid w:val="00E01BB1"/>
    <w:rsid w:val="00E01C0A"/>
    <w:rsid w:val="00E01CAA"/>
    <w:rsid w:val="00E01D2D"/>
    <w:rsid w:val="00E01E23"/>
    <w:rsid w:val="00E02193"/>
    <w:rsid w:val="00E021C0"/>
    <w:rsid w:val="00E0221D"/>
    <w:rsid w:val="00E02237"/>
    <w:rsid w:val="00E02238"/>
    <w:rsid w:val="00E02321"/>
    <w:rsid w:val="00E023C3"/>
    <w:rsid w:val="00E0248B"/>
    <w:rsid w:val="00E0264A"/>
    <w:rsid w:val="00E02AEC"/>
    <w:rsid w:val="00E02E40"/>
    <w:rsid w:val="00E02F30"/>
    <w:rsid w:val="00E02FB7"/>
    <w:rsid w:val="00E02FF2"/>
    <w:rsid w:val="00E03034"/>
    <w:rsid w:val="00E0321A"/>
    <w:rsid w:val="00E03230"/>
    <w:rsid w:val="00E033BB"/>
    <w:rsid w:val="00E0355E"/>
    <w:rsid w:val="00E035B8"/>
    <w:rsid w:val="00E0365F"/>
    <w:rsid w:val="00E0380C"/>
    <w:rsid w:val="00E0383D"/>
    <w:rsid w:val="00E03A12"/>
    <w:rsid w:val="00E03E71"/>
    <w:rsid w:val="00E03FE4"/>
    <w:rsid w:val="00E04057"/>
    <w:rsid w:val="00E04248"/>
    <w:rsid w:val="00E04291"/>
    <w:rsid w:val="00E04324"/>
    <w:rsid w:val="00E0432C"/>
    <w:rsid w:val="00E04398"/>
    <w:rsid w:val="00E043FE"/>
    <w:rsid w:val="00E04851"/>
    <w:rsid w:val="00E048A8"/>
    <w:rsid w:val="00E048B4"/>
    <w:rsid w:val="00E048C1"/>
    <w:rsid w:val="00E04D66"/>
    <w:rsid w:val="00E04E03"/>
    <w:rsid w:val="00E04E79"/>
    <w:rsid w:val="00E04EF1"/>
    <w:rsid w:val="00E04F50"/>
    <w:rsid w:val="00E04F73"/>
    <w:rsid w:val="00E04FC8"/>
    <w:rsid w:val="00E050B0"/>
    <w:rsid w:val="00E051C9"/>
    <w:rsid w:val="00E051CD"/>
    <w:rsid w:val="00E05235"/>
    <w:rsid w:val="00E05239"/>
    <w:rsid w:val="00E0531B"/>
    <w:rsid w:val="00E053E3"/>
    <w:rsid w:val="00E0540F"/>
    <w:rsid w:val="00E055D8"/>
    <w:rsid w:val="00E05619"/>
    <w:rsid w:val="00E05681"/>
    <w:rsid w:val="00E05722"/>
    <w:rsid w:val="00E0583A"/>
    <w:rsid w:val="00E058D5"/>
    <w:rsid w:val="00E05967"/>
    <w:rsid w:val="00E05978"/>
    <w:rsid w:val="00E059F0"/>
    <w:rsid w:val="00E05AD7"/>
    <w:rsid w:val="00E05B4F"/>
    <w:rsid w:val="00E05B8B"/>
    <w:rsid w:val="00E05CA2"/>
    <w:rsid w:val="00E05DE9"/>
    <w:rsid w:val="00E05E13"/>
    <w:rsid w:val="00E05E4F"/>
    <w:rsid w:val="00E06006"/>
    <w:rsid w:val="00E0601A"/>
    <w:rsid w:val="00E061F8"/>
    <w:rsid w:val="00E06256"/>
    <w:rsid w:val="00E062FD"/>
    <w:rsid w:val="00E06350"/>
    <w:rsid w:val="00E0650F"/>
    <w:rsid w:val="00E065D3"/>
    <w:rsid w:val="00E0662F"/>
    <w:rsid w:val="00E066DA"/>
    <w:rsid w:val="00E0673C"/>
    <w:rsid w:val="00E067D4"/>
    <w:rsid w:val="00E069DF"/>
    <w:rsid w:val="00E06B59"/>
    <w:rsid w:val="00E06ECE"/>
    <w:rsid w:val="00E06F4A"/>
    <w:rsid w:val="00E07018"/>
    <w:rsid w:val="00E0702D"/>
    <w:rsid w:val="00E071F6"/>
    <w:rsid w:val="00E0724D"/>
    <w:rsid w:val="00E0724E"/>
    <w:rsid w:val="00E07251"/>
    <w:rsid w:val="00E07285"/>
    <w:rsid w:val="00E072C4"/>
    <w:rsid w:val="00E07544"/>
    <w:rsid w:val="00E076B5"/>
    <w:rsid w:val="00E076C2"/>
    <w:rsid w:val="00E076FC"/>
    <w:rsid w:val="00E07889"/>
    <w:rsid w:val="00E078C2"/>
    <w:rsid w:val="00E078CD"/>
    <w:rsid w:val="00E07A7A"/>
    <w:rsid w:val="00E07D29"/>
    <w:rsid w:val="00E07DDF"/>
    <w:rsid w:val="00E07EF1"/>
    <w:rsid w:val="00E07F3E"/>
    <w:rsid w:val="00E07F43"/>
    <w:rsid w:val="00E0D730"/>
    <w:rsid w:val="00E103B9"/>
    <w:rsid w:val="00E10409"/>
    <w:rsid w:val="00E1040A"/>
    <w:rsid w:val="00E104E9"/>
    <w:rsid w:val="00E1052A"/>
    <w:rsid w:val="00E1054D"/>
    <w:rsid w:val="00E10786"/>
    <w:rsid w:val="00E107D4"/>
    <w:rsid w:val="00E10889"/>
    <w:rsid w:val="00E10949"/>
    <w:rsid w:val="00E10A25"/>
    <w:rsid w:val="00E10B79"/>
    <w:rsid w:val="00E10BA1"/>
    <w:rsid w:val="00E10CCC"/>
    <w:rsid w:val="00E10D67"/>
    <w:rsid w:val="00E10D80"/>
    <w:rsid w:val="00E10EA4"/>
    <w:rsid w:val="00E10F9D"/>
    <w:rsid w:val="00E11018"/>
    <w:rsid w:val="00E11047"/>
    <w:rsid w:val="00E11168"/>
    <w:rsid w:val="00E1134C"/>
    <w:rsid w:val="00E11516"/>
    <w:rsid w:val="00E1156A"/>
    <w:rsid w:val="00E115BB"/>
    <w:rsid w:val="00E1160D"/>
    <w:rsid w:val="00E1176F"/>
    <w:rsid w:val="00E11AF3"/>
    <w:rsid w:val="00E11D7B"/>
    <w:rsid w:val="00E120FF"/>
    <w:rsid w:val="00E12328"/>
    <w:rsid w:val="00E12340"/>
    <w:rsid w:val="00E124B5"/>
    <w:rsid w:val="00E125EA"/>
    <w:rsid w:val="00E127A2"/>
    <w:rsid w:val="00E127A4"/>
    <w:rsid w:val="00E12839"/>
    <w:rsid w:val="00E1288B"/>
    <w:rsid w:val="00E128A9"/>
    <w:rsid w:val="00E12929"/>
    <w:rsid w:val="00E12A2F"/>
    <w:rsid w:val="00E12BC1"/>
    <w:rsid w:val="00E12CAB"/>
    <w:rsid w:val="00E12F7E"/>
    <w:rsid w:val="00E13031"/>
    <w:rsid w:val="00E1305F"/>
    <w:rsid w:val="00E130D4"/>
    <w:rsid w:val="00E13278"/>
    <w:rsid w:val="00E132BC"/>
    <w:rsid w:val="00E132DC"/>
    <w:rsid w:val="00E13300"/>
    <w:rsid w:val="00E13358"/>
    <w:rsid w:val="00E13384"/>
    <w:rsid w:val="00E133D6"/>
    <w:rsid w:val="00E1354C"/>
    <w:rsid w:val="00E13616"/>
    <w:rsid w:val="00E13680"/>
    <w:rsid w:val="00E13892"/>
    <w:rsid w:val="00E139D0"/>
    <w:rsid w:val="00E139D3"/>
    <w:rsid w:val="00E13A16"/>
    <w:rsid w:val="00E13A83"/>
    <w:rsid w:val="00E13DA7"/>
    <w:rsid w:val="00E13DDC"/>
    <w:rsid w:val="00E13DE0"/>
    <w:rsid w:val="00E13EBA"/>
    <w:rsid w:val="00E13F04"/>
    <w:rsid w:val="00E14261"/>
    <w:rsid w:val="00E14293"/>
    <w:rsid w:val="00E143CF"/>
    <w:rsid w:val="00E144AA"/>
    <w:rsid w:val="00E1478B"/>
    <w:rsid w:val="00E14796"/>
    <w:rsid w:val="00E148B8"/>
    <w:rsid w:val="00E14A6D"/>
    <w:rsid w:val="00E14B43"/>
    <w:rsid w:val="00E14C0B"/>
    <w:rsid w:val="00E14C2C"/>
    <w:rsid w:val="00E14CFF"/>
    <w:rsid w:val="00E14F6F"/>
    <w:rsid w:val="00E15059"/>
    <w:rsid w:val="00E150DA"/>
    <w:rsid w:val="00E15123"/>
    <w:rsid w:val="00E1517B"/>
    <w:rsid w:val="00E15181"/>
    <w:rsid w:val="00E15255"/>
    <w:rsid w:val="00E15263"/>
    <w:rsid w:val="00E1531D"/>
    <w:rsid w:val="00E15450"/>
    <w:rsid w:val="00E1554A"/>
    <w:rsid w:val="00E1554B"/>
    <w:rsid w:val="00E1554D"/>
    <w:rsid w:val="00E157A4"/>
    <w:rsid w:val="00E15A1E"/>
    <w:rsid w:val="00E15A8E"/>
    <w:rsid w:val="00E15AA8"/>
    <w:rsid w:val="00E15B66"/>
    <w:rsid w:val="00E1607C"/>
    <w:rsid w:val="00E16310"/>
    <w:rsid w:val="00E16647"/>
    <w:rsid w:val="00E166A3"/>
    <w:rsid w:val="00E16A91"/>
    <w:rsid w:val="00E16AAA"/>
    <w:rsid w:val="00E16C74"/>
    <w:rsid w:val="00E16C76"/>
    <w:rsid w:val="00E170FF"/>
    <w:rsid w:val="00E17141"/>
    <w:rsid w:val="00E17165"/>
    <w:rsid w:val="00E172C1"/>
    <w:rsid w:val="00E174BC"/>
    <w:rsid w:val="00E175FF"/>
    <w:rsid w:val="00E1785E"/>
    <w:rsid w:val="00E17866"/>
    <w:rsid w:val="00E178F8"/>
    <w:rsid w:val="00E1795D"/>
    <w:rsid w:val="00E179DC"/>
    <w:rsid w:val="00E179FB"/>
    <w:rsid w:val="00E17A4E"/>
    <w:rsid w:val="00E17B40"/>
    <w:rsid w:val="00E17BA9"/>
    <w:rsid w:val="00E17C78"/>
    <w:rsid w:val="00E17E1C"/>
    <w:rsid w:val="00E20107"/>
    <w:rsid w:val="00E2029A"/>
    <w:rsid w:val="00E2030B"/>
    <w:rsid w:val="00E203D7"/>
    <w:rsid w:val="00E2068C"/>
    <w:rsid w:val="00E2072C"/>
    <w:rsid w:val="00E2085E"/>
    <w:rsid w:val="00E20871"/>
    <w:rsid w:val="00E208EB"/>
    <w:rsid w:val="00E208FA"/>
    <w:rsid w:val="00E209F5"/>
    <w:rsid w:val="00E20ADF"/>
    <w:rsid w:val="00E20B4D"/>
    <w:rsid w:val="00E20BFA"/>
    <w:rsid w:val="00E20D16"/>
    <w:rsid w:val="00E20ED8"/>
    <w:rsid w:val="00E2102C"/>
    <w:rsid w:val="00E212D7"/>
    <w:rsid w:val="00E21511"/>
    <w:rsid w:val="00E21551"/>
    <w:rsid w:val="00E21563"/>
    <w:rsid w:val="00E215A8"/>
    <w:rsid w:val="00E216B4"/>
    <w:rsid w:val="00E216D1"/>
    <w:rsid w:val="00E2171B"/>
    <w:rsid w:val="00E21CE2"/>
    <w:rsid w:val="00E21E7F"/>
    <w:rsid w:val="00E21F69"/>
    <w:rsid w:val="00E21FFB"/>
    <w:rsid w:val="00E22012"/>
    <w:rsid w:val="00E220A7"/>
    <w:rsid w:val="00E221BD"/>
    <w:rsid w:val="00E222D6"/>
    <w:rsid w:val="00E2241A"/>
    <w:rsid w:val="00E2249D"/>
    <w:rsid w:val="00E224D1"/>
    <w:rsid w:val="00E224D9"/>
    <w:rsid w:val="00E2250A"/>
    <w:rsid w:val="00E22560"/>
    <w:rsid w:val="00E226DD"/>
    <w:rsid w:val="00E22791"/>
    <w:rsid w:val="00E22A19"/>
    <w:rsid w:val="00E22AC2"/>
    <w:rsid w:val="00E22B02"/>
    <w:rsid w:val="00E22B88"/>
    <w:rsid w:val="00E22BD6"/>
    <w:rsid w:val="00E22C89"/>
    <w:rsid w:val="00E2315E"/>
    <w:rsid w:val="00E2331B"/>
    <w:rsid w:val="00E23371"/>
    <w:rsid w:val="00E234E6"/>
    <w:rsid w:val="00E23549"/>
    <w:rsid w:val="00E235CE"/>
    <w:rsid w:val="00E235E3"/>
    <w:rsid w:val="00E235EE"/>
    <w:rsid w:val="00E2360E"/>
    <w:rsid w:val="00E2374D"/>
    <w:rsid w:val="00E2377F"/>
    <w:rsid w:val="00E23883"/>
    <w:rsid w:val="00E23895"/>
    <w:rsid w:val="00E238C9"/>
    <w:rsid w:val="00E239C4"/>
    <w:rsid w:val="00E23A37"/>
    <w:rsid w:val="00E23A92"/>
    <w:rsid w:val="00E23BE2"/>
    <w:rsid w:val="00E23BEE"/>
    <w:rsid w:val="00E23CB1"/>
    <w:rsid w:val="00E23DDC"/>
    <w:rsid w:val="00E23DED"/>
    <w:rsid w:val="00E23DF9"/>
    <w:rsid w:val="00E23FB6"/>
    <w:rsid w:val="00E23FBA"/>
    <w:rsid w:val="00E240E9"/>
    <w:rsid w:val="00E24277"/>
    <w:rsid w:val="00E24287"/>
    <w:rsid w:val="00E243B8"/>
    <w:rsid w:val="00E2462E"/>
    <w:rsid w:val="00E24816"/>
    <w:rsid w:val="00E2489E"/>
    <w:rsid w:val="00E248CE"/>
    <w:rsid w:val="00E24A09"/>
    <w:rsid w:val="00E25032"/>
    <w:rsid w:val="00E25080"/>
    <w:rsid w:val="00E251BA"/>
    <w:rsid w:val="00E25324"/>
    <w:rsid w:val="00E2544A"/>
    <w:rsid w:val="00E25601"/>
    <w:rsid w:val="00E25686"/>
    <w:rsid w:val="00E257A4"/>
    <w:rsid w:val="00E2580A"/>
    <w:rsid w:val="00E25811"/>
    <w:rsid w:val="00E2583C"/>
    <w:rsid w:val="00E25BCB"/>
    <w:rsid w:val="00E25BD9"/>
    <w:rsid w:val="00E25CBD"/>
    <w:rsid w:val="00E25D60"/>
    <w:rsid w:val="00E25D7E"/>
    <w:rsid w:val="00E25ED2"/>
    <w:rsid w:val="00E26194"/>
    <w:rsid w:val="00E2624C"/>
    <w:rsid w:val="00E26280"/>
    <w:rsid w:val="00E265C3"/>
    <w:rsid w:val="00E2670C"/>
    <w:rsid w:val="00E2678D"/>
    <w:rsid w:val="00E268F0"/>
    <w:rsid w:val="00E26AEF"/>
    <w:rsid w:val="00E26B22"/>
    <w:rsid w:val="00E26C21"/>
    <w:rsid w:val="00E27071"/>
    <w:rsid w:val="00E270AA"/>
    <w:rsid w:val="00E27114"/>
    <w:rsid w:val="00E272A1"/>
    <w:rsid w:val="00E27370"/>
    <w:rsid w:val="00E2752B"/>
    <w:rsid w:val="00E27752"/>
    <w:rsid w:val="00E279FF"/>
    <w:rsid w:val="00E27BA9"/>
    <w:rsid w:val="00E27BFE"/>
    <w:rsid w:val="00E27C70"/>
    <w:rsid w:val="00E27CAF"/>
    <w:rsid w:val="00E27DE1"/>
    <w:rsid w:val="00E27E50"/>
    <w:rsid w:val="00E30078"/>
    <w:rsid w:val="00E300F0"/>
    <w:rsid w:val="00E30206"/>
    <w:rsid w:val="00E30364"/>
    <w:rsid w:val="00E305DF"/>
    <w:rsid w:val="00E30856"/>
    <w:rsid w:val="00E3095B"/>
    <w:rsid w:val="00E30981"/>
    <w:rsid w:val="00E30A94"/>
    <w:rsid w:val="00E30AD7"/>
    <w:rsid w:val="00E30BE9"/>
    <w:rsid w:val="00E30F4E"/>
    <w:rsid w:val="00E30F98"/>
    <w:rsid w:val="00E30FC6"/>
    <w:rsid w:val="00E31149"/>
    <w:rsid w:val="00E31179"/>
    <w:rsid w:val="00E311F6"/>
    <w:rsid w:val="00E312E9"/>
    <w:rsid w:val="00E31301"/>
    <w:rsid w:val="00E31330"/>
    <w:rsid w:val="00E313B3"/>
    <w:rsid w:val="00E31526"/>
    <w:rsid w:val="00E31672"/>
    <w:rsid w:val="00E316B5"/>
    <w:rsid w:val="00E316B6"/>
    <w:rsid w:val="00E316D3"/>
    <w:rsid w:val="00E31812"/>
    <w:rsid w:val="00E31839"/>
    <w:rsid w:val="00E319D1"/>
    <w:rsid w:val="00E319F4"/>
    <w:rsid w:val="00E31B0B"/>
    <w:rsid w:val="00E31BCD"/>
    <w:rsid w:val="00E31BE0"/>
    <w:rsid w:val="00E31C40"/>
    <w:rsid w:val="00E31CA1"/>
    <w:rsid w:val="00E32097"/>
    <w:rsid w:val="00E3222D"/>
    <w:rsid w:val="00E324BD"/>
    <w:rsid w:val="00E32700"/>
    <w:rsid w:val="00E3270A"/>
    <w:rsid w:val="00E327AB"/>
    <w:rsid w:val="00E32908"/>
    <w:rsid w:val="00E32A53"/>
    <w:rsid w:val="00E32B2C"/>
    <w:rsid w:val="00E32BD8"/>
    <w:rsid w:val="00E32CA7"/>
    <w:rsid w:val="00E32D1E"/>
    <w:rsid w:val="00E32E49"/>
    <w:rsid w:val="00E32E54"/>
    <w:rsid w:val="00E32EEB"/>
    <w:rsid w:val="00E32F4D"/>
    <w:rsid w:val="00E32F58"/>
    <w:rsid w:val="00E32F66"/>
    <w:rsid w:val="00E33063"/>
    <w:rsid w:val="00E33067"/>
    <w:rsid w:val="00E3309F"/>
    <w:rsid w:val="00E330E1"/>
    <w:rsid w:val="00E33311"/>
    <w:rsid w:val="00E3346C"/>
    <w:rsid w:val="00E3359E"/>
    <w:rsid w:val="00E335AA"/>
    <w:rsid w:val="00E3370D"/>
    <w:rsid w:val="00E33725"/>
    <w:rsid w:val="00E337B8"/>
    <w:rsid w:val="00E337BA"/>
    <w:rsid w:val="00E33811"/>
    <w:rsid w:val="00E3395D"/>
    <w:rsid w:val="00E33B2F"/>
    <w:rsid w:val="00E33B49"/>
    <w:rsid w:val="00E33BBB"/>
    <w:rsid w:val="00E33D7D"/>
    <w:rsid w:val="00E33DAC"/>
    <w:rsid w:val="00E33E61"/>
    <w:rsid w:val="00E33EEA"/>
    <w:rsid w:val="00E33EF8"/>
    <w:rsid w:val="00E340A2"/>
    <w:rsid w:val="00E3424E"/>
    <w:rsid w:val="00E343B1"/>
    <w:rsid w:val="00E3446C"/>
    <w:rsid w:val="00E344E7"/>
    <w:rsid w:val="00E3484C"/>
    <w:rsid w:val="00E3485E"/>
    <w:rsid w:val="00E348BA"/>
    <w:rsid w:val="00E34962"/>
    <w:rsid w:val="00E349D1"/>
    <w:rsid w:val="00E34A69"/>
    <w:rsid w:val="00E34ADD"/>
    <w:rsid w:val="00E34C1D"/>
    <w:rsid w:val="00E34C94"/>
    <w:rsid w:val="00E34CF2"/>
    <w:rsid w:val="00E34D0A"/>
    <w:rsid w:val="00E34D26"/>
    <w:rsid w:val="00E34F4D"/>
    <w:rsid w:val="00E34F53"/>
    <w:rsid w:val="00E34F93"/>
    <w:rsid w:val="00E34FFA"/>
    <w:rsid w:val="00E35018"/>
    <w:rsid w:val="00E3503C"/>
    <w:rsid w:val="00E354D8"/>
    <w:rsid w:val="00E35556"/>
    <w:rsid w:val="00E35597"/>
    <w:rsid w:val="00E355DA"/>
    <w:rsid w:val="00E35635"/>
    <w:rsid w:val="00E356F0"/>
    <w:rsid w:val="00E35BDE"/>
    <w:rsid w:val="00E35C46"/>
    <w:rsid w:val="00E36043"/>
    <w:rsid w:val="00E361A5"/>
    <w:rsid w:val="00E363F5"/>
    <w:rsid w:val="00E36591"/>
    <w:rsid w:val="00E36659"/>
    <w:rsid w:val="00E3668B"/>
    <w:rsid w:val="00E3676A"/>
    <w:rsid w:val="00E36851"/>
    <w:rsid w:val="00E36934"/>
    <w:rsid w:val="00E3696F"/>
    <w:rsid w:val="00E36980"/>
    <w:rsid w:val="00E36A1C"/>
    <w:rsid w:val="00E36A7A"/>
    <w:rsid w:val="00E36AB8"/>
    <w:rsid w:val="00E36C76"/>
    <w:rsid w:val="00E36D6B"/>
    <w:rsid w:val="00E36DDD"/>
    <w:rsid w:val="00E36E47"/>
    <w:rsid w:val="00E36E60"/>
    <w:rsid w:val="00E3752C"/>
    <w:rsid w:val="00E37555"/>
    <w:rsid w:val="00E376BE"/>
    <w:rsid w:val="00E377C4"/>
    <w:rsid w:val="00E379A2"/>
    <w:rsid w:val="00E37AB0"/>
    <w:rsid w:val="00E37BC8"/>
    <w:rsid w:val="00E37CBF"/>
    <w:rsid w:val="00E37CDD"/>
    <w:rsid w:val="00E37DE0"/>
    <w:rsid w:val="00E37EDF"/>
    <w:rsid w:val="00E37F86"/>
    <w:rsid w:val="00E401A8"/>
    <w:rsid w:val="00E401B2"/>
    <w:rsid w:val="00E40409"/>
    <w:rsid w:val="00E40428"/>
    <w:rsid w:val="00E4042E"/>
    <w:rsid w:val="00E40590"/>
    <w:rsid w:val="00E406D4"/>
    <w:rsid w:val="00E4080D"/>
    <w:rsid w:val="00E40862"/>
    <w:rsid w:val="00E40885"/>
    <w:rsid w:val="00E40A18"/>
    <w:rsid w:val="00E40C30"/>
    <w:rsid w:val="00E40C37"/>
    <w:rsid w:val="00E40CE4"/>
    <w:rsid w:val="00E40CEC"/>
    <w:rsid w:val="00E40D44"/>
    <w:rsid w:val="00E40D7F"/>
    <w:rsid w:val="00E40E0E"/>
    <w:rsid w:val="00E40EF8"/>
    <w:rsid w:val="00E411B4"/>
    <w:rsid w:val="00E411B5"/>
    <w:rsid w:val="00E411C6"/>
    <w:rsid w:val="00E411D9"/>
    <w:rsid w:val="00E4120E"/>
    <w:rsid w:val="00E41225"/>
    <w:rsid w:val="00E414C1"/>
    <w:rsid w:val="00E4151C"/>
    <w:rsid w:val="00E4197A"/>
    <w:rsid w:val="00E41A18"/>
    <w:rsid w:val="00E41A54"/>
    <w:rsid w:val="00E41B71"/>
    <w:rsid w:val="00E41BFB"/>
    <w:rsid w:val="00E41F2E"/>
    <w:rsid w:val="00E41FBB"/>
    <w:rsid w:val="00E42128"/>
    <w:rsid w:val="00E42473"/>
    <w:rsid w:val="00E42479"/>
    <w:rsid w:val="00E424B9"/>
    <w:rsid w:val="00E42509"/>
    <w:rsid w:val="00E42756"/>
    <w:rsid w:val="00E42909"/>
    <w:rsid w:val="00E42A00"/>
    <w:rsid w:val="00E42D70"/>
    <w:rsid w:val="00E42DD6"/>
    <w:rsid w:val="00E42F91"/>
    <w:rsid w:val="00E4301F"/>
    <w:rsid w:val="00E43142"/>
    <w:rsid w:val="00E431E7"/>
    <w:rsid w:val="00E432BF"/>
    <w:rsid w:val="00E432E8"/>
    <w:rsid w:val="00E43364"/>
    <w:rsid w:val="00E43373"/>
    <w:rsid w:val="00E433BE"/>
    <w:rsid w:val="00E43604"/>
    <w:rsid w:val="00E4379B"/>
    <w:rsid w:val="00E43831"/>
    <w:rsid w:val="00E43883"/>
    <w:rsid w:val="00E4396F"/>
    <w:rsid w:val="00E43987"/>
    <w:rsid w:val="00E43A3A"/>
    <w:rsid w:val="00E43AEA"/>
    <w:rsid w:val="00E43AF4"/>
    <w:rsid w:val="00E43B61"/>
    <w:rsid w:val="00E43CB4"/>
    <w:rsid w:val="00E43E18"/>
    <w:rsid w:val="00E43E8A"/>
    <w:rsid w:val="00E43ECE"/>
    <w:rsid w:val="00E44095"/>
    <w:rsid w:val="00E4414C"/>
    <w:rsid w:val="00E44346"/>
    <w:rsid w:val="00E446F4"/>
    <w:rsid w:val="00E4484C"/>
    <w:rsid w:val="00E44888"/>
    <w:rsid w:val="00E44890"/>
    <w:rsid w:val="00E4498B"/>
    <w:rsid w:val="00E44A39"/>
    <w:rsid w:val="00E44BDE"/>
    <w:rsid w:val="00E44C38"/>
    <w:rsid w:val="00E44CAE"/>
    <w:rsid w:val="00E44CD5"/>
    <w:rsid w:val="00E44CE8"/>
    <w:rsid w:val="00E44DC6"/>
    <w:rsid w:val="00E44F23"/>
    <w:rsid w:val="00E44F50"/>
    <w:rsid w:val="00E44F5A"/>
    <w:rsid w:val="00E44F5D"/>
    <w:rsid w:val="00E44F87"/>
    <w:rsid w:val="00E45027"/>
    <w:rsid w:val="00E450E9"/>
    <w:rsid w:val="00E45175"/>
    <w:rsid w:val="00E45176"/>
    <w:rsid w:val="00E451C3"/>
    <w:rsid w:val="00E45422"/>
    <w:rsid w:val="00E45496"/>
    <w:rsid w:val="00E455CF"/>
    <w:rsid w:val="00E456CF"/>
    <w:rsid w:val="00E45AB7"/>
    <w:rsid w:val="00E45ABE"/>
    <w:rsid w:val="00E45AC1"/>
    <w:rsid w:val="00E45AD1"/>
    <w:rsid w:val="00E45C1D"/>
    <w:rsid w:val="00E45E7D"/>
    <w:rsid w:val="00E45F4E"/>
    <w:rsid w:val="00E46005"/>
    <w:rsid w:val="00E4611B"/>
    <w:rsid w:val="00E4624A"/>
    <w:rsid w:val="00E46432"/>
    <w:rsid w:val="00E4646A"/>
    <w:rsid w:val="00E46520"/>
    <w:rsid w:val="00E46531"/>
    <w:rsid w:val="00E46585"/>
    <w:rsid w:val="00E46597"/>
    <w:rsid w:val="00E4659F"/>
    <w:rsid w:val="00E4674E"/>
    <w:rsid w:val="00E4678E"/>
    <w:rsid w:val="00E468D0"/>
    <w:rsid w:val="00E46908"/>
    <w:rsid w:val="00E46953"/>
    <w:rsid w:val="00E469DE"/>
    <w:rsid w:val="00E46B2F"/>
    <w:rsid w:val="00E46B4D"/>
    <w:rsid w:val="00E46B9E"/>
    <w:rsid w:val="00E46BF8"/>
    <w:rsid w:val="00E46CA5"/>
    <w:rsid w:val="00E46D79"/>
    <w:rsid w:val="00E46F2F"/>
    <w:rsid w:val="00E47079"/>
    <w:rsid w:val="00E470FA"/>
    <w:rsid w:val="00E4724C"/>
    <w:rsid w:val="00E4738B"/>
    <w:rsid w:val="00E473C8"/>
    <w:rsid w:val="00E473E5"/>
    <w:rsid w:val="00E47492"/>
    <w:rsid w:val="00E475F9"/>
    <w:rsid w:val="00E4775F"/>
    <w:rsid w:val="00E479DD"/>
    <w:rsid w:val="00E47C0B"/>
    <w:rsid w:val="00E47CA4"/>
    <w:rsid w:val="00E47DB0"/>
    <w:rsid w:val="00E47EAF"/>
    <w:rsid w:val="00E47ED1"/>
    <w:rsid w:val="00E5006E"/>
    <w:rsid w:val="00E50201"/>
    <w:rsid w:val="00E502C6"/>
    <w:rsid w:val="00E502EB"/>
    <w:rsid w:val="00E5048D"/>
    <w:rsid w:val="00E504AF"/>
    <w:rsid w:val="00E504BC"/>
    <w:rsid w:val="00E504E0"/>
    <w:rsid w:val="00E5053D"/>
    <w:rsid w:val="00E50573"/>
    <w:rsid w:val="00E5058C"/>
    <w:rsid w:val="00E50641"/>
    <w:rsid w:val="00E507D4"/>
    <w:rsid w:val="00E50972"/>
    <w:rsid w:val="00E50A44"/>
    <w:rsid w:val="00E50A74"/>
    <w:rsid w:val="00E50AA1"/>
    <w:rsid w:val="00E50AD8"/>
    <w:rsid w:val="00E50C58"/>
    <w:rsid w:val="00E50C78"/>
    <w:rsid w:val="00E50CF1"/>
    <w:rsid w:val="00E50D16"/>
    <w:rsid w:val="00E50D95"/>
    <w:rsid w:val="00E511AA"/>
    <w:rsid w:val="00E51221"/>
    <w:rsid w:val="00E512E0"/>
    <w:rsid w:val="00E51427"/>
    <w:rsid w:val="00E514DD"/>
    <w:rsid w:val="00E514E2"/>
    <w:rsid w:val="00E514FB"/>
    <w:rsid w:val="00E51501"/>
    <w:rsid w:val="00E5153B"/>
    <w:rsid w:val="00E5154E"/>
    <w:rsid w:val="00E51836"/>
    <w:rsid w:val="00E51A7C"/>
    <w:rsid w:val="00E51B63"/>
    <w:rsid w:val="00E51B80"/>
    <w:rsid w:val="00E51D99"/>
    <w:rsid w:val="00E51FD6"/>
    <w:rsid w:val="00E5235F"/>
    <w:rsid w:val="00E525CA"/>
    <w:rsid w:val="00E525CC"/>
    <w:rsid w:val="00E52685"/>
    <w:rsid w:val="00E52730"/>
    <w:rsid w:val="00E527F2"/>
    <w:rsid w:val="00E5281C"/>
    <w:rsid w:val="00E52988"/>
    <w:rsid w:val="00E529B7"/>
    <w:rsid w:val="00E52A40"/>
    <w:rsid w:val="00E52DC2"/>
    <w:rsid w:val="00E52ECB"/>
    <w:rsid w:val="00E53101"/>
    <w:rsid w:val="00E5314E"/>
    <w:rsid w:val="00E53237"/>
    <w:rsid w:val="00E53336"/>
    <w:rsid w:val="00E533FD"/>
    <w:rsid w:val="00E53490"/>
    <w:rsid w:val="00E53540"/>
    <w:rsid w:val="00E536B9"/>
    <w:rsid w:val="00E53712"/>
    <w:rsid w:val="00E5380C"/>
    <w:rsid w:val="00E5391A"/>
    <w:rsid w:val="00E539DD"/>
    <w:rsid w:val="00E53B76"/>
    <w:rsid w:val="00E53E1D"/>
    <w:rsid w:val="00E53E8B"/>
    <w:rsid w:val="00E53EC6"/>
    <w:rsid w:val="00E53F91"/>
    <w:rsid w:val="00E53FDC"/>
    <w:rsid w:val="00E5405C"/>
    <w:rsid w:val="00E541A6"/>
    <w:rsid w:val="00E5426B"/>
    <w:rsid w:val="00E5444C"/>
    <w:rsid w:val="00E546EC"/>
    <w:rsid w:val="00E54710"/>
    <w:rsid w:val="00E54755"/>
    <w:rsid w:val="00E547F3"/>
    <w:rsid w:val="00E54838"/>
    <w:rsid w:val="00E5489B"/>
    <w:rsid w:val="00E54902"/>
    <w:rsid w:val="00E5497C"/>
    <w:rsid w:val="00E54992"/>
    <w:rsid w:val="00E54A03"/>
    <w:rsid w:val="00E54A36"/>
    <w:rsid w:val="00E54A5D"/>
    <w:rsid w:val="00E55256"/>
    <w:rsid w:val="00E553DD"/>
    <w:rsid w:val="00E5547C"/>
    <w:rsid w:val="00E5548A"/>
    <w:rsid w:val="00E555BD"/>
    <w:rsid w:val="00E55667"/>
    <w:rsid w:val="00E55805"/>
    <w:rsid w:val="00E55947"/>
    <w:rsid w:val="00E5596D"/>
    <w:rsid w:val="00E55A2D"/>
    <w:rsid w:val="00E55D71"/>
    <w:rsid w:val="00E55E85"/>
    <w:rsid w:val="00E55FCA"/>
    <w:rsid w:val="00E5601D"/>
    <w:rsid w:val="00E56067"/>
    <w:rsid w:val="00E56090"/>
    <w:rsid w:val="00E5614D"/>
    <w:rsid w:val="00E561B3"/>
    <w:rsid w:val="00E56315"/>
    <w:rsid w:val="00E56578"/>
    <w:rsid w:val="00E5669F"/>
    <w:rsid w:val="00E56772"/>
    <w:rsid w:val="00E56873"/>
    <w:rsid w:val="00E56B09"/>
    <w:rsid w:val="00E56B32"/>
    <w:rsid w:val="00E57044"/>
    <w:rsid w:val="00E57233"/>
    <w:rsid w:val="00E5736C"/>
    <w:rsid w:val="00E574B6"/>
    <w:rsid w:val="00E57517"/>
    <w:rsid w:val="00E575FD"/>
    <w:rsid w:val="00E57603"/>
    <w:rsid w:val="00E57628"/>
    <w:rsid w:val="00E57754"/>
    <w:rsid w:val="00E5778D"/>
    <w:rsid w:val="00E578B9"/>
    <w:rsid w:val="00E57BD5"/>
    <w:rsid w:val="00E57C62"/>
    <w:rsid w:val="00E57C99"/>
    <w:rsid w:val="00E57E90"/>
    <w:rsid w:val="00E57EE2"/>
    <w:rsid w:val="00E60074"/>
    <w:rsid w:val="00E6025C"/>
    <w:rsid w:val="00E60289"/>
    <w:rsid w:val="00E6029E"/>
    <w:rsid w:val="00E602D9"/>
    <w:rsid w:val="00E60406"/>
    <w:rsid w:val="00E604BE"/>
    <w:rsid w:val="00E60592"/>
    <w:rsid w:val="00E607FC"/>
    <w:rsid w:val="00E608E1"/>
    <w:rsid w:val="00E60B6B"/>
    <w:rsid w:val="00E60BAB"/>
    <w:rsid w:val="00E60C83"/>
    <w:rsid w:val="00E60D16"/>
    <w:rsid w:val="00E60D66"/>
    <w:rsid w:val="00E60D9C"/>
    <w:rsid w:val="00E60FF8"/>
    <w:rsid w:val="00E61095"/>
    <w:rsid w:val="00E610D2"/>
    <w:rsid w:val="00E61132"/>
    <w:rsid w:val="00E61146"/>
    <w:rsid w:val="00E61447"/>
    <w:rsid w:val="00E6168B"/>
    <w:rsid w:val="00E61692"/>
    <w:rsid w:val="00E61A87"/>
    <w:rsid w:val="00E61A88"/>
    <w:rsid w:val="00E61B90"/>
    <w:rsid w:val="00E61C2B"/>
    <w:rsid w:val="00E61C4F"/>
    <w:rsid w:val="00E61C74"/>
    <w:rsid w:val="00E61CAA"/>
    <w:rsid w:val="00E61D24"/>
    <w:rsid w:val="00E61FE1"/>
    <w:rsid w:val="00E620E8"/>
    <w:rsid w:val="00E62277"/>
    <w:rsid w:val="00E62303"/>
    <w:rsid w:val="00E62331"/>
    <w:rsid w:val="00E62380"/>
    <w:rsid w:val="00E62494"/>
    <w:rsid w:val="00E62562"/>
    <w:rsid w:val="00E626D0"/>
    <w:rsid w:val="00E62702"/>
    <w:rsid w:val="00E62729"/>
    <w:rsid w:val="00E6280F"/>
    <w:rsid w:val="00E6285B"/>
    <w:rsid w:val="00E62867"/>
    <w:rsid w:val="00E628DD"/>
    <w:rsid w:val="00E62A2F"/>
    <w:rsid w:val="00E62B28"/>
    <w:rsid w:val="00E62C19"/>
    <w:rsid w:val="00E62C77"/>
    <w:rsid w:val="00E62D85"/>
    <w:rsid w:val="00E62DE8"/>
    <w:rsid w:val="00E62E8F"/>
    <w:rsid w:val="00E62E97"/>
    <w:rsid w:val="00E6313A"/>
    <w:rsid w:val="00E63172"/>
    <w:rsid w:val="00E6328B"/>
    <w:rsid w:val="00E633BD"/>
    <w:rsid w:val="00E634D5"/>
    <w:rsid w:val="00E6375E"/>
    <w:rsid w:val="00E63763"/>
    <w:rsid w:val="00E637F4"/>
    <w:rsid w:val="00E63B13"/>
    <w:rsid w:val="00E63DA2"/>
    <w:rsid w:val="00E63DDD"/>
    <w:rsid w:val="00E63EB9"/>
    <w:rsid w:val="00E63ED5"/>
    <w:rsid w:val="00E64047"/>
    <w:rsid w:val="00E64272"/>
    <w:rsid w:val="00E642D6"/>
    <w:rsid w:val="00E64528"/>
    <w:rsid w:val="00E6460C"/>
    <w:rsid w:val="00E64687"/>
    <w:rsid w:val="00E6469F"/>
    <w:rsid w:val="00E64703"/>
    <w:rsid w:val="00E647D9"/>
    <w:rsid w:val="00E649B9"/>
    <w:rsid w:val="00E649C8"/>
    <w:rsid w:val="00E64A23"/>
    <w:rsid w:val="00E64A9E"/>
    <w:rsid w:val="00E64AA1"/>
    <w:rsid w:val="00E64C20"/>
    <w:rsid w:val="00E64CD4"/>
    <w:rsid w:val="00E64CEB"/>
    <w:rsid w:val="00E64F02"/>
    <w:rsid w:val="00E64F80"/>
    <w:rsid w:val="00E653A8"/>
    <w:rsid w:val="00E653DB"/>
    <w:rsid w:val="00E65795"/>
    <w:rsid w:val="00E659F0"/>
    <w:rsid w:val="00E65B26"/>
    <w:rsid w:val="00E65BF2"/>
    <w:rsid w:val="00E65CF2"/>
    <w:rsid w:val="00E65E13"/>
    <w:rsid w:val="00E65EE3"/>
    <w:rsid w:val="00E65EE7"/>
    <w:rsid w:val="00E65FFA"/>
    <w:rsid w:val="00E66083"/>
    <w:rsid w:val="00E66204"/>
    <w:rsid w:val="00E662C7"/>
    <w:rsid w:val="00E66429"/>
    <w:rsid w:val="00E6642F"/>
    <w:rsid w:val="00E66453"/>
    <w:rsid w:val="00E664B3"/>
    <w:rsid w:val="00E66506"/>
    <w:rsid w:val="00E66611"/>
    <w:rsid w:val="00E667B3"/>
    <w:rsid w:val="00E6680D"/>
    <w:rsid w:val="00E6696F"/>
    <w:rsid w:val="00E66B31"/>
    <w:rsid w:val="00E66CC8"/>
    <w:rsid w:val="00E66F16"/>
    <w:rsid w:val="00E6707D"/>
    <w:rsid w:val="00E670DE"/>
    <w:rsid w:val="00E672DF"/>
    <w:rsid w:val="00E674C5"/>
    <w:rsid w:val="00E6780A"/>
    <w:rsid w:val="00E678E0"/>
    <w:rsid w:val="00E679A1"/>
    <w:rsid w:val="00E67BEB"/>
    <w:rsid w:val="00E67C9D"/>
    <w:rsid w:val="00E67DC5"/>
    <w:rsid w:val="00E67DDA"/>
    <w:rsid w:val="00E67E8A"/>
    <w:rsid w:val="00E70079"/>
    <w:rsid w:val="00E7026B"/>
    <w:rsid w:val="00E702CF"/>
    <w:rsid w:val="00E702F5"/>
    <w:rsid w:val="00E704D7"/>
    <w:rsid w:val="00E705C9"/>
    <w:rsid w:val="00E70629"/>
    <w:rsid w:val="00E70A4B"/>
    <w:rsid w:val="00E70CEA"/>
    <w:rsid w:val="00E70CEB"/>
    <w:rsid w:val="00E70D0F"/>
    <w:rsid w:val="00E70D3C"/>
    <w:rsid w:val="00E70DCF"/>
    <w:rsid w:val="00E70E3C"/>
    <w:rsid w:val="00E70E49"/>
    <w:rsid w:val="00E70EA6"/>
    <w:rsid w:val="00E711E0"/>
    <w:rsid w:val="00E711EB"/>
    <w:rsid w:val="00E7127B"/>
    <w:rsid w:val="00E71295"/>
    <w:rsid w:val="00E7137E"/>
    <w:rsid w:val="00E714AA"/>
    <w:rsid w:val="00E714DA"/>
    <w:rsid w:val="00E71564"/>
    <w:rsid w:val="00E71674"/>
    <w:rsid w:val="00E717EA"/>
    <w:rsid w:val="00E7198A"/>
    <w:rsid w:val="00E71AE3"/>
    <w:rsid w:val="00E71B30"/>
    <w:rsid w:val="00E71B5F"/>
    <w:rsid w:val="00E71C5F"/>
    <w:rsid w:val="00E71E4F"/>
    <w:rsid w:val="00E71E6C"/>
    <w:rsid w:val="00E71ECE"/>
    <w:rsid w:val="00E71EE7"/>
    <w:rsid w:val="00E7205B"/>
    <w:rsid w:val="00E720FE"/>
    <w:rsid w:val="00E725E2"/>
    <w:rsid w:val="00E7266F"/>
    <w:rsid w:val="00E7272C"/>
    <w:rsid w:val="00E7274A"/>
    <w:rsid w:val="00E727C8"/>
    <w:rsid w:val="00E7280E"/>
    <w:rsid w:val="00E72939"/>
    <w:rsid w:val="00E729E2"/>
    <w:rsid w:val="00E72ADB"/>
    <w:rsid w:val="00E72B85"/>
    <w:rsid w:val="00E72BA5"/>
    <w:rsid w:val="00E72C50"/>
    <w:rsid w:val="00E72DF0"/>
    <w:rsid w:val="00E72E15"/>
    <w:rsid w:val="00E72E1A"/>
    <w:rsid w:val="00E72EFE"/>
    <w:rsid w:val="00E73207"/>
    <w:rsid w:val="00E73261"/>
    <w:rsid w:val="00E73333"/>
    <w:rsid w:val="00E73500"/>
    <w:rsid w:val="00E73566"/>
    <w:rsid w:val="00E7357C"/>
    <w:rsid w:val="00E7384D"/>
    <w:rsid w:val="00E7399C"/>
    <w:rsid w:val="00E739A5"/>
    <w:rsid w:val="00E739F1"/>
    <w:rsid w:val="00E73A22"/>
    <w:rsid w:val="00E73A6E"/>
    <w:rsid w:val="00E73CE0"/>
    <w:rsid w:val="00E73FFA"/>
    <w:rsid w:val="00E74042"/>
    <w:rsid w:val="00E7412D"/>
    <w:rsid w:val="00E7422A"/>
    <w:rsid w:val="00E7429F"/>
    <w:rsid w:val="00E742F4"/>
    <w:rsid w:val="00E74305"/>
    <w:rsid w:val="00E74358"/>
    <w:rsid w:val="00E74371"/>
    <w:rsid w:val="00E747C5"/>
    <w:rsid w:val="00E74925"/>
    <w:rsid w:val="00E7496E"/>
    <w:rsid w:val="00E74B0A"/>
    <w:rsid w:val="00E74CC1"/>
    <w:rsid w:val="00E74E16"/>
    <w:rsid w:val="00E74F0D"/>
    <w:rsid w:val="00E74F21"/>
    <w:rsid w:val="00E750BA"/>
    <w:rsid w:val="00E751CD"/>
    <w:rsid w:val="00E7531F"/>
    <w:rsid w:val="00E75499"/>
    <w:rsid w:val="00E754A7"/>
    <w:rsid w:val="00E755E9"/>
    <w:rsid w:val="00E75847"/>
    <w:rsid w:val="00E7587E"/>
    <w:rsid w:val="00E758D4"/>
    <w:rsid w:val="00E75926"/>
    <w:rsid w:val="00E7593B"/>
    <w:rsid w:val="00E75997"/>
    <w:rsid w:val="00E759CD"/>
    <w:rsid w:val="00E75BA1"/>
    <w:rsid w:val="00E75DB1"/>
    <w:rsid w:val="00E75E09"/>
    <w:rsid w:val="00E75E87"/>
    <w:rsid w:val="00E75EB2"/>
    <w:rsid w:val="00E75FF3"/>
    <w:rsid w:val="00E7610C"/>
    <w:rsid w:val="00E763C8"/>
    <w:rsid w:val="00E76490"/>
    <w:rsid w:val="00E76519"/>
    <w:rsid w:val="00E76538"/>
    <w:rsid w:val="00E76549"/>
    <w:rsid w:val="00E76645"/>
    <w:rsid w:val="00E76669"/>
    <w:rsid w:val="00E76798"/>
    <w:rsid w:val="00E767B0"/>
    <w:rsid w:val="00E7688E"/>
    <w:rsid w:val="00E769A6"/>
    <w:rsid w:val="00E76B45"/>
    <w:rsid w:val="00E76D4A"/>
    <w:rsid w:val="00E76D9A"/>
    <w:rsid w:val="00E77027"/>
    <w:rsid w:val="00E771BC"/>
    <w:rsid w:val="00E772CD"/>
    <w:rsid w:val="00E7743E"/>
    <w:rsid w:val="00E7757C"/>
    <w:rsid w:val="00E7763C"/>
    <w:rsid w:val="00E776A9"/>
    <w:rsid w:val="00E777C1"/>
    <w:rsid w:val="00E777E2"/>
    <w:rsid w:val="00E77820"/>
    <w:rsid w:val="00E77843"/>
    <w:rsid w:val="00E77FE8"/>
    <w:rsid w:val="00E7F4E8"/>
    <w:rsid w:val="00E80136"/>
    <w:rsid w:val="00E80191"/>
    <w:rsid w:val="00E801A0"/>
    <w:rsid w:val="00E802D2"/>
    <w:rsid w:val="00E8056C"/>
    <w:rsid w:val="00E805B0"/>
    <w:rsid w:val="00E807F7"/>
    <w:rsid w:val="00E80834"/>
    <w:rsid w:val="00E8086F"/>
    <w:rsid w:val="00E80A23"/>
    <w:rsid w:val="00E80B53"/>
    <w:rsid w:val="00E80CD0"/>
    <w:rsid w:val="00E80ECB"/>
    <w:rsid w:val="00E80F3A"/>
    <w:rsid w:val="00E8104E"/>
    <w:rsid w:val="00E8141B"/>
    <w:rsid w:val="00E8144B"/>
    <w:rsid w:val="00E814A1"/>
    <w:rsid w:val="00E8150F"/>
    <w:rsid w:val="00E8151A"/>
    <w:rsid w:val="00E81655"/>
    <w:rsid w:val="00E81695"/>
    <w:rsid w:val="00E8169D"/>
    <w:rsid w:val="00E816B1"/>
    <w:rsid w:val="00E81738"/>
    <w:rsid w:val="00E8175D"/>
    <w:rsid w:val="00E81A73"/>
    <w:rsid w:val="00E81BFF"/>
    <w:rsid w:val="00E81C9E"/>
    <w:rsid w:val="00E81D97"/>
    <w:rsid w:val="00E81F44"/>
    <w:rsid w:val="00E81FCF"/>
    <w:rsid w:val="00E8206D"/>
    <w:rsid w:val="00E82172"/>
    <w:rsid w:val="00E82417"/>
    <w:rsid w:val="00E82626"/>
    <w:rsid w:val="00E8272D"/>
    <w:rsid w:val="00E82741"/>
    <w:rsid w:val="00E82B9B"/>
    <w:rsid w:val="00E82CC0"/>
    <w:rsid w:val="00E82CE2"/>
    <w:rsid w:val="00E82D1E"/>
    <w:rsid w:val="00E82D2A"/>
    <w:rsid w:val="00E82DD3"/>
    <w:rsid w:val="00E82E11"/>
    <w:rsid w:val="00E82F8E"/>
    <w:rsid w:val="00E830B7"/>
    <w:rsid w:val="00E832A8"/>
    <w:rsid w:val="00E83336"/>
    <w:rsid w:val="00E833E9"/>
    <w:rsid w:val="00E83476"/>
    <w:rsid w:val="00E8350E"/>
    <w:rsid w:val="00E835F4"/>
    <w:rsid w:val="00E838AC"/>
    <w:rsid w:val="00E83E3D"/>
    <w:rsid w:val="00E83EC6"/>
    <w:rsid w:val="00E83ED2"/>
    <w:rsid w:val="00E84095"/>
    <w:rsid w:val="00E84119"/>
    <w:rsid w:val="00E842D4"/>
    <w:rsid w:val="00E84488"/>
    <w:rsid w:val="00E84557"/>
    <w:rsid w:val="00E845DA"/>
    <w:rsid w:val="00E846C0"/>
    <w:rsid w:val="00E847CE"/>
    <w:rsid w:val="00E848A1"/>
    <w:rsid w:val="00E848C5"/>
    <w:rsid w:val="00E84A45"/>
    <w:rsid w:val="00E84A4D"/>
    <w:rsid w:val="00E84AE9"/>
    <w:rsid w:val="00E84B74"/>
    <w:rsid w:val="00E84C44"/>
    <w:rsid w:val="00E84E31"/>
    <w:rsid w:val="00E84F5A"/>
    <w:rsid w:val="00E84FA8"/>
    <w:rsid w:val="00E8506F"/>
    <w:rsid w:val="00E85116"/>
    <w:rsid w:val="00E85307"/>
    <w:rsid w:val="00E8574E"/>
    <w:rsid w:val="00E85769"/>
    <w:rsid w:val="00E8585B"/>
    <w:rsid w:val="00E858EC"/>
    <w:rsid w:val="00E8596C"/>
    <w:rsid w:val="00E859BD"/>
    <w:rsid w:val="00E85A3D"/>
    <w:rsid w:val="00E85A72"/>
    <w:rsid w:val="00E85B30"/>
    <w:rsid w:val="00E85C09"/>
    <w:rsid w:val="00E85E77"/>
    <w:rsid w:val="00E85F59"/>
    <w:rsid w:val="00E85F78"/>
    <w:rsid w:val="00E85F82"/>
    <w:rsid w:val="00E86046"/>
    <w:rsid w:val="00E86059"/>
    <w:rsid w:val="00E8613A"/>
    <w:rsid w:val="00E86151"/>
    <w:rsid w:val="00E86164"/>
    <w:rsid w:val="00E861D1"/>
    <w:rsid w:val="00E86301"/>
    <w:rsid w:val="00E86350"/>
    <w:rsid w:val="00E8648E"/>
    <w:rsid w:val="00E86532"/>
    <w:rsid w:val="00E86692"/>
    <w:rsid w:val="00E86750"/>
    <w:rsid w:val="00E8677C"/>
    <w:rsid w:val="00E867AF"/>
    <w:rsid w:val="00E86820"/>
    <w:rsid w:val="00E86841"/>
    <w:rsid w:val="00E868C9"/>
    <w:rsid w:val="00E86AE7"/>
    <w:rsid w:val="00E86DAB"/>
    <w:rsid w:val="00E86DC5"/>
    <w:rsid w:val="00E87064"/>
    <w:rsid w:val="00E87466"/>
    <w:rsid w:val="00E87674"/>
    <w:rsid w:val="00E87798"/>
    <w:rsid w:val="00E877BD"/>
    <w:rsid w:val="00E878AF"/>
    <w:rsid w:val="00E879D0"/>
    <w:rsid w:val="00E87A40"/>
    <w:rsid w:val="00E87A5E"/>
    <w:rsid w:val="00E87ADE"/>
    <w:rsid w:val="00E87BD7"/>
    <w:rsid w:val="00E87C2D"/>
    <w:rsid w:val="00E87CCF"/>
    <w:rsid w:val="00E87DF7"/>
    <w:rsid w:val="00E87E1A"/>
    <w:rsid w:val="00E87FCE"/>
    <w:rsid w:val="00E904FD"/>
    <w:rsid w:val="00E9062B"/>
    <w:rsid w:val="00E90939"/>
    <w:rsid w:val="00E90A3E"/>
    <w:rsid w:val="00E90C8E"/>
    <w:rsid w:val="00E90F4D"/>
    <w:rsid w:val="00E90F7D"/>
    <w:rsid w:val="00E911C9"/>
    <w:rsid w:val="00E91490"/>
    <w:rsid w:val="00E915BC"/>
    <w:rsid w:val="00E916EA"/>
    <w:rsid w:val="00E91A13"/>
    <w:rsid w:val="00E91A3B"/>
    <w:rsid w:val="00E91B45"/>
    <w:rsid w:val="00E91F25"/>
    <w:rsid w:val="00E91F88"/>
    <w:rsid w:val="00E92361"/>
    <w:rsid w:val="00E925DD"/>
    <w:rsid w:val="00E926A7"/>
    <w:rsid w:val="00E92827"/>
    <w:rsid w:val="00E92970"/>
    <w:rsid w:val="00E92977"/>
    <w:rsid w:val="00E929D4"/>
    <w:rsid w:val="00E92A14"/>
    <w:rsid w:val="00E92AA1"/>
    <w:rsid w:val="00E92B52"/>
    <w:rsid w:val="00E92BC8"/>
    <w:rsid w:val="00E92C03"/>
    <w:rsid w:val="00E92D64"/>
    <w:rsid w:val="00E9310D"/>
    <w:rsid w:val="00E93461"/>
    <w:rsid w:val="00E934EB"/>
    <w:rsid w:val="00E93528"/>
    <w:rsid w:val="00E935F2"/>
    <w:rsid w:val="00E9368F"/>
    <w:rsid w:val="00E93783"/>
    <w:rsid w:val="00E93904"/>
    <w:rsid w:val="00E9395D"/>
    <w:rsid w:val="00E93BBA"/>
    <w:rsid w:val="00E93D76"/>
    <w:rsid w:val="00E93DDE"/>
    <w:rsid w:val="00E93E66"/>
    <w:rsid w:val="00E93F6C"/>
    <w:rsid w:val="00E94191"/>
    <w:rsid w:val="00E94437"/>
    <w:rsid w:val="00E94612"/>
    <w:rsid w:val="00E94645"/>
    <w:rsid w:val="00E94775"/>
    <w:rsid w:val="00E94783"/>
    <w:rsid w:val="00E94846"/>
    <w:rsid w:val="00E949EA"/>
    <w:rsid w:val="00E94B97"/>
    <w:rsid w:val="00E94D16"/>
    <w:rsid w:val="00E94F99"/>
    <w:rsid w:val="00E951C2"/>
    <w:rsid w:val="00E9526C"/>
    <w:rsid w:val="00E9544B"/>
    <w:rsid w:val="00E954EA"/>
    <w:rsid w:val="00E9559A"/>
    <w:rsid w:val="00E955E8"/>
    <w:rsid w:val="00E9564F"/>
    <w:rsid w:val="00E95762"/>
    <w:rsid w:val="00E958F6"/>
    <w:rsid w:val="00E959B5"/>
    <w:rsid w:val="00E95AAD"/>
    <w:rsid w:val="00E95AF5"/>
    <w:rsid w:val="00E95B17"/>
    <w:rsid w:val="00E95BB9"/>
    <w:rsid w:val="00E95BFB"/>
    <w:rsid w:val="00E95EB0"/>
    <w:rsid w:val="00E96185"/>
    <w:rsid w:val="00E963F9"/>
    <w:rsid w:val="00E96516"/>
    <w:rsid w:val="00E9657A"/>
    <w:rsid w:val="00E96582"/>
    <w:rsid w:val="00E9669B"/>
    <w:rsid w:val="00E966E3"/>
    <w:rsid w:val="00E96747"/>
    <w:rsid w:val="00E967B8"/>
    <w:rsid w:val="00E96932"/>
    <w:rsid w:val="00E9697E"/>
    <w:rsid w:val="00E96EB1"/>
    <w:rsid w:val="00E96F05"/>
    <w:rsid w:val="00E96F52"/>
    <w:rsid w:val="00E97011"/>
    <w:rsid w:val="00E9701B"/>
    <w:rsid w:val="00E970BC"/>
    <w:rsid w:val="00E97475"/>
    <w:rsid w:val="00E974AD"/>
    <w:rsid w:val="00E974DE"/>
    <w:rsid w:val="00E97515"/>
    <w:rsid w:val="00E975E7"/>
    <w:rsid w:val="00E975F9"/>
    <w:rsid w:val="00E9761C"/>
    <w:rsid w:val="00E976BF"/>
    <w:rsid w:val="00E97850"/>
    <w:rsid w:val="00E978D5"/>
    <w:rsid w:val="00E97932"/>
    <w:rsid w:val="00E97935"/>
    <w:rsid w:val="00E97A2E"/>
    <w:rsid w:val="00E97BC0"/>
    <w:rsid w:val="00E97C9C"/>
    <w:rsid w:val="00E97CD2"/>
    <w:rsid w:val="00E97D47"/>
    <w:rsid w:val="00E97E04"/>
    <w:rsid w:val="00EA002F"/>
    <w:rsid w:val="00EA0071"/>
    <w:rsid w:val="00EA00F0"/>
    <w:rsid w:val="00EA0227"/>
    <w:rsid w:val="00EA03EB"/>
    <w:rsid w:val="00EA04F5"/>
    <w:rsid w:val="00EA0579"/>
    <w:rsid w:val="00EA061E"/>
    <w:rsid w:val="00EA0AFD"/>
    <w:rsid w:val="00EA0B32"/>
    <w:rsid w:val="00EA0E43"/>
    <w:rsid w:val="00EA0E5E"/>
    <w:rsid w:val="00EA0EF4"/>
    <w:rsid w:val="00EA101E"/>
    <w:rsid w:val="00EA10DF"/>
    <w:rsid w:val="00EA1364"/>
    <w:rsid w:val="00EA1485"/>
    <w:rsid w:val="00EA150E"/>
    <w:rsid w:val="00EA1571"/>
    <w:rsid w:val="00EA1754"/>
    <w:rsid w:val="00EA1926"/>
    <w:rsid w:val="00EA19BD"/>
    <w:rsid w:val="00EA1AC8"/>
    <w:rsid w:val="00EA1B80"/>
    <w:rsid w:val="00EA1C8C"/>
    <w:rsid w:val="00EA1DFE"/>
    <w:rsid w:val="00EA21C2"/>
    <w:rsid w:val="00EA23C6"/>
    <w:rsid w:val="00EA246F"/>
    <w:rsid w:val="00EA24D5"/>
    <w:rsid w:val="00EA24E4"/>
    <w:rsid w:val="00EA265D"/>
    <w:rsid w:val="00EA2729"/>
    <w:rsid w:val="00EA281F"/>
    <w:rsid w:val="00EA2843"/>
    <w:rsid w:val="00EA2961"/>
    <w:rsid w:val="00EA2A77"/>
    <w:rsid w:val="00EA2C18"/>
    <w:rsid w:val="00EA2E29"/>
    <w:rsid w:val="00EA2F73"/>
    <w:rsid w:val="00EA303F"/>
    <w:rsid w:val="00EA3064"/>
    <w:rsid w:val="00EA3242"/>
    <w:rsid w:val="00EA3280"/>
    <w:rsid w:val="00EA331F"/>
    <w:rsid w:val="00EA3546"/>
    <w:rsid w:val="00EA37D3"/>
    <w:rsid w:val="00EA3817"/>
    <w:rsid w:val="00EA381B"/>
    <w:rsid w:val="00EA3928"/>
    <w:rsid w:val="00EA39BD"/>
    <w:rsid w:val="00EA3C5B"/>
    <w:rsid w:val="00EA3CAD"/>
    <w:rsid w:val="00EA3D7C"/>
    <w:rsid w:val="00EA3F3D"/>
    <w:rsid w:val="00EA3F73"/>
    <w:rsid w:val="00EA40AB"/>
    <w:rsid w:val="00EA4145"/>
    <w:rsid w:val="00EA426F"/>
    <w:rsid w:val="00EA4430"/>
    <w:rsid w:val="00EA45E5"/>
    <w:rsid w:val="00EA4619"/>
    <w:rsid w:val="00EA4627"/>
    <w:rsid w:val="00EA4639"/>
    <w:rsid w:val="00EA466B"/>
    <w:rsid w:val="00EA468A"/>
    <w:rsid w:val="00EA4771"/>
    <w:rsid w:val="00EA4893"/>
    <w:rsid w:val="00EA489D"/>
    <w:rsid w:val="00EA49BB"/>
    <w:rsid w:val="00EA4D00"/>
    <w:rsid w:val="00EA4D0B"/>
    <w:rsid w:val="00EA4E94"/>
    <w:rsid w:val="00EA4F23"/>
    <w:rsid w:val="00EA5016"/>
    <w:rsid w:val="00EA52A0"/>
    <w:rsid w:val="00EA535B"/>
    <w:rsid w:val="00EA5913"/>
    <w:rsid w:val="00EA5945"/>
    <w:rsid w:val="00EA5DD9"/>
    <w:rsid w:val="00EA6091"/>
    <w:rsid w:val="00EA626B"/>
    <w:rsid w:val="00EA67C0"/>
    <w:rsid w:val="00EA6A6D"/>
    <w:rsid w:val="00EA6AD9"/>
    <w:rsid w:val="00EA6BBC"/>
    <w:rsid w:val="00EA6CCC"/>
    <w:rsid w:val="00EA6D77"/>
    <w:rsid w:val="00EA6DC4"/>
    <w:rsid w:val="00EA6DCE"/>
    <w:rsid w:val="00EA700B"/>
    <w:rsid w:val="00EA7091"/>
    <w:rsid w:val="00EA70A4"/>
    <w:rsid w:val="00EA71B9"/>
    <w:rsid w:val="00EA72F7"/>
    <w:rsid w:val="00EA761C"/>
    <w:rsid w:val="00EA77F6"/>
    <w:rsid w:val="00EA7A40"/>
    <w:rsid w:val="00EA7A4B"/>
    <w:rsid w:val="00EA7AC6"/>
    <w:rsid w:val="00EA7BD4"/>
    <w:rsid w:val="00EA7C73"/>
    <w:rsid w:val="00EA7E76"/>
    <w:rsid w:val="00EA7FEA"/>
    <w:rsid w:val="00EB010A"/>
    <w:rsid w:val="00EB01F4"/>
    <w:rsid w:val="00EB0232"/>
    <w:rsid w:val="00EB03E3"/>
    <w:rsid w:val="00EB098E"/>
    <w:rsid w:val="00EB0AE3"/>
    <w:rsid w:val="00EB0CA0"/>
    <w:rsid w:val="00EB0D1D"/>
    <w:rsid w:val="00EB0E44"/>
    <w:rsid w:val="00EB0F35"/>
    <w:rsid w:val="00EB1257"/>
    <w:rsid w:val="00EB1260"/>
    <w:rsid w:val="00EB1435"/>
    <w:rsid w:val="00EB1509"/>
    <w:rsid w:val="00EB1609"/>
    <w:rsid w:val="00EB1646"/>
    <w:rsid w:val="00EB16EC"/>
    <w:rsid w:val="00EB17D7"/>
    <w:rsid w:val="00EB19C3"/>
    <w:rsid w:val="00EB1C72"/>
    <w:rsid w:val="00EB1E9B"/>
    <w:rsid w:val="00EB1F06"/>
    <w:rsid w:val="00EB1F6C"/>
    <w:rsid w:val="00EB21AF"/>
    <w:rsid w:val="00EB21BA"/>
    <w:rsid w:val="00EB223F"/>
    <w:rsid w:val="00EB2249"/>
    <w:rsid w:val="00EB24F9"/>
    <w:rsid w:val="00EB265C"/>
    <w:rsid w:val="00EB28AC"/>
    <w:rsid w:val="00EB2961"/>
    <w:rsid w:val="00EB2A2C"/>
    <w:rsid w:val="00EB2B19"/>
    <w:rsid w:val="00EB2B47"/>
    <w:rsid w:val="00EB2BA0"/>
    <w:rsid w:val="00EB2BBC"/>
    <w:rsid w:val="00EB2BE0"/>
    <w:rsid w:val="00EB3293"/>
    <w:rsid w:val="00EB35C3"/>
    <w:rsid w:val="00EB364D"/>
    <w:rsid w:val="00EB368A"/>
    <w:rsid w:val="00EB3808"/>
    <w:rsid w:val="00EB38B1"/>
    <w:rsid w:val="00EB3948"/>
    <w:rsid w:val="00EB39A7"/>
    <w:rsid w:val="00EB3BA1"/>
    <w:rsid w:val="00EB3C33"/>
    <w:rsid w:val="00EB3CD1"/>
    <w:rsid w:val="00EB3E07"/>
    <w:rsid w:val="00EB3E2D"/>
    <w:rsid w:val="00EB3F2F"/>
    <w:rsid w:val="00EB4001"/>
    <w:rsid w:val="00EB40A1"/>
    <w:rsid w:val="00EB41D9"/>
    <w:rsid w:val="00EB43A8"/>
    <w:rsid w:val="00EB44F4"/>
    <w:rsid w:val="00EB45F9"/>
    <w:rsid w:val="00EB4764"/>
    <w:rsid w:val="00EB48B7"/>
    <w:rsid w:val="00EB4940"/>
    <w:rsid w:val="00EB4999"/>
    <w:rsid w:val="00EB4ACE"/>
    <w:rsid w:val="00EB4B0E"/>
    <w:rsid w:val="00EB4C68"/>
    <w:rsid w:val="00EB4CB1"/>
    <w:rsid w:val="00EB4CE5"/>
    <w:rsid w:val="00EB4E28"/>
    <w:rsid w:val="00EB4E8A"/>
    <w:rsid w:val="00EB4F07"/>
    <w:rsid w:val="00EB4FBD"/>
    <w:rsid w:val="00EB4FF8"/>
    <w:rsid w:val="00EB5027"/>
    <w:rsid w:val="00EB506E"/>
    <w:rsid w:val="00EB51F7"/>
    <w:rsid w:val="00EB5262"/>
    <w:rsid w:val="00EB5358"/>
    <w:rsid w:val="00EB535B"/>
    <w:rsid w:val="00EB53BC"/>
    <w:rsid w:val="00EB53C5"/>
    <w:rsid w:val="00EB550F"/>
    <w:rsid w:val="00EB567D"/>
    <w:rsid w:val="00EB5710"/>
    <w:rsid w:val="00EB581E"/>
    <w:rsid w:val="00EB587E"/>
    <w:rsid w:val="00EB58BA"/>
    <w:rsid w:val="00EB58DA"/>
    <w:rsid w:val="00EB5A08"/>
    <w:rsid w:val="00EB5A84"/>
    <w:rsid w:val="00EB5AD8"/>
    <w:rsid w:val="00EB5AFB"/>
    <w:rsid w:val="00EB5EE9"/>
    <w:rsid w:val="00EB60E5"/>
    <w:rsid w:val="00EB6157"/>
    <w:rsid w:val="00EB6364"/>
    <w:rsid w:val="00EB6440"/>
    <w:rsid w:val="00EB66B0"/>
    <w:rsid w:val="00EB6992"/>
    <w:rsid w:val="00EB69FE"/>
    <w:rsid w:val="00EB6B8A"/>
    <w:rsid w:val="00EB6D46"/>
    <w:rsid w:val="00EB6DC7"/>
    <w:rsid w:val="00EB6E87"/>
    <w:rsid w:val="00EB6E96"/>
    <w:rsid w:val="00EB71A1"/>
    <w:rsid w:val="00EB7210"/>
    <w:rsid w:val="00EB7228"/>
    <w:rsid w:val="00EB72CA"/>
    <w:rsid w:val="00EB72D3"/>
    <w:rsid w:val="00EB746E"/>
    <w:rsid w:val="00EB7487"/>
    <w:rsid w:val="00EB7617"/>
    <w:rsid w:val="00EB7745"/>
    <w:rsid w:val="00EB7844"/>
    <w:rsid w:val="00EB7884"/>
    <w:rsid w:val="00EB7A21"/>
    <w:rsid w:val="00EB7C18"/>
    <w:rsid w:val="00EB7C28"/>
    <w:rsid w:val="00EB7D7A"/>
    <w:rsid w:val="00EB7DA6"/>
    <w:rsid w:val="00EB7F05"/>
    <w:rsid w:val="00EB7F73"/>
    <w:rsid w:val="00EC0063"/>
    <w:rsid w:val="00EC0447"/>
    <w:rsid w:val="00EC0487"/>
    <w:rsid w:val="00EC04DC"/>
    <w:rsid w:val="00EC09F3"/>
    <w:rsid w:val="00EC0A13"/>
    <w:rsid w:val="00EC0B61"/>
    <w:rsid w:val="00EC1007"/>
    <w:rsid w:val="00EC13C4"/>
    <w:rsid w:val="00EC148F"/>
    <w:rsid w:val="00EC156E"/>
    <w:rsid w:val="00EC16A5"/>
    <w:rsid w:val="00EC16F8"/>
    <w:rsid w:val="00EC17C2"/>
    <w:rsid w:val="00EC18E9"/>
    <w:rsid w:val="00EC1ADF"/>
    <w:rsid w:val="00EC1BBA"/>
    <w:rsid w:val="00EC1CB2"/>
    <w:rsid w:val="00EC1EB9"/>
    <w:rsid w:val="00EC2018"/>
    <w:rsid w:val="00EC205E"/>
    <w:rsid w:val="00EC219B"/>
    <w:rsid w:val="00EC2254"/>
    <w:rsid w:val="00EC2315"/>
    <w:rsid w:val="00EC2413"/>
    <w:rsid w:val="00EC255F"/>
    <w:rsid w:val="00EC270C"/>
    <w:rsid w:val="00EC282C"/>
    <w:rsid w:val="00EC2A29"/>
    <w:rsid w:val="00EC2AE0"/>
    <w:rsid w:val="00EC2FB2"/>
    <w:rsid w:val="00EC30C3"/>
    <w:rsid w:val="00EC31D0"/>
    <w:rsid w:val="00EC32C5"/>
    <w:rsid w:val="00EC334D"/>
    <w:rsid w:val="00EC33AA"/>
    <w:rsid w:val="00EC33D7"/>
    <w:rsid w:val="00EC358E"/>
    <w:rsid w:val="00EC36B3"/>
    <w:rsid w:val="00EC3846"/>
    <w:rsid w:val="00EC3A48"/>
    <w:rsid w:val="00EC3A6B"/>
    <w:rsid w:val="00EC3A6C"/>
    <w:rsid w:val="00EC3AD3"/>
    <w:rsid w:val="00EC3B65"/>
    <w:rsid w:val="00EC3C08"/>
    <w:rsid w:val="00EC3C2E"/>
    <w:rsid w:val="00EC3C55"/>
    <w:rsid w:val="00EC3C95"/>
    <w:rsid w:val="00EC3D6D"/>
    <w:rsid w:val="00EC3DBE"/>
    <w:rsid w:val="00EC3DC6"/>
    <w:rsid w:val="00EC3E1A"/>
    <w:rsid w:val="00EC3E51"/>
    <w:rsid w:val="00EC3FF4"/>
    <w:rsid w:val="00EC41AE"/>
    <w:rsid w:val="00EC4208"/>
    <w:rsid w:val="00EC4279"/>
    <w:rsid w:val="00EC4282"/>
    <w:rsid w:val="00EC44A4"/>
    <w:rsid w:val="00EC44B3"/>
    <w:rsid w:val="00EC4563"/>
    <w:rsid w:val="00EC46CC"/>
    <w:rsid w:val="00EC4926"/>
    <w:rsid w:val="00EC495F"/>
    <w:rsid w:val="00EC49FD"/>
    <w:rsid w:val="00EC4A93"/>
    <w:rsid w:val="00EC4B38"/>
    <w:rsid w:val="00EC4B5D"/>
    <w:rsid w:val="00EC4BA1"/>
    <w:rsid w:val="00EC4C3F"/>
    <w:rsid w:val="00EC4CE8"/>
    <w:rsid w:val="00EC4F02"/>
    <w:rsid w:val="00EC4F1E"/>
    <w:rsid w:val="00EC4FFA"/>
    <w:rsid w:val="00EC5059"/>
    <w:rsid w:val="00EC5061"/>
    <w:rsid w:val="00EC50C7"/>
    <w:rsid w:val="00EC523D"/>
    <w:rsid w:val="00EC52CD"/>
    <w:rsid w:val="00EC5393"/>
    <w:rsid w:val="00EC53B7"/>
    <w:rsid w:val="00EC54AC"/>
    <w:rsid w:val="00EC55A6"/>
    <w:rsid w:val="00EC5779"/>
    <w:rsid w:val="00EC58BE"/>
    <w:rsid w:val="00EC5926"/>
    <w:rsid w:val="00EC59E3"/>
    <w:rsid w:val="00EC5B35"/>
    <w:rsid w:val="00EC5E20"/>
    <w:rsid w:val="00EC5E9E"/>
    <w:rsid w:val="00EC5FA6"/>
    <w:rsid w:val="00EC5FE3"/>
    <w:rsid w:val="00EC615E"/>
    <w:rsid w:val="00EC61FC"/>
    <w:rsid w:val="00EC63E6"/>
    <w:rsid w:val="00EC640C"/>
    <w:rsid w:val="00EC6481"/>
    <w:rsid w:val="00EC651F"/>
    <w:rsid w:val="00EC654C"/>
    <w:rsid w:val="00EC6606"/>
    <w:rsid w:val="00EC6848"/>
    <w:rsid w:val="00EC6B3A"/>
    <w:rsid w:val="00EC6B6E"/>
    <w:rsid w:val="00EC6C04"/>
    <w:rsid w:val="00EC6C87"/>
    <w:rsid w:val="00EC6D2C"/>
    <w:rsid w:val="00EC6E8F"/>
    <w:rsid w:val="00EC7116"/>
    <w:rsid w:val="00EC7146"/>
    <w:rsid w:val="00EC727B"/>
    <w:rsid w:val="00EC732F"/>
    <w:rsid w:val="00EC73AF"/>
    <w:rsid w:val="00EC73C5"/>
    <w:rsid w:val="00EC73FF"/>
    <w:rsid w:val="00EC75B6"/>
    <w:rsid w:val="00EC7614"/>
    <w:rsid w:val="00EC7656"/>
    <w:rsid w:val="00EC7669"/>
    <w:rsid w:val="00EC795A"/>
    <w:rsid w:val="00EC79A3"/>
    <w:rsid w:val="00EC79E9"/>
    <w:rsid w:val="00EC7C2B"/>
    <w:rsid w:val="00EC7C4C"/>
    <w:rsid w:val="00EC7D15"/>
    <w:rsid w:val="00EC7E88"/>
    <w:rsid w:val="00ED009F"/>
    <w:rsid w:val="00ED0211"/>
    <w:rsid w:val="00ED02FF"/>
    <w:rsid w:val="00ED038D"/>
    <w:rsid w:val="00ED040D"/>
    <w:rsid w:val="00ED045E"/>
    <w:rsid w:val="00ED049D"/>
    <w:rsid w:val="00ED0535"/>
    <w:rsid w:val="00ED0615"/>
    <w:rsid w:val="00ED062A"/>
    <w:rsid w:val="00ED085F"/>
    <w:rsid w:val="00ED0AE9"/>
    <w:rsid w:val="00ED0DEA"/>
    <w:rsid w:val="00ED0E7F"/>
    <w:rsid w:val="00ED0EEB"/>
    <w:rsid w:val="00ED0FD7"/>
    <w:rsid w:val="00ED102F"/>
    <w:rsid w:val="00ED115F"/>
    <w:rsid w:val="00ED116D"/>
    <w:rsid w:val="00ED1199"/>
    <w:rsid w:val="00ED12DC"/>
    <w:rsid w:val="00ED13A5"/>
    <w:rsid w:val="00ED14AE"/>
    <w:rsid w:val="00ED14B1"/>
    <w:rsid w:val="00ED150E"/>
    <w:rsid w:val="00ED1541"/>
    <w:rsid w:val="00ED17D8"/>
    <w:rsid w:val="00ED1827"/>
    <w:rsid w:val="00ED183D"/>
    <w:rsid w:val="00ED1885"/>
    <w:rsid w:val="00ED193B"/>
    <w:rsid w:val="00ED1A51"/>
    <w:rsid w:val="00ED1ABB"/>
    <w:rsid w:val="00ED1BD4"/>
    <w:rsid w:val="00ED1CB5"/>
    <w:rsid w:val="00ED1CD7"/>
    <w:rsid w:val="00ED1D02"/>
    <w:rsid w:val="00ED1D22"/>
    <w:rsid w:val="00ED1DAF"/>
    <w:rsid w:val="00ED1DD3"/>
    <w:rsid w:val="00ED1E0B"/>
    <w:rsid w:val="00ED1E0F"/>
    <w:rsid w:val="00ED1E68"/>
    <w:rsid w:val="00ED1EA2"/>
    <w:rsid w:val="00ED1EF2"/>
    <w:rsid w:val="00ED1FB3"/>
    <w:rsid w:val="00ED20A6"/>
    <w:rsid w:val="00ED20FC"/>
    <w:rsid w:val="00ED214D"/>
    <w:rsid w:val="00ED246D"/>
    <w:rsid w:val="00ED2585"/>
    <w:rsid w:val="00ED2592"/>
    <w:rsid w:val="00ED2BE4"/>
    <w:rsid w:val="00ED2CD3"/>
    <w:rsid w:val="00ED2EEF"/>
    <w:rsid w:val="00ED2FA1"/>
    <w:rsid w:val="00ED2FCE"/>
    <w:rsid w:val="00ED3054"/>
    <w:rsid w:val="00ED31CA"/>
    <w:rsid w:val="00ED3217"/>
    <w:rsid w:val="00ED326E"/>
    <w:rsid w:val="00ED336F"/>
    <w:rsid w:val="00ED358A"/>
    <w:rsid w:val="00ED35E4"/>
    <w:rsid w:val="00ED361F"/>
    <w:rsid w:val="00ED367A"/>
    <w:rsid w:val="00ED36B9"/>
    <w:rsid w:val="00ED379B"/>
    <w:rsid w:val="00ED3AA8"/>
    <w:rsid w:val="00ED3FD1"/>
    <w:rsid w:val="00ED40B1"/>
    <w:rsid w:val="00ED40BF"/>
    <w:rsid w:val="00ED42AC"/>
    <w:rsid w:val="00ED42D4"/>
    <w:rsid w:val="00ED43FA"/>
    <w:rsid w:val="00ED4423"/>
    <w:rsid w:val="00ED450E"/>
    <w:rsid w:val="00ED465C"/>
    <w:rsid w:val="00ED468B"/>
    <w:rsid w:val="00ED4712"/>
    <w:rsid w:val="00ED485F"/>
    <w:rsid w:val="00ED48E4"/>
    <w:rsid w:val="00ED4BDB"/>
    <w:rsid w:val="00ED4BE9"/>
    <w:rsid w:val="00ED4D05"/>
    <w:rsid w:val="00ED4EB5"/>
    <w:rsid w:val="00ED513F"/>
    <w:rsid w:val="00ED51AA"/>
    <w:rsid w:val="00ED53F7"/>
    <w:rsid w:val="00ED5489"/>
    <w:rsid w:val="00ED55C9"/>
    <w:rsid w:val="00ED5703"/>
    <w:rsid w:val="00ED57B3"/>
    <w:rsid w:val="00ED5849"/>
    <w:rsid w:val="00ED5954"/>
    <w:rsid w:val="00ED59E2"/>
    <w:rsid w:val="00ED5CBA"/>
    <w:rsid w:val="00ED5E56"/>
    <w:rsid w:val="00ED5F0E"/>
    <w:rsid w:val="00ED602F"/>
    <w:rsid w:val="00ED606F"/>
    <w:rsid w:val="00ED6093"/>
    <w:rsid w:val="00ED60F4"/>
    <w:rsid w:val="00ED610B"/>
    <w:rsid w:val="00ED62F5"/>
    <w:rsid w:val="00ED632F"/>
    <w:rsid w:val="00ED6337"/>
    <w:rsid w:val="00ED6839"/>
    <w:rsid w:val="00ED691C"/>
    <w:rsid w:val="00ED6AB5"/>
    <w:rsid w:val="00ED6D02"/>
    <w:rsid w:val="00ED6F1A"/>
    <w:rsid w:val="00ED729F"/>
    <w:rsid w:val="00ED72D8"/>
    <w:rsid w:val="00ED731D"/>
    <w:rsid w:val="00ED737D"/>
    <w:rsid w:val="00ED7481"/>
    <w:rsid w:val="00ED74CA"/>
    <w:rsid w:val="00ED7564"/>
    <w:rsid w:val="00ED75BA"/>
    <w:rsid w:val="00ED75CB"/>
    <w:rsid w:val="00ED76A8"/>
    <w:rsid w:val="00ED7919"/>
    <w:rsid w:val="00ED7953"/>
    <w:rsid w:val="00ED79A6"/>
    <w:rsid w:val="00ED7A21"/>
    <w:rsid w:val="00ED7A57"/>
    <w:rsid w:val="00ED7D91"/>
    <w:rsid w:val="00ED7D9D"/>
    <w:rsid w:val="00ED7DD5"/>
    <w:rsid w:val="00ED7F7E"/>
    <w:rsid w:val="00EE004F"/>
    <w:rsid w:val="00EE0057"/>
    <w:rsid w:val="00EE01EE"/>
    <w:rsid w:val="00EE01FF"/>
    <w:rsid w:val="00EE03C8"/>
    <w:rsid w:val="00EE051D"/>
    <w:rsid w:val="00EE067B"/>
    <w:rsid w:val="00EE0793"/>
    <w:rsid w:val="00EE09B0"/>
    <w:rsid w:val="00EE0A18"/>
    <w:rsid w:val="00EE0D88"/>
    <w:rsid w:val="00EE0E8F"/>
    <w:rsid w:val="00EE110E"/>
    <w:rsid w:val="00EE1353"/>
    <w:rsid w:val="00EE1714"/>
    <w:rsid w:val="00EE1757"/>
    <w:rsid w:val="00EE19C5"/>
    <w:rsid w:val="00EE1AF1"/>
    <w:rsid w:val="00EE1B15"/>
    <w:rsid w:val="00EE1BC6"/>
    <w:rsid w:val="00EE1D61"/>
    <w:rsid w:val="00EE1D7B"/>
    <w:rsid w:val="00EE1E3D"/>
    <w:rsid w:val="00EE1EA1"/>
    <w:rsid w:val="00EE1ED1"/>
    <w:rsid w:val="00EE1F24"/>
    <w:rsid w:val="00EE1F4F"/>
    <w:rsid w:val="00EE2152"/>
    <w:rsid w:val="00EE23EA"/>
    <w:rsid w:val="00EE2597"/>
    <w:rsid w:val="00EE25DF"/>
    <w:rsid w:val="00EE27B5"/>
    <w:rsid w:val="00EE27CC"/>
    <w:rsid w:val="00EE298A"/>
    <w:rsid w:val="00EE2B0C"/>
    <w:rsid w:val="00EE2BFC"/>
    <w:rsid w:val="00EE2D61"/>
    <w:rsid w:val="00EE2E3C"/>
    <w:rsid w:val="00EE3032"/>
    <w:rsid w:val="00EE30F3"/>
    <w:rsid w:val="00EE314B"/>
    <w:rsid w:val="00EE31AA"/>
    <w:rsid w:val="00EE31D0"/>
    <w:rsid w:val="00EE32FA"/>
    <w:rsid w:val="00EE3330"/>
    <w:rsid w:val="00EE343E"/>
    <w:rsid w:val="00EE364A"/>
    <w:rsid w:val="00EE3725"/>
    <w:rsid w:val="00EE3882"/>
    <w:rsid w:val="00EE3B2C"/>
    <w:rsid w:val="00EE3B64"/>
    <w:rsid w:val="00EE3D3F"/>
    <w:rsid w:val="00EE3DE2"/>
    <w:rsid w:val="00EE3E65"/>
    <w:rsid w:val="00EE40DB"/>
    <w:rsid w:val="00EE413B"/>
    <w:rsid w:val="00EE41A1"/>
    <w:rsid w:val="00EE422F"/>
    <w:rsid w:val="00EE426D"/>
    <w:rsid w:val="00EE4319"/>
    <w:rsid w:val="00EE4491"/>
    <w:rsid w:val="00EE475A"/>
    <w:rsid w:val="00EE4776"/>
    <w:rsid w:val="00EE4A6C"/>
    <w:rsid w:val="00EE4C53"/>
    <w:rsid w:val="00EE4C79"/>
    <w:rsid w:val="00EE4CD0"/>
    <w:rsid w:val="00EE4D39"/>
    <w:rsid w:val="00EE4E25"/>
    <w:rsid w:val="00EE4F26"/>
    <w:rsid w:val="00EE5008"/>
    <w:rsid w:val="00EE5126"/>
    <w:rsid w:val="00EE517D"/>
    <w:rsid w:val="00EE55A8"/>
    <w:rsid w:val="00EE5793"/>
    <w:rsid w:val="00EE595E"/>
    <w:rsid w:val="00EE59DC"/>
    <w:rsid w:val="00EE5BF4"/>
    <w:rsid w:val="00EE5C33"/>
    <w:rsid w:val="00EE5C86"/>
    <w:rsid w:val="00EE5D97"/>
    <w:rsid w:val="00EE5F47"/>
    <w:rsid w:val="00EE5FD8"/>
    <w:rsid w:val="00EE5FFF"/>
    <w:rsid w:val="00EE61F3"/>
    <w:rsid w:val="00EE64C1"/>
    <w:rsid w:val="00EE654A"/>
    <w:rsid w:val="00EE6558"/>
    <w:rsid w:val="00EE6804"/>
    <w:rsid w:val="00EE6A80"/>
    <w:rsid w:val="00EE6C3F"/>
    <w:rsid w:val="00EE6E40"/>
    <w:rsid w:val="00EE7039"/>
    <w:rsid w:val="00EE7135"/>
    <w:rsid w:val="00EE729D"/>
    <w:rsid w:val="00EE730D"/>
    <w:rsid w:val="00EE745F"/>
    <w:rsid w:val="00EE7609"/>
    <w:rsid w:val="00EE764F"/>
    <w:rsid w:val="00EE7783"/>
    <w:rsid w:val="00EE7814"/>
    <w:rsid w:val="00EE7846"/>
    <w:rsid w:val="00EE7925"/>
    <w:rsid w:val="00EE7BF4"/>
    <w:rsid w:val="00EE7C5D"/>
    <w:rsid w:val="00EE7DB8"/>
    <w:rsid w:val="00EE7E29"/>
    <w:rsid w:val="00EE7F19"/>
    <w:rsid w:val="00EE7FCA"/>
    <w:rsid w:val="00EE8822"/>
    <w:rsid w:val="00EF06D1"/>
    <w:rsid w:val="00EF06F8"/>
    <w:rsid w:val="00EF06FE"/>
    <w:rsid w:val="00EF071A"/>
    <w:rsid w:val="00EF07C9"/>
    <w:rsid w:val="00EF07E0"/>
    <w:rsid w:val="00EF0885"/>
    <w:rsid w:val="00EF0962"/>
    <w:rsid w:val="00EF09B4"/>
    <w:rsid w:val="00EF09CE"/>
    <w:rsid w:val="00EF0A12"/>
    <w:rsid w:val="00EF0A7C"/>
    <w:rsid w:val="00EF0D57"/>
    <w:rsid w:val="00EF0E87"/>
    <w:rsid w:val="00EF0F60"/>
    <w:rsid w:val="00EF1280"/>
    <w:rsid w:val="00EF1452"/>
    <w:rsid w:val="00EF1523"/>
    <w:rsid w:val="00EF15C3"/>
    <w:rsid w:val="00EF1681"/>
    <w:rsid w:val="00EF16AF"/>
    <w:rsid w:val="00EF173C"/>
    <w:rsid w:val="00EF1743"/>
    <w:rsid w:val="00EF1761"/>
    <w:rsid w:val="00EF179F"/>
    <w:rsid w:val="00EF19D3"/>
    <w:rsid w:val="00EF1ACC"/>
    <w:rsid w:val="00EF1B2A"/>
    <w:rsid w:val="00EF1BB1"/>
    <w:rsid w:val="00EF1C5F"/>
    <w:rsid w:val="00EF1DD1"/>
    <w:rsid w:val="00EF1E14"/>
    <w:rsid w:val="00EF1FCA"/>
    <w:rsid w:val="00EF219E"/>
    <w:rsid w:val="00EF2202"/>
    <w:rsid w:val="00EF23AC"/>
    <w:rsid w:val="00EF23FB"/>
    <w:rsid w:val="00EF25F3"/>
    <w:rsid w:val="00EF262C"/>
    <w:rsid w:val="00EF26C2"/>
    <w:rsid w:val="00EF2874"/>
    <w:rsid w:val="00EF28AA"/>
    <w:rsid w:val="00EF28BF"/>
    <w:rsid w:val="00EF293A"/>
    <w:rsid w:val="00EF2974"/>
    <w:rsid w:val="00EF2B1A"/>
    <w:rsid w:val="00EF2BA5"/>
    <w:rsid w:val="00EF2D5A"/>
    <w:rsid w:val="00EF2EC9"/>
    <w:rsid w:val="00EF2F7C"/>
    <w:rsid w:val="00EF2FFA"/>
    <w:rsid w:val="00EF3023"/>
    <w:rsid w:val="00EF3144"/>
    <w:rsid w:val="00EF316A"/>
    <w:rsid w:val="00EF3185"/>
    <w:rsid w:val="00EF31AD"/>
    <w:rsid w:val="00EF32D8"/>
    <w:rsid w:val="00EF32E4"/>
    <w:rsid w:val="00EF3319"/>
    <w:rsid w:val="00EF34D0"/>
    <w:rsid w:val="00EF3550"/>
    <w:rsid w:val="00EF356B"/>
    <w:rsid w:val="00EF3589"/>
    <w:rsid w:val="00EF3759"/>
    <w:rsid w:val="00EF38D1"/>
    <w:rsid w:val="00EF38FD"/>
    <w:rsid w:val="00EF3C87"/>
    <w:rsid w:val="00EF3D16"/>
    <w:rsid w:val="00EF3F42"/>
    <w:rsid w:val="00EF3FDD"/>
    <w:rsid w:val="00EF401E"/>
    <w:rsid w:val="00EF40D4"/>
    <w:rsid w:val="00EF42E5"/>
    <w:rsid w:val="00EF4453"/>
    <w:rsid w:val="00EF44F1"/>
    <w:rsid w:val="00EF4826"/>
    <w:rsid w:val="00EF48DE"/>
    <w:rsid w:val="00EF4AD3"/>
    <w:rsid w:val="00EF4B72"/>
    <w:rsid w:val="00EF4BE7"/>
    <w:rsid w:val="00EF4CC0"/>
    <w:rsid w:val="00EF4E7E"/>
    <w:rsid w:val="00EF4EB0"/>
    <w:rsid w:val="00EF4EBC"/>
    <w:rsid w:val="00EF50AB"/>
    <w:rsid w:val="00EF51A2"/>
    <w:rsid w:val="00EF51C5"/>
    <w:rsid w:val="00EF52DD"/>
    <w:rsid w:val="00EF53D1"/>
    <w:rsid w:val="00EF5407"/>
    <w:rsid w:val="00EF5427"/>
    <w:rsid w:val="00EF5435"/>
    <w:rsid w:val="00EF55EB"/>
    <w:rsid w:val="00EF563B"/>
    <w:rsid w:val="00EF5A68"/>
    <w:rsid w:val="00EF5AA5"/>
    <w:rsid w:val="00EF5ACF"/>
    <w:rsid w:val="00EF5AEA"/>
    <w:rsid w:val="00EF5C24"/>
    <w:rsid w:val="00EF5F4D"/>
    <w:rsid w:val="00EF6089"/>
    <w:rsid w:val="00EF60C5"/>
    <w:rsid w:val="00EF6195"/>
    <w:rsid w:val="00EF61A1"/>
    <w:rsid w:val="00EF6200"/>
    <w:rsid w:val="00EF63E4"/>
    <w:rsid w:val="00EF6425"/>
    <w:rsid w:val="00EF6437"/>
    <w:rsid w:val="00EF6479"/>
    <w:rsid w:val="00EF6672"/>
    <w:rsid w:val="00EF6750"/>
    <w:rsid w:val="00EF6772"/>
    <w:rsid w:val="00EF6955"/>
    <w:rsid w:val="00EF6A1B"/>
    <w:rsid w:val="00EF6C83"/>
    <w:rsid w:val="00EF6D72"/>
    <w:rsid w:val="00EF6E7C"/>
    <w:rsid w:val="00EF6F1E"/>
    <w:rsid w:val="00EF7027"/>
    <w:rsid w:val="00EF708E"/>
    <w:rsid w:val="00EF736F"/>
    <w:rsid w:val="00EF7429"/>
    <w:rsid w:val="00EF7515"/>
    <w:rsid w:val="00EF7566"/>
    <w:rsid w:val="00EF75AD"/>
    <w:rsid w:val="00EF7639"/>
    <w:rsid w:val="00EF7724"/>
    <w:rsid w:val="00EF776A"/>
    <w:rsid w:val="00EF77E9"/>
    <w:rsid w:val="00EF7C92"/>
    <w:rsid w:val="00EF7D06"/>
    <w:rsid w:val="00EF7F36"/>
    <w:rsid w:val="00F002EB"/>
    <w:rsid w:val="00F0037A"/>
    <w:rsid w:val="00F00608"/>
    <w:rsid w:val="00F00A85"/>
    <w:rsid w:val="00F00C14"/>
    <w:rsid w:val="00F00CD8"/>
    <w:rsid w:val="00F00F40"/>
    <w:rsid w:val="00F00F6C"/>
    <w:rsid w:val="00F00FF3"/>
    <w:rsid w:val="00F00FFD"/>
    <w:rsid w:val="00F0115E"/>
    <w:rsid w:val="00F0122A"/>
    <w:rsid w:val="00F0144A"/>
    <w:rsid w:val="00F0157F"/>
    <w:rsid w:val="00F017A8"/>
    <w:rsid w:val="00F0199C"/>
    <w:rsid w:val="00F01ACC"/>
    <w:rsid w:val="00F01DF4"/>
    <w:rsid w:val="00F01F65"/>
    <w:rsid w:val="00F01FDE"/>
    <w:rsid w:val="00F02023"/>
    <w:rsid w:val="00F02074"/>
    <w:rsid w:val="00F020EB"/>
    <w:rsid w:val="00F02151"/>
    <w:rsid w:val="00F021B1"/>
    <w:rsid w:val="00F0221B"/>
    <w:rsid w:val="00F0228B"/>
    <w:rsid w:val="00F023D7"/>
    <w:rsid w:val="00F02474"/>
    <w:rsid w:val="00F0262A"/>
    <w:rsid w:val="00F02649"/>
    <w:rsid w:val="00F027DD"/>
    <w:rsid w:val="00F02967"/>
    <w:rsid w:val="00F029B1"/>
    <w:rsid w:val="00F029DD"/>
    <w:rsid w:val="00F02B52"/>
    <w:rsid w:val="00F02C3F"/>
    <w:rsid w:val="00F02C9A"/>
    <w:rsid w:val="00F02D04"/>
    <w:rsid w:val="00F02D21"/>
    <w:rsid w:val="00F02D90"/>
    <w:rsid w:val="00F02DF6"/>
    <w:rsid w:val="00F02E7C"/>
    <w:rsid w:val="00F02FA5"/>
    <w:rsid w:val="00F032DF"/>
    <w:rsid w:val="00F0376F"/>
    <w:rsid w:val="00F037F6"/>
    <w:rsid w:val="00F039B9"/>
    <w:rsid w:val="00F03E67"/>
    <w:rsid w:val="00F03ED6"/>
    <w:rsid w:val="00F03F69"/>
    <w:rsid w:val="00F04151"/>
    <w:rsid w:val="00F0424C"/>
    <w:rsid w:val="00F0425E"/>
    <w:rsid w:val="00F0434A"/>
    <w:rsid w:val="00F04439"/>
    <w:rsid w:val="00F04465"/>
    <w:rsid w:val="00F0453D"/>
    <w:rsid w:val="00F04540"/>
    <w:rsid w:val="00F04550"/>
    <w:rsid w:val="00F0467E"/>
    <w:rsid w:val="00F0476B"/>
    <w:rsid w:val="00F0480C"/>
    <w:rsid w:val="00F048C3"/>
    <w:rsid w:val="00F0491D"/>
    <w:rsid w:val="00F04A00"/>
    <w:rsid w:val="00F04AF7"/>
    <w:rsid w:val="00F04DDD"/>
    <w:rsid w:val="00F04E0D"/>
    <w:rsid w:val="00F04E34"/>
    <w:rsid w:val="00F04E80"/>
    <w:rsid w:val="00F04EA8"/>
    <w:rsid w:val="00F04F9C"/>
    <w:rsid w:val="00F04FBF"/>
    <w:rsid w:val="00F05016"/>
    <w:rsid w:val="00F0501D"/>
    <w:rsid w:val="00F053D9"/>
    <w:rsid w:val="00F05485"/>
    <w:rsid w:val="00F05593"/>
    <w:rsid w:val="00F056EB"/>
    <w:rsid w:val="00F0584D"/>
    <w:rsid w:val="00F0584F"/>
    <w:rsid w:val="00F05A15"/>
    <w:rsid w:val="00F05C3E"/>
    <w:rsid w:val="00F05DEC"/>
    <w:rsid w:val="00F05E7E"/>
    <w:rsid w:val="00F05FED"/>
    <w:rsid w:val="00F060E3"/>
    <w:rsid w:val="00F0620E"/>
    <w:rsid w:val="00F063CD"/>
    <w:rsid w:val="00F063E8"/>
    <w:rsid w:val="00F06438"/>
    <w:rsid w:val="00F0668A"/>
    <w:rsid w:val="00F067DD"/>
    <w:rsid w:val="00F069DC"/>
    <w:rsid w:val="00F06BF0"/>
    <w:rsid w:val="00F06C66"/>
    <w:rsid w:val="00F06E88"/>
    <w:rsid w:val="00F0701C"/>
    <w:rsid w:val="00F070AA"/>
    <w:rsid w:val="00F0712F"/>
    <w:rsid w:val="00F07141"/>
    <w:rsid w:val="00F07356"/>
    <w:rsid w:val="00F0735E"/>
    <w:rsid w:val="00F07565"/>
    <w:rsid w:val="00F075BD"/>
    <w:rsid w:val="00F07953"/>
    <w:rsid w:val="00F079CB"/>
    <w:rsid w:val="00F07A4D"/>
    <w:rsid w:val="00F07D39"/>
    <w:rsid w:val="00F07D43"/>
    <w:rsid w:val="00F07F0B"/>
    <w:rsid w:val="00F07FD6"/>
    <w:rsid w:val="00F07FDB"/>
    <w:rsid w:val="00F102B1"/>
    <w:rsid w:val="00F103EF"/>
    <w:rsid w:val="00F106C9"/>
    <w:rsid w:val="00F10914"/>
    <w:rsid w:val="00F10A4E"/>
    <w:rsid w:val="00F10AAD"/>
    <w:rsid w:val="00F10C74"/>
    <w:rsid w:val="00F10F30"/>
    <w:rsid w:val="00F10F3D"/>
    <w:rsid w:val="00F110A2"/>
    <w:rsid w:val="00F1124A"/>
    <w:rsid w:val="00F11277"/>
    <w:rsid w:val="00F115F1"/>
    <w:rsid w:val="00F11748"/>
    <w:rsid w:val="00F117AB"/>
    <w:rsid w:val="00F11837"/>
    <w:rsid w:val="00F11912"/>
    <w:rsid w:val="00F11B9D"/>
    <w:rsid w:val="00F11CFD"/>
    <w:rsid w:val="00F11DCB"/>
    <w:rsid w:val="00F11F5E"/>
    <w:rsid w:val="00F12191"/>
    <w:rsid w:val="00F123C4"/>
    <w:rsid w:val="00F12405"/>
    <w:rsid w:val="00F12418"/>
    <w:rsid w:val="00F12478"/>
    <w:rsid w:val="00F12523"/>
    <w:rsid w:val="00F12532"/>
    <w:rsid w:val="00F126C2"/>
    <w:rsid w:val="00F12A3D"/>
    <w:rsid w:val="00F12BD9"/>
    <w:rsid w:val="00F12BE8"/>
    <w:rsid w:val="00F12D1C"/>
    <w:rsid w:val="00F12EF6"/>
    <w:rsid w:val="00F1304F"/>
    <w:rsid w:val="00F130D3"/>
    <w:rsid w:val="00F13456"/>
    <w:rsid w:val="00F13470"/>
    <w:rsid w:val="00F137C6"/>
    <w:rsid w:val="00F13852"/>
    <w:rsid w:val="00F1392D"/>
    <w:rsid w:val="00F139F4"/>
    <w:rsid w:val="00F13B4B"/>
    <w:rsid w:val="00F13B74"/>
    <w:rsid w:val="00F13C25"/>
    <w:rsid w:val="00F13D07"/>
    <w:rsid w:val="00F13D31"/>
    <w:rsid w:val="00F13D5D"/>
    <w:rsid w:val="00F13E7F"/>
    <w:rsid w:val="00F13F44"/>
    <w:rsid w:val="00F13F94"/>
    <w:rsid w:val="00F14001"/>
    <w:rsid w:val="00F14154"/>
    <w:rsid w:val="00F141F9"/>
    <w:rsid w:val="00F14318"/>
    <w:rsid w:val="00F1438B"/>
    <w:rsid w:val="00F143BA"/>
    <w:rsid w:val="00F14743"/>
    <w:rsid w:val="00F14819"/>
    <w:rsid w:val="00F148BF"/>
    <w:rsid w:val="00F148E4"/>
    <w:rsid w:val="00F1495D"/>
    <w:rsid w:val="00F14993"/>
    <w:rsid w:val="00F149A5"/>
    <w:rsid w:val="00F14B78"/>
    <w:rsid w:val="00F14B7F"/>
    <w:rsid w:val="00F14CDE"/>
    <w:rsid w:val="00F14D44"/>
    <w:rsid w:val="00F14E82"/>
    <w:rsid w:val="00F14F92"/>
    <w:rsid w:val="00F14FC1"/>
    <w:rsid w:val="00F1504F"/>
    <w:rsid w:val="00F15058"/>
    <w:rsid w:val="00F15086"/>
    <w:rsid w:val="00F151E7"/>
    <w:rsid w:val="00F15239"/>
    <w:rsid w:val="00F152DE"/>
    <w:rsid w:val="00F15311"/>
    <w:rsid w:val="00F15499"/>
    <w:rsid w:val="00F15512"/>
    <w:rsid w:val="00F155B8"/>
    <w:rsid w:val="00F15658"/>
    <w:rsid w:val="00F1569C"/>
    <w:rsid w:val="00F1587B"/>
    <w:rsid w:val="00F158E4"/>
    <w:rsid w:val="00F15CA2"/>
    <w:rsid w:val="00F15DE7"/>
    <w:rsid w:val="00F15F43"/>
    <w:rsid w:val="00F1616D"/>
    <w:rsid w:val="00F1626F"/>
    <w:rsid w:val="00F164F1"/>
    <w:rsid w:val="00F16759"/>
    <w:rsid w:val="00F16980"/>
    <w:rsid w:val="00F16A20"/>
    <w:rsid w:val="00F16A6E"/>
    <w:rsid w:val="00F16BB8"/>
    <w:rsid w:val="00F16C2B"/>
    <w:rsid w:val="00F16CEE"/>
    <w:rsid w:val="00F16DBA"/>
    <w:rsid w:val="00F16DC5"/>
    <w:rsid w:val="00F16DFD"/>
    <w:rsid w:val="00F16FAE"/>
    <w:rsid w:val="00F16FEC"/>
    <w:rsid w:val="00F174E6"/>
    <w:rsid w:val="00F1754A"/>
    <w:rsid w:val="00F175F3"/>
    <w:rsid w:val="00F176AC"/>
    <w:rsid w:val="00F17889"/>
    <w:rsid w:val="00F178F0"/>
    <w:rsid w:val="00F17A1F"/>
    <w:rsid w:val="00F17ACF"/>
    <w:rsid w:val="00F17C7E"/>
    <w:rsid w:val="00F17CF1"/>
    <w:rsid w:val="00F17D31"/>
    <w:rsid w:val="00F17E05"/>
    <w:rsid w:val="00F17F16"/>
    <w:rsid w:val="00F20150"/>
    <w:rsid w:val="00F20395"/>
    <w:rsid w:val="00F2052D"/>
    <w:rsid w:val="00F20567"/>
    <w:rsid w:val="00F205D2"/>
    <w:rsid w:val="00F20760"/>
    <w:rsid w:val="00F2098A"/>
    <w:rsid w:val="00F20A16"/>
    <w:rsid w:val="00F20DB2"/>
    <w:rsid w:val="00F20E2E"/>
    <w:rsid w:val="00F20FF3"/>
    <w:rsid w:val="00F21144"/>
    <w:rsid w:val="00F211A2"/>
    <w:rsid w:val="00F212DA"/>
    <w:rsid w:val="00F212DC"/>
    <w:rsid w:val="00F21356"/>
    <w:rsid w:val="00F215B2"/>
    <w:rsid w:val="00F215BB"/>
    <w:rsid w:val="00F215DE"/>
    <w:rsid w:val="00F21796"/>
    <w:rsid w:val="00F21A31"/>
    <w:rsid w:val="00F21B8C"/>
    <w:rsid w:val="00F21BD0"/>
    <w:rsid w:val="00F21C4B"/>
    <w:rsid w:val="00F21D8A"/>
    <w:rsid w:val="00F21DCE"/>
    <w:rsid w:val="00F21EDA"/>
    <w:rsid w:val="00F21F3F"/>
    <w:rsid w:val="00F222ED"/>
    <w:rsid w:val="00F2265D"/>
    <w:rsid w:val="00F22754"/>
    <w:rsid w:val="00F22B55"/>
    <w:rsid w:val="00F22DBE"/>
    <w:rsid w:val="00F2324F"/>
    <w:rsid w:val="00F232E9"/>
    <w:rsid w:val="00F2335E"/>
    <w:rsid w:val="00F234E5"/>
    <w:rsid w:val="00F2361C"/>
    <w:rsid w:val="00F23635"/>
    <w:rsid w:val="00F23636"/>
    <w:rsid w:val="00F236EC"/>
    <w:rsid w:val="00F237CC"/>
    <w:rsid w:val="00F23A12"/>
    <w:rsid w:val="00F23A40"/>
    <w:rsid w:val="00F23AC4"/>
    <w:rsid w:val="00F23AF4"/>
    <w:rsid w:val="00F23DDB"/>
    <w:rsid w:val="00F23E8E"/>
    <w:rsid w:val="00F23F71"/>
    <w:rsid w:val="00F23F77"/>
    <w:rsid w:val="00F2424F"/>
    <w:rsid w:val="00F24449"/>
    <w:rsid w:val="00F245E8"/>
    <w:rsid w:val="00F24644"/>
    <w:rsid w:val="00F246C2"/>
    <w:rsid w:val="00F24800"/>
    <w:rsid w:val="00F24885"/>
    <w:rsid w:val="00F248AA"/>
    <w:rsid w:val="00F2492F"/>
    <w:rsid w:val="00F249DB"/>
    <w:rsid w:val="00F24ACD"/>
    <w:rsid w:val="00F24BC0"/>
    <w:rsid w:val="00F24D93"/>
    <w:rsid w:val="00F250B4"/>
    <w:rsid w:val="00F25111"/>
    <w:rsid w:val="00F25212"/>
    <w:rsid w:val="00F252A8"/>
    <w:rsid w:val="00F25309"/>
    <w:rsid w:val="00F25371"/>
    <w:rsid w:val="00F254D1"/>
    <w:rsid w:val="00F255B2"/>
    <w:rsid w:val="00F25637"/>
    <w:rsid w:val="00F25940"/>
    <w:rsid w:val="00F25A5A"/>
    <w:rsid w:val="00F25AAD"/>
    <w:rsid w:val="00F25BA1"/>
    <w:rsid w:val="00F25BC6"/>
    <w:rsid w:val="00F25CDF"/>
    <w:rsid w:val="00F25D31"/>
    <w:rsid w:val="00F25D59"/>
    <w:rsid w:val="00F25DAF"/>
    <w:rsid w:val="00F25E01"/>
    <w:rsid w:val="00F25F40"/>
    <w:rsid w:val="00F25FF0"/>
    <w:rsid w:val="00F25FFC"/>
    <w:rsid w:val="00F261BC"/>
    <w:rsid w:val="00F262AA"/>
    <w:rsid w:val="00F262B9"/>
    <w:rsid w:val="00F262D1"/>
    <w:rsid w:val="00F26369"/>
    <w:rsid w:val="00F26454"/>
    <w:rsid w:val="00F26556"/>
    <w:rsid w:val="00F26886"/>
    <w:rsid w:val="00F2698C"/>
    <w:rsid w:val="00F26A31"/>
    <w:rsid w:val="00F26B2A"/>
    <w:rsid w:val="00F26D69"/>
    <w:rsid w:val="00F26DA0"/>
    <w:rsid w:val="00F26E16"/>
    <w:rsid w:val="00F26E48"/>
    <w:rsid w:val="00F27136"/>
    <w:rsid w:val="00F27203"/>
    <w:rsid w:val="00F27254"/>
    <w:rsid w:val="00F27317"/>
    <w:rsid w:val="00F2747B"/>
    <w:rsid w:val="00F274C5"/>
    <w:rsid w:val="00F2762F"/>
    <w:rsid w:val="00F27730"/>
    <w:rsid w:val="00F2781D"/>
    <w:rsid w:val="00F279CC"/>
    <w:rsid w:val="00F27A22"/>
    <w:rsid w:val="00F27AED"/>
    <w:rsid w:val="00F27AFE"/>
    <w:rsid w:val="00F27B27"/>
    <w:rsid w:val="00F27C37"/>
    <w:rsid w:val="00F27CF6"/>
    <w:rsid w:val="00F27CFA"/>
    <w:rsid w:val="00F27CFD"/>
    <w:rsid w:val="00F27F15"/>
    <w:rsid w:val="00F30020"/>
    <w:rsid w:val="00F301B8"/>
    <w:rsid w:val="00F3022C"/>
    <w:rsid w:val="00F302C2"/>
    <w:rsid w:val="00F3045D"/>
    <w:rsid w:val="00F30511"/>
    <w:rsid w:val="00F30938"/>
    <w:rsid w:val="00F309AE"/>
    <w:rsid w:val="00F30A13"/>
    <w:rsid w:val="00F30A64"/>
    <w:rsid w:val="00F30B46"/>
    <w:rsid w:val="00F30BCF"/>
    <w:rsid w:val="00F30DD4"/>
    <w:rsid w:val="00F31049"/>
    <w:rsid w:val="00F31145"/>
    <w:rsid w:val="00F31150"/>
    <w:rsid w:val="00F31266"/>
    <w:rsid w:val="00F312FA"/>
    <w:rsid w:val="00F31377"/>
    <w:rsid w:val="00F31533"/>
    <w:rsid w:val="00F3159F"/>
    <w:rsid w:val="00F315D0"/>
    <w:rsid w:val="00F31620"/>
    <w:rsid w:val="00F3170D"/>
    <w:rsid w:val="00F317F9"/>
    <w:rsid w:val="00F31802"/>
    <w:rsid w:val="00F31A0D"/>
    <w:rsid w:val="00F31A2F"/>
    <w:rsid w:val="00F31BE1"/>
    <w:rsid w:val="00F31C8F"/>
    <w:rsid w:val="00F31DED"/>
    <w:rsid w:val="00F31E31"/>
    <w:rsid w:val="00F31E50"/>
    <w:rsid w:val="00F31EA5"/>
    <w:rsid w:val="00F31EB3"/>
    <w:rsid w:val="00F31F8C"/>
    <w:rsid w:val="00F31FF9"/>
    <w:rsid w:val="00F3201D"/>
    <w:rsid w:val="00F320AC"/>
    <w:rsid w:val="00F321BE"/>
    <w:rsid w:val="00F324D7"/>
    <w:rsid w:val="00F325C6"/>
    <w:rsid w:val="00F3261D"/>
    <w:rsid w:val="00F32661"/>
    <w:rsid w:val="00F326C4"/>
    <w:rsid w:val="00F32726"/>
    <w:rsid w:val="00F3275C"/>
    <w:rsid w:val="00F32838"/>
    <w:rsid w:val="00F32855"/>
    <w:rsid w:val="00F32909"/>
    <w:rsid w:val="00F32928"/>
    <w:rsid w:val="00F32A55"/>
    <w:rsid w:val="00F32B05"/>
    <w:rsid w:val="00F32BAD"/>
    <w:rsid w:val="00F32BBE"/>
    <w:rsid w:val="00F32E7F"/>
    <w:rsid w:val="00F32F48"/>
    <w:rsid w:val="00F3317E"/>
    <w:rsid w:val="00F33232"/>
    <w:rsid w:val="00F332C9"/>
    <w:rsid w:val="00F33375"/>
    <w:rsid w:val="00F333A1"/>
    <w:rsid w:val="00F333A7"/>
    <w:rsid w:val="00F336A4"/>
    <w:rsid w:val="00F336E2"/>
    <w:rsid w:val="00F33886"/>
    <w:rsid w:val="00F338E4"/>
    <w:rsid w:val="00F33A74"/>
    <w:rsid w:val="00F33B28"/>
    <w:rsid w:val="00F33C1C"/>
    <w:rsid w:val="00F33D90"/>
    <w:rsid w:val="00F33DC9"/>
    <w:rsid w:val="00F33E35"/>
    <w:rsid w:val="00F33E8F"/>
    <w:rsid w:val="00F3402F"/>
    <w:rsid w:val="00F3407D"/>
    <w:rsid w:val="00F34222"/>
    <w:rsid w:val="00F3426A"/>
    <w:rsid w:val="00F34470"/>
    <w:rsid w:val="00F3452E"/>
    <w:rsid w:val="00F3458A"/>
    <w:rsid w:val="00F34631"/>
    <w:rsid w:val="00F34767"/>
    <w:rsid w:val="00F34B58"/>
    <w:rsid w:val="00F34D06"/>
    <w:rsid w:val="00F34D43"/>
    <w:rsid w:val="00F34F99"/>
    <w:rsid w:val="00F34FB2"/>
    <w:rsid w:val="00F35152"/>
    <w:rsid w:val="00F3535D"/>
    <w:rsid w:val="00F35537"/>
    <w:rsid w:val="00F35880"/>
    <w:rsid w:val="00F358A2"/>
    <w:rsid w:val="00F359A5"/>
    <w:rsid w:val="00F359F6"/>
    <w:rsid w:val="00F35BA8"/>
    <w:rsid w:val="00F35C13"/>
    <w:rsid w:val="00F35E15"/>
    <w:rsid w:val="00F35F02"/>
    <w:rsid w:val="00F360C7"/>
    <w:rsid w:val="00F362CF"/>
    <w:rsid w:val="00F362F5"/>
    <w:rsid w:val="00F36391"/>
    <w:rsid w:val="00F363B0"/>
    <w:rsid w:val="00F36410"/>
    <w:rsid w:val="00F364AF"/>
    <w:rsid w:val="00F3668C"/>
    <w:rsid w:val="00F367AB"/>
    <w:rsid w:val="00F36A3C"/>
    <w:rsid w:val="00F36B2B"/>
    <w:rsid w:val="00F36B6A"/>
    <w:rsid w:val="00F36B92"/>
    <w:rsid w:val="00F36C42"/>
    <w:rsid w:val="00F36C4E"/>
    <w:rsid w:val="00F36CA2"/>
    <w:rsid w:val="00F36D86"/>
    <w:rsid w:val="00F36DC3"/>
    <w:rsid w:val="00F36F86"/>
    <w:rsid w:val="00F36FB6"/>
    <w:rsid w:val="00F37045"/>
    <w:rsid w:val="00F37170"/>
    <w:rsid w:val="00F371C5"/>
    <w:rsid w:val="00F37250"/>
    <w:rsid w:val="00F37253"/>
    <w:rsid w:val="00F3725B"/>
    <w:rsid w:val="00F372F7"/>
    <w:rsid w:val="00F374E7"/>
    <w:rsid w:val="00F374E9"/>
    <w:rsid w:val="00F37781"/>
    <w:rsid w:val="00F3781A"/>
    <w:rsid w:val="00F37B2E"/>
    <w:rsid w:val="00F37B57"/>
    <w:rsid w:val="00F37B93"/>
    <w:rsid w:val="00F37BC5"/>
    <w:rsid w:val="00F37E0A"/>
    <w:rsid w:val="00F37E5B"/>
    <w:rsid w:val="00F37EDD"/>
    <w:rsid w:val="00F37F6D"/>
    <w:rsid w:val="00F4006A"/>
    <w:rsid w:val="00F4016D"/>
    <w:rsid w:val="00F401AD"/>
    <w:rsid w:val="00F40350"/>
    <w:rsid w:val="00F4042E"/>
    <w:rsid w:val="00F404D1"/>
    <w:rsid w:val="00F406D8"/>
    <w:rsid w:val="00F40757"/>
    <w:rsid w:val="00F408DC"/>
    <w:rsid w:val="00F408EA"/>
    <w:rsid w:val="00F40B77"/>
    <w:rsid w:val="00F40C05"/>
    <w:rsid w:val="00F40CF2"/>
    <w:rsid w:val="00F40D8A"/>
    <w:rsid w:val="00F40DE5"/>
    <w:rsid w:val="00F40EDB"/>
    <w:rsid w:val="00F4111B"/>
    <w:rsid w:val="00F411E4"/>
    <w:rsid w:val="00F412A4"/>
    <w:rsid w:val="00F412D5"/>
    <w:rsid w:val="00F413D4"/>
    <w:rsid w:val="00F415A5"/>
    <w:rsid w:val="00F41856"/>
    <w:rsid w:val="00F41863"/>
    <w:rsid w:val="00F41918"/>
    <w:rsid w:val="00F41B05"/>
    <w:rsid w:val="00F41BD1"/>
    <w:rsid w:val="00F41C86"/>
    <w:rsid w:val="00F41F41"/>
    <w:rsid w:val="00F41FA7"/>
    <w:rsid w:val="00F4201C"/>
    <w:rsid w:val="00F4224D"/>
    <w:rsid w:val="00F42439"/>
    <w:rsid w:val="00F4256C"/>
    <w:rsid w:val="00F426C2"/>
    <w:rsid w:val="00F42701"/>
    <w:rsid w:val="00F42759"/>
    <w:rsid w:val="00F427F5"/>
    <w:rsid w:val="00F4282F"/>
    <w:rsid w:val="00F42862"/>
    <w:rsid w:val="00F429CD"/>
    <w:rsid w:val="00F42C3F"/>
    <w:rsid w:val="00F42C84"/>
    <w:rsid w:val="00F42CB1"/>
    <w:rsid w:val="00F42E24"/>
    <w:rsid w:val="00F42E6F"/>
    <w:rsid w:val="00F42EBD"/>
    <w:rsid w:val="00F42F27"/>
    <w:rsid w:val="00F42F65"/>
    <w:rsid w:val="00F432C9"/>
    <w:rsid w:val="00F432CD"/>
    <w:rsid w:val="00F43490"/>
    <w:rsid w:val="00F4349B"/>
    <w:rsid w:val="00F434DA"/>
    <w:rsid w:val="00F435D3"/>
    <w:rsid w:val="00F43688"/>
    <w:rsid w:val="00F436DC"/>
    <w:rsid w:val="00F43774"/>
    <w:rsid w:val="00F437A8"/>
    <w:rsid w:val="00F437B2"/>
    <w:rsid w:val="00F437FE"/>
    <w:rsid w:val="00F439AB"/>
    <w:rsid w:val="00F439B7"/>
    <w:rsid w:val="00F43ACC"/>
    <w:rsid w:val="00F43B92"/>
    <w:rsid w:val="00F43B9B"/>
    <w:rsid w:val="00F43C80"/>
    <w:rsid w:val="00F43CB6"/>
    <w:rsid w:val="00F43E4C"/>
    <w:rsid w:val="00F43FA5"/>
    <w:rsid w:val="00F44038"/>
    <w:rsid w:val="00F440C6"/>
    <w:rsid w:val="00F44134"/>
    <w:rsid w:val="00F44213"/>
    <w:rsid w:val="00F44253"/>
    <w:rsid w:val="00F442A0"/>
    <w:rsid w:val="00F4433B"/>
    <w:rsid w:val="00F44358"/>
    <w:rsid w:val="00F443E0"/>
    <w:rsid w:val="00F44483"/>
    <w:rsid w:val="00F444D5"/>
    <w:rsid w:val="00F4450F"/>
    <w:rsid w:val="00F4461F"/>
    <w:rsid w:val="00F446F6"/>
    <w:rsid w:val="00F449F5"/>
    <w:rsid w:val="00F44B0A"/>
    <w:rsid w:val="00F44C36"/>
    <w:rsid w:val="00F44C77"/>
    <w:rsid w:val="00F44E1D"/>
    <w:rsid w:val="00F45053"/>
    <w:rsid w:val="00F4515A"/>
    <w:rsid w:val="00F4517C"/>
    <w:rsid w:val="00F45460"/>
    <w:rsid w:val="00F4551A"/>
    <w:rsid w:val="00F45712"/>
    <w:rsid w:val="00F4576A"/>
    <w:rsid w:val="00F457E3"/>
    <w:rsid w:val="00F4587A"/>
    <w:rsid w:val="00F45BC5"/>
    <w:rsid w:val="00F45D70"/>
    <w:rsid w:val="00F45ECF"/>
    <w:rsid w:val="00F4628C"/>
    <w:rsid w:val="00F46368"/>
    <w:rsid w:val="00F4637C"/>
    <w:rsid w:val="00F46407"/>
    <w:rsid w:val="00F4653D"/>
    <w:rsid w:val="00F465F2"/>
    <w:rsid w:val="00F467D9"/>
    <w:rsid w:val="00F4695C"/>
    <w:rsid w:val="00F469CC"/>
    <w:rsid w:val="00F46B3A"/>
    <w:rsid w:val="00F46C0C"/>
    <w:rsid w:val="00F46E4C"/>
    <w:rsid w:val="00F47138"/>
    <w:rsid w:val="00F473EC"/>
    <w:rsid w:val="00F47655"/>
    <w:rsid w:val="00F476B2"/>
    <w:rsid w:val="00F478F0"/>
    <w:rsid w:val="00F47B35"/>
    <w:rsid w:val="00F47FFB"/>
    <w:rsid w:val="00F5005C"/>
    <w:rsid w:val="00F5006E"/>
    <w:rsid w:val="00F5007C"/>
    <w:rsid w:val="00F500A3"/>
    <w:rsid w:val="00F50235"/>
    <w:rsid w:val="00F50292"/>
    <w:rsid w:val="00F503BC"/>
    <w:rsid w:val="00F50555"/>
    <w:rsid w:val="00F50673"/>
    <w:rsid w:val="00F507A4"/>
    <w:rsid w:val="00F5082F"/>
    <w:rsid w:val="00F50861"/>
    <w:rsid w:val="00F50B04"/>
    <w:rsid w:val="00F50CB9"/>
    <w:rsid w:val="00F50D43"/>
    <w:rsid w:val="00F50EC9"/>
    <w:rsid w:val="00F50F5E"/>
    <w:rsid w:val="00F50FF3"/>
    <w:rsid w:val="00F5103B"/>
    <w:rsid w:val="00F5106E"/>
    <w:rsid w:val="00F510A1"/>
    <w:rsid w:val="00F51357"/>
    <w:rsid w:val="00F513DA"/>
    <w:rsid w:val="00F5143B"/>
    <w:rsid w:val="00F515D7"/>
    <w:rsid w:val="00F515E8"/>
    <w:rsid w:val="00F51623"/>
    <w:rsid w:val="00F5199D"/>
    <w:rsid w:val="00F51A16"/>
    <w:rsid w:val="00F51A49"/>
    <w:rsid w:val="00F51BB7"/>
    <w:rsid w:val="00F51BC0"/>
    <w:rsid w:val="00F51C8B"/>
    <w:rsid w:val="00F51F8F"/>
    <w:rsid w:val="00F52099"/>
    <w:rsid w:val="00F521CA"/>
    <w:rsid w:val="00F5223C"/>
    <w:rsid w:val="00F52591"/>
    <w:rsid w:val="00F5260E"/>
    <w:rsid w:val="00F52676"/>
    <w:rsid w:val="00F52727"/>
    <w:rsid w:val="00F5292B"/>
    <w:rsid w:val="00F52AB1"/>
    <w:rsid w:val="00F52B39"/>
    <w:rsid w:val="00F52B6A"/>
    <w:rsid w:val="00F52BFB"/>
    <w:rsid w:val="00F52CC3"/>
    <w:rsid w:val="00F52EB2"/>
    <w:rsid w:val="00F52EB9"/>
    <w:rsid w:val="00F530C9"/>
    <w:rsid w:val="00F530F8"/>
    <w:rsid w:val="00F53268"/>
    <w:rsid w:val="00F532B8"/>
    <w:rsid w:val="00F537C4"/>
    <w:rsid w:val="00F53898"/>
    <w:rsid w:val="00F53914"/>
    <w:rsid w:val="00F53B05"/>
    <w:rsid w:val="00F53B31"/>
    <w:rsid w:val="00F53FCA"/>
    <w:rsid w:val="00F5401C"/>
    <w:rsid w:val="00F540C9"/>
    <w:rsid w:val="00F541E1"/>
    <w:rsid w:val="00F5421B"/>
    <w:rsid w:val="00F5434C"/>
    <w:rsid w:val="00F544B9"/>
    <w:rsid w:val="00F544D7"/>
    <w:rsid w:val="00F54697"/>
    <w:rsid w:val="00F54769"/>
    <w:rsid w:val="00F547F8"/>
    <w:rsid w:val="00F54A73"/>
    <w:rsid w:val="00F54B7E"/>
    <w:rsid w:val="00F54C30"/>
    <w:rsid w:val="00F54D3C"/>
    <w:rsid w:val="00F54F36"/>
    <w:rsid w:val="00F55215"/>
    <w:rsid w:val="00F552BE"/>
    <w:rsid w:val="00F55569"/>
    <w:rsid w:val="00F555B2"/>
    <w:rsid w:val="00F5586E"/>
    <w:rsid w:val="00F558E5"/>
    <w:rsid w:val="00F55AAA"/>
    <w:rsid w:val="00F55BF4"/>
    <w:rsid w:val="00F55C40"/>
    <w:rsid w:val="00F5605D"/>
    <w:rsid w:val="00F5628C"/>
    <w:rsid w:val="00F56572"/>
    <w:rsid w:val="00F56738"/>
    <w:rsid w:val="00F567AA"/>
    <w:rsid w:val="00F56805"/>
    <w:rsid w:val="00F5681D"/>
    <w:rsid w:val="00F5695F"/>
    <w:rsid w:val="00F569EA"/>
    <w:rsid w:val="00F56A96"/>
    <w:rsid w:val="00F56E2A"/>
    <w:rsid w:val="00F56E6F"/>
    <w:rsid w:val="00F56E9B"/>
    <w:rsid w:val="00F56F62"/>
    <w:rsid w:val="00F57034"/>
    <w:rsid w:val="00F5704F"/>
    <w:rsid w:val="00F5714D"/>
    <w:rsid w:val="00F57448"/>
    <w:rsid w:val="00F574C5"/>
    <w:rsid w:val="00F574DB"/>
    <w:rsid w:val="00F576D2"/>
    <w:rsid w:val="00F57763"/>
    <w:rsid w:val="00F577B1"/>
    <w:rsid w:val="00F577E4"/>
    <w:rsid w:val="00F57A50"/>
    <w:rsid w:val="00F57A8A"/>
    <w:rsid w:val="00F57AF8"/>
    <w:rsid w:val="00F57B37"/>
    <w:rsid w:val="00F57B8B"/>
    <w:rsid w:val="00F57CD6"/>
    <w:rsid w:val="00F57D00"/>
    <w:rsid w:val="00F60046"/>
    <w:rsid w:val="00F600EF"/>
    <w:rsid w:val="00F6010B"/>
    <w:rsid w:val="00F6012A"/>
    <w:rsid w:val="00F601AF"/>
    <w:rsid w:val="00F6023E"/>
    <w:rsid w:val="00F6026D"/>
    <w:rsid w:val="00F602EA"/>
    <w:rsid w:val="00F604E6"/>
    <w:rsid w:val="00F6071D"/>
    <w:rsid w:val="00F60802"/>
    <w:rsid w:val="00F60906"/>
    <w:rsid w:val="00F609EC"/>
    <w:rsid w:val="00F609F4"/>
    <w:rsid w:val="00F60B04"/>
    <w:rsid w:val="00F60C5E"/>
    <w:rsid w:val="00F60D11"/>
    <w:rsid w:val="00F60D6D"/>
    <w:rsid w:val="00F60EA5"/>
    <w:rsid w:val="00F6122B"/>
    <w:rsid w:val="00F6133A"/>
    <w:rsid w:val="00F61451"/>
    <w:rsid w:val="00F6148F"/>
    <w:rsid w:val="00F616D6"/>
    <w:rsid w:val="00F617F8"/>
    <w:rsid w:val="00F61884"/>
    <w:rsid w:val="00F618C2"/>
    <w:rsid w:val="00F61ABA"/>
    <w:rsid w:val="00F61B51"/>
    <w:rsid w:val="00F61BC1"/>
    <w:rsid w:val="00F61BCB"/>
    <w:rsid w:val="00F61C31"/>
    <w:rsid w:val="00F61C3C"/>
    <w:rsid w:val="00F61D0D"/>
    <w:rsid w:val="00F622B9"/>
    <w:rsid w:val="00F624E5"/>
    <w:rsid w:val="00F62647"/>
    <w:rsid w:val="00F6270B"/>
    <w:rsid w:val="00F627F3"/>
    <w:rsid w:val="00F6290B"/>
    <w:rsid w:val="00F62CB8"/>
    <w:rsid w:val="00F62E1F"/>
    <w:rsid w:val="00F62E6F"/>
    <w:rsid w:val="00F63002"/>
    <w:rsid w:val="00F631F8"/>
    <w:rsid w:val="00F634F7"/>
    <w:rsid w:val="00F63586"/>
    <w:rsid w:val="00F63659"/>
    <w:rsid w:val="00F636F0"/>
    <w:rsid w:val="00F636FC"/>
    <w:rsid w:val="00F6379F"/>
    <w:rsid w:val="00F63843"/>
    <w:rsid w:val="00F638DE"/>
    <w:rsid w:val="00F63ACA"/>
    <w:rsid w:val="00F64029"/>
    <w:rsid w:val="00F64037"/>
    <w:rsid w:val="00F641B9"/>
    <w:rsid w:val="00F64257"/>
    <w:rsid w:val="00F642DD"/>
    <w:rsid w:val="00F644BB"/>
    <w:rsid w:val="00F644E2"/>
    <w:rsid w:val="00F64663"/>
    <w:rsid w:val="00F646C6"/>
    <w:rsid w:val="00F647C0"/>
    <w:rsid w:val="00F64938"/>
    <w:rsid w:val="00F64958"/>
    <w:rsid w:val="00F64B15"/>
    <w:rsid w:val="00F64E4B"/>
    <w:rsid w:val="00F653FF"/>
    <w:rsid w:val="00F65592"/>
    <w:rsid w:val="00F655D4"/>
    <w:rsid w:val="00F6560B"/>
    <w:rsid w:val="00F656C7"/>
    <w:rsid w:val="00F6574D"/>
    <w:rsid w:val="00F6575B"/>
    <w:rsid w:val="00F65837"/>
    <w:rsid w:val="00F6590F"/>
    <w:rsid w:val="00F65A26"/>
    <w:rsid w:val="00F65C66"/>
    <w:rsid w:val="00F65D52"/>
    <w:rsid w:val="00F65D61"/>
    <w:rsid w:val="00F65E71"/>
    <w:rsid w:val="00F660EF"/>
    <w:rsid w:val="00F6612A"/>
    <w:rsid w:val="00F66224"/>
    <w:rsid w:val="00F66390"/>
    <w:rsid w:val="00F6647F"/>
    <w:rsid w:val="00F664FF"/>
    <w:rsid w:val="00F66593"/>
    <w:rsid w:val="00F665FF"/>
    <w:rsid w:val="00F6667B"/>
    <w:rsid w:val="00F6671B"/>
    <w:rsid w:val="00F66758"/>
    <w:rsid w:val="00F6698C"/>
    <w:rsid w:val="00F66B19"/>
    <w:rsid w:val="00F66B25"/>
    <w:rsid w:val="00F66D31"/>
    <w:rsid w:val="00F66D78"/>
    <w:rsid w:val="00F66D81"/>
    <w:rsid w:val="00F66EC5"/>
    <w:rsid w:val="00F66FC9"/>
    <w:rsid w:val="00F66FF1"/>
    <w:rsid w:val="00F67051"/>
    <w:rsid w:val="00F67064"/>
    <w:rsid w:val="00F67251"/>
    <w:rsid w:val="00F6727C"/>
    <w:rsid w:val="00F675DC"/>
    <w:rsid w:val="00F67642"/>
    <w:rsid w:val="00F676AC"/>
    <w:rsid w:val="00F6774C"/>
    <w:rsid w:val="00F67759"/>
    <w:rsid w:val="00F67875"/>
    <w:rsid w:val="00F67A3C"/>
    <w:rsid w:val="00F67A3E"/>
    <w:rsid w:val="00F67B88"/>
    <w:rsid w:val="00F67D61"/>
    <w:rsid w:val="00F70048"/>
    <w:rsid w:val="00F7004B"/>
    <w:rsid w:val="00F70091"/>
    <w:rsid w:val="00F701FF"/>
    <w:rsid w:val="00F7049A"/>
    <w:rsid w:val="00F7053B"/>
    <w:rsid w:val="00F705C0"/>
    <w:rsid w:val="00F7074F"/>
    <w:rsid w:val="00F707A5"/>
    <w:rsid w:val="00F707C8"/>
    <w:rsid w:val="00F708AF"/>
    <w:rsid w:val="00F709B9"/>
    <w:rsid w:val="00F70B3C"/>
    <w:rsid w:val="00F70D24"/>
    <w:rsid w:val="00F70E65"/>
    <w:rsid w:val="00F70EA5"/>
    <w:rsid w:val="00F70EF8"/>
    <w:rsid w:val="00F70F85"/>
    <w:rsid w:val="00F7106A"/>
    <w:rsid w:val="00F71504"/>
    <w:rsid w:val="00F715B3"/>
    <w:rsid w:val="00F71619"/>
    <w:rsid w:val="00F718EB"/>
    <w:rsid w:val="00F71A58"/>
    <w:rsid w:val="00F71AB9"/>
    <w:rsid w:val="00F71AEA"/>
    <w:rsid w:val="00F71C2A"/>
    <w:rsid w:val="00F71CCB"/>
    <w:rsid w:val="00F71DD0"/>
    <w:rsid w:val="00F71FAD"/>
    <w:rsid w:val="00F722B4"/>
    <w:rsid w:val="00F72387"/>
    <w:rsid w:val="00F7256E"/>
    <w:rsid w:val="00F727BF"/>
    <w:rsid w:val="00F72A32"/>
    <w:rsid w:val="00F72AF9"/>
    <w:rsid w:val="00F72B18"/>
    <w:rsid w:val="00F72C10"/>
    <w:rsid w:val="00F72C26"/>
    <w:rsid w:val="00F72DDC"/>
    <w:rsid w:val="00F72EBC"/>
    <w:rsid w:val="00F72EF7"/>
    <w:rsid w:val="00F7300F"/>
    <w:rsid w:val="00F7314D"/>
    <w:rsid w:val="00F7315C"/>
    <w:rsid w:val="00F731E2"/>
    <w:rsid w:val="00F73226"/>
    <w:rsid w:val="00F73353"/>
    <w:rsid w:val="00F7357E"/>
    <w:rsid w:val="00F73744"/>
    <w:rsid w:val="00F73A12"/>
    <w:rsid w:val="00F73C62"/>
    <w:rsid w:val="00F73DDF"/>
    <w:rsid w:val="00F73EB4"/>
    <w:rsid w:val="00F73F1A"/>
    <w:rsid w:val="00F74039"/>
    <w:rsid w:val="00F74140"/>
    <w:rsid w:val="00F74287"/>
    <w:rsid w:val="00F7437F"/>
    <w:rsid w:val="00F743F1"/>
    <w:rsid w:val="00F74510"/>
    <w:rsid w:val="00F74788"/>
    <w:rsid w:val="00F749E3"/>
    <w:rsid w:val="00F74AA8"/>
    <w:rsid w:val="00F74B35"/>
    <w:rsid w:val="00F74BFD"/>
    <w:rsid w:val="00F74DE3"/>
    <w:rsid w:val="00F74EBB"/>
    <w:rsid w:val="00F74EF0"/>
    <w:rsid w:val="00F75060"/>
    <w:rsid w:val="00F7527B"/>
    <w:rsid w:val="00F752CC"/>
    <w:rsid w:val="00F754E0"/>
    <w:rsid w:val="00F754F3"/>
    <w:rsid w:val="00F755C0"/>
    <w:rsid w:val="00F75695"/>
    <w:rsid w:val="00F756F6"/>
    <w:rsid w:val="00F75798"/>
    <w:rsid w:val="00F7591D"/>
    <w:rsid w:val="00F7595C"/>
    <w:rsid w:val="00F7597A"/>
    <w:rsid w:val="00F75B48"/>
    <w:rsid w:val="00F75CBB"/>
    <w:rsid w:val="00F75D36"/>
    <w:rsid w:val="00F75DCE"/>
    <w:rsid w:val="00F75E28"/>
    <w:rsid w:val="00F75E96"/>
    <w:rsid w:val="00F75EFE"/>
    <w:rsid w:val="00F75F06"/>
    <w:rsid w:val="00F761A8"/>
    <w:rsid w:val="00F76221"/>
    <w:rsid w:val="00F76477"/>
    <w:rsid w:val="00F76491"/>
    <w:rsid w:val="00F7652A"/>
    <w:rsid w:val="00F7659C"/>
    <w:rsid w:val="00F7662F"/>
    <w:rsid w:val="00F7695A"/>
    <w:rsid w:val="00F7695C"/>
    <w:rsid w:val="00F769C7"/>
    <w:rsid w:val="00F76D51"/>
    <w:rsid w:val="00F76D6D"/>
    <w:rsid w:val="00F76EB8"/>
    <w:rsid w:val="00F770DE"/>
    <w:rsid w:val="00F771AC"/>
    <w:rsid w:val="00F771C7"/>
    <w:rsid w:val="00F772B0"/>
    <w:rsid w:val="00F7740B"/>
    <w:rsid w:val="00F7747E"/>
    <w:rsid w:val="00F776D7"/>
    <w:rsid w:val="00F7785E"/>
    <w:rsid w:val="00F77893"/>
    <w:rsid w:val="00F77B1E"/>
    <w:rsid w:val="00F77B96"/>
    <w:rsid w:val="00F77B99"/>
    <w:rsid w:val="00F77DA1"/>
    <w:rsid w:val="00F77E05"/>
    <w:rsid w:val="00F77E3E"/>
    <w:rsid w:val="00F77F69"/>
    <w:rsid w:val="00F77FD0"/>
    <w:rsid w:val="00F801A3"/>
    <w:rsid w:val="00F80256"/>
    <w:rsid w:val="00F80259"/>
    <w:rsid w:val="00F8028F"/>
    <w:rsid w:val="00F8038E"/>
    <w:rsid w:val="00F804C0"/>
    <w:rsid w:val="00F804C5"/>
    <w:rsid w:val="00F8056C"/>
    <w:rsid w:val="00F80591"/>
    <w:rsid w:val="00F807DB"/>
    <w:rsid w:val="00F80842"/>
    <w:rsid w:val="00F808E9"/>
    <w:rsid w:val="00F809AE"/>
    <w:rsid w:val="00F809D9"/>
    <w:rsid w:val="00F80C23"/>
    <w:rsid w:val="00F80E2B"/>
    <w:rsid w:val="00F80FF2"/>
    <w:rsid w:val="00F81076"/>
    <w:rsid w:val="00F81079"/>
    <w:rsid w:val="00F8110E"/>
    <w:rsid w:val="00F81147"/>
    <w:rsid w:val="00F81312"/>
    <w:rsid w:val="00F8136D"/>
    <w:rsid w:val="00F816C6"/>
    <w:rsid w:val="00F819EA"/>
    <w:rsid w:val="00F81A8F"/>
    <w:rsid w:val="00F81AF4"/>
    <w:rsid w:val="00F81B8B"/>
    <w:rsid w:val="00F81C2B"/>
    <w:rsid w:val="00F81C76"/>
    <w:rsid w:val="00F81D72"/>
    <w:rsid w:val="00F81D7C"/>
    <w:rsid w:val="00F81F27"/>
    <w:rsid w:val="00F82126"/>
    <w:rsid w:val="00F82159"/>
    <w:rsid w:val="00F82518"/>
    <w:rsid w:val="00F826FE"/>
    <w:rsid w:val="00F827C3"/>
    <w:rsid w:val="00F8285F"/>
    <w:rsid w:val="00F82990"/>
    <w:rsid w:val="00F82D9A"/>
    <w:rsid w:val="00F82E0B"/>
    <w:rsid w:val="00F82F18"/>
    <w:rsid w:val="00F83010"/>
    <w:rsid w:val="00F8307F"/>
    <w:rsid w:val="00F83090"/>
    <w:rsid w:val="00F8321F"/>
    <w:rsid w:val="00F83221"/>
    <w:rsid w:val="00F8327F"/>
    <w:rsid w:val="00F832CC"/>
    <w:rsid w:val="00F8351F"/>
    <w:rsid w:val="00F83928"/>
    <w:rsid w:val="00F8394C"/>
    <w:rsid w:val="00F8397E"/>
    <w:rsid w:val="00F83A4B"/>
    <w:rsid w:val="00F83B1D"/>
    <w:rsid w:val="00F83C49"/>
    <w:rsid w:val="00F83CC3"/>
    <w:rsid w:val="00F83DF4"/>
    <w:rsid w:val="00F83EC9"/>
    <w:rsid w:val="00F83F36"/>
    <w:rsid w:val="00F840AF"/>
    <w:rsid w:val="00F840CC"/>
    <w:rsid w:val="00F8424B"/>
    <w:rsid w:val="00F842CD"/>
    <w:rsid w:val="00F84309"/>
    <w:rsid w:val="00F8436C"/>
    <w:rsid w:val="00F84491"/>
    <w:rsid w:val="00F84548"/>
    <w:rsid w:val="00F8458E"/>
    <w:rsid w:val="00F8467D"/>
    <w:rsid w:val="00F84725"/>
    <w:rsid w:val="00F84864"/>
    <w:rsid w:val="00F84883"/>
    <w:rsid w:val="00F8492C"/>
    <w:rsid w:val="00F84979"/>
    <w:rsid w:val="00F84A71"/>
    <w:rsid w:val="00F84AE1"/>
    <w:rsid w:val="00F84C0E"/>
    <w:rsid w:val="00F850DE"/>
    <w:rsid w:val="00F854F6"/>
    <w:rsid w:val="00F8555B"/>
    <w:rsid w:val="00F85574"/>
    <w:rsid w:val="00F855D7"/>
    <w:rsid w:val="00F85ACA"/>
    <w:rsid w:val="00F85AD4"/>
    <w:rsid w:val="00F85B95"/>
    <w:rsid w:val="00F85CEA"/>
    <w:rsid w:val="00F85F89"/>
    <w:rsid w:val="00F85F8F"/>
    <w:rsid w:val="00F86526"/>
    <w:rsid w:val="00F86564"/>
    <w:rsid w:val="00F86567"/>
    <w:rsid w:val="00F86705"/>
    <w:rsid w:val="00F869C0"/>
    <w:rsid w:val="00F86B90"/>
    <w:rsid w:val="00F86BB0"/>
    <w:rsid w:val="00F86D3C"/>
    <w:rsid w:val="00F86E3B"/>
    <w:rsid w:val="00F86E69"/>
    <w:rsid w:val="00F86F3A"/>
    <w:rsid w:val="00F86F49"/>
    <w:rsid w:val="00F86F8C"/>
    <w:rsid w:val="00F87097"/>
    <w:rsid w:val="00F87231"/>
    <w:rsid w:val="00F872BD"/>
    <w:rsid w:val="00F8731C"/>
    <w:rsid w:val="00F87568"/>
    <w:rsid w:val="00F87680"/>
    <w:rsid w:val="00F876CF"/>
    <w:rsid w:val="00F8773C"/>
    <w:rsid w:val="00F879ED"/>
    <w:rsid w:val="00F87A73"/>
    <w:rsid w:val="00F87AD3"/>
    <w:rsid w:val="00F87B6F"/>
    <w:rsid w:val="00F87BE2"/>
    <w:rsid w:val="00F87EA5"/>
    <w:rsid w:val="00F9017F"/>
    <w:rsid w:val="00F9028A"/>
    <w:rsid w:val="00F902A4"/>
    <w:rsid w:val="00F902F9"/>
    <w:rsid w:val="00F90440"/>
    <w:rsid w:val="00F904C1"/>
    <w:rsid w:val="00F9057E"/>
    <w:rsid w:val="00F905E0"/>
    <w:rsid w:val="00F905F4"/>
    <w:rsid w:val="00F905F6"/>
    <w:rsid w:val="00F906D9"/>
    <w:rsid w:val="00F90772"/>
    <w:rsid w:val="00F909D9"/>
    <w:rsid w:val="00F909F1"/>
    <w:rsid w:val="00F90B82"/>
    <w:rsid w:val="00F90EC5"/>
    <w:rsid w:val="00F90FDD"/>
    <w:rsid w:val="00F91006"/>
    <w:rsid w:val="00F91270"/>
    <w:rsid w:val="00F9128B"/>
    <w:rsid w:val="00F912D6"/>
    <w:rsid w:val="00F9143A"/>
    <w:rsid w:val="00F916D3"/>
    <w:rsid w:val="00F91775"/>
    <w:rsid w:val="00F918C3"/>
    <w:rsid w:val="00F91945"/>
    <w:rsid w:val="00F91A5C"/>
    <w:rsid w:val="00F91AB0"/>
    <w:rsid w:val="00F91B58"/>
    <w:rsid w:val="00F91C4F"/>
    <w:rsid w:val="00F91D9F"/>
    <w:rsid w:val="00F91F47"/>
    <w:rsid w:val="00F91FE9"/>
    <w:rsid w:val="00F9205A"/>
    <w:rsid w:val="00F922F0"/>
    <w:rsid w:val="00F923B2"/>
    <w:rsid w:val="00F923E8"/>
    <w:rsid w:val="00F92487"/>
    <w:rsid w:val="00F9248A"/>
    <w:rsid w:val="00F924B0"/>
    <w:rsid w:val="00F924EE"/>
    <w:rsid w:val="00F92513"/>
    <w:rsid w:val="00F92752"/>
    <w:rsid w:val="00F92D0D"/>
    <w:rsid w:val="00F92E08"/>
    <w:rsid w:val="00F92E73"/>
    <w:rsid w:val="00F93067"/>
    <w:rsid w:val="00F9335C"/>
    <w:rsid w:val="00F93477"/>
    <w:rsid w:val="00F934A2"/>
    <w:rsid w:val="00F934DA"/>
    <w:rsid w:val="00F93501"/>
    <w:rsid w:val="00F93516"/>
    <w:rsid w:val="00F935ED"/>
    <w:rsid w:val="00F93654"/>
    <w:rsid w:val="00F9365C"/>
    <w:rsid w:val="00F93775"/>
    <w:rsid w:val="00F9377D"/>
    <w:rsid w:val="00F93B59"/>
    <w:rsid w:val="00F93B8C"/>
    <w:rsid w:val="00F93C2B"/>
    <w:rsid w:val="00F93C80"/>
    <w:rsid w:val="00F93E03"/>
    <w:rsid w:val="00F93E25"/>
    <w:rsid w:val="00F93ED1"/>
    <w:rsid w:val="00F93FC4"/>
    <w:rsid w:val="00F9407D"/>
    <w:rsid w:val="00F941A6"/>
    <w:rsid w:val="00F9428A"/>
    <w:rsid w:val="00F9449D"/>
    <w:rsid w:val="00F94509"/>
    <w:rsid w:val="00F9459E"/>
    <w:rsid w:val="00F94648"/>
    <w:rsid w:val="00F9470C"/>
    <w:rsid w:val="00F94711"/>
    <w:rsid w:val="00F947B0"/>
    <w:rsid w:val="00F947B2"/>
    <w:rsid w:val="00F94A03"/>
    <w:rsid w:val="00F94A0E"/>
    <w:rsid w:val="00F94A42"/>
    <w:rsid w:val="00F94B79"/>
    <w:rsid w:val="00F94D2D"/>
    <w:rsid w:val="00F94EB4"/>
    <w:rsid w:val="00F94F18"/>
    <w:rsid w:val="00F94FF6"/>
    <w:rsid w:val="00F9507F"/>
    <w:rsid w:val="00F9515A"/>
    <w:rsid w:val="00F9519A"/>
    <w:rsid w:val="00F952AF"/>
    <w:rsid w:val="00F952EA"/>
    <w:rsid w:val="00F95352"/>
    <w:rsid w:val="00F954ED"/>
    <w:rsid w:val="00F9562B"/>
    <w:rsid w:val="00F956B7"/>
    <w:rsid w:val="00F9576E"/>
    <w:rsid w:val="00F958E1"/>
    <w:rsid w:val="00F95916"/>
    <w:rsid w:val="00F95970"/>
    <w:rsid w:val="00F9599E"/>
    <w:rsid w:val="00F95BDA"/>
    <w:rsid w:val="00F95D24"/>
    <w:rsid w:val="00F95D4C"/>
    <w:rsid w:val="00F960A3"/>
    <w:rsid w:val="00F96158"/>
    <w:rsid w:val="00F961F8"/>
    <w:rsid w:val="00F9622A"/>
    <w:rsid w:val="00F9641A"/>
    <w:rsid w:val="00F9647C"/>
    <w:rsid w:val="00F965E9"/>
    <w:rsid w:val="00F96793"/>
    <w:rsid w:val="00F967C1"/>
    <w:rsid w:val="00F968E1"/>
    <w:rsid w:val="00F969AE"/>
    <w:rsid w:val="00F969BF"/>
    <w:rsid w:val="00F96A30"/>
    <w:rsid w:val="00F96A93"/>
    <w:rsid w:val="00F96B88"/>
    <w:rsid w:val="00F96BB9"/>
    <w:rsid w:val="00F96C12"/>
    <w:rsid w:val="00F96C7F"/>
    <w:rsid w:val="00F96D4A"/>
    <w:rsid w:val="00F96E0E"/>
    <w:rsid w:val="00F96EE7"/>
    <w:rsid w:val="00F96F9D"/>
    <w:rsid w:val="00F96FB3"/>
    <w:rsid w:val="00F97185"/>
    <w:rsid w:val="00F97236"/>
    <w:rsid w:val="00F973CF"/>
    <w:rsid w:val="00F9744E"/>
    <w:rsid w:val="00F974F1"/>
    <w:rsid w:val="00F975E4"/>
    <w:rsid w:val="00F9767B"/>
    <w:rsid w:val="00F97761"/>
    <w:rsid w:val="00F978A6"/>
    <w:rsid w:val="00F979D2"/>
    <w:rsid w:val="00F97B04"/>
    <w:rsid w:val="00F97BA5"/>
    <w:rsid w:val="00F97C61"/>
    <w:rsid w:val="00F97C66"/>
    <w:rsid w:val="00F97C80"/>
    <w:rsid w:val="00F97D35"/>
    <w:rsid w:val="00F97D41"/>
    <w:rsid w:val="00F97DBE"/>
    <w:rsid w:val="00F97E66"/>
    <w:rsid w:val="00F97E8A"/>
    <w:rsid w:val="00F97EE5"/>
    <w:rsid w:val="00FA0013"/>
    <w:rsid w:val="00FA007D"/>
    <w:rsid w:val="00FA00E4"/>
    <w:rsid w:val="00FA0100"/>
    <w:rsid w:val="00FA0244"/>
    <w:rsid w:val="00FA02A1"/>
    <w:rsid w:val="00FA036F"/>
    <w:rsid w:val="00FA07E2"/>
    <w:rsid w:val="00FA08B9"/>
    <w:rsid w:val="00FA093B"/>
    <w:rsid w:val="00FA099D"/>
    <w:rsid w:val="00FA0C9E"/>
    <w:rsid w:val="00FA0CBA"/>
    <w:rsid w:val="00FA0DF6"/>
    <w:rsid w:val="00FA0E04"/>
    <w:rsid w:val="00FA0F9A"/>
    <w:rsid w:val="00FA10EB"/>
    <w:rsid w:val="00FA10F4"/>
    <w:rsid w:val="00FA1150"/>
    <w:rsid w:val="00FA11E3"/>
    <w:rsid w:val="00FA1280"/>
    <w:rsid w:val="00FA128C"/>
    <w:rsid w:val="00FA139A"/>
    <w:rsid w:val="00FA1430"/>
    <w:rsid w:val="00FA14C6"/>
    <w:rsid w:val="00FA157E"/>
    <w:rsid w:val="00FA1600"/>
    <w:rsid w:val="00FA1890"/>
    <w:rsid w:val="00FA1988"/>
    <w:rsid w:val="00FA1B5F"/>
    <w:rsid w:val="00FA1EC2"/>
    <w:rsid w:val="00FA1F0D"/>
    <w:rsid w:val="00FA1F42"/>
    <w:rsid w:val="00FA20C7"/>
    <w:rsid w:val="00FA2265"/>
    <w:rsid w:val="00FA22A0"/>
    <w:rsid w:val="00FA24AC"/>
    <w:rsid w:val="00FA259B"/>
    <w:rsid w:val="00FA2630"/>
    <w:rsid w:val="00FA28E0"/>
    <w:rsid w:val="00FA29A4"/>
    <w:rsid w:val="00FA29B4"/>
    <w:rsid w:val="00FA29EA"/>
    <w:rsid w:val="00FA2B32"/>
    <w:rsid w:val="00FA2E18"/>
    <w:rsid w:val="00FA2F50"/>
    <w:rsid w:val="00FA30AC"/>
    <w:rsid w:val="00FA31C1"/>
    <w:rsid w:val="00FA31CF"/>
    <w:rsid w:val="00FA3225"/>
    <w:rsid w:val="00FA3268"/>
    <w:rsid w:val="00FA3277"/>
    <w:rsid w:val="00FA3955"/>
    <w:rsid w:val="00FA3CD6"/>
    <w:rsid w:val="00FA3DA0"/>
    <w:rsid w:val="00FA458D"/>
    <w:rsid w:val="00FA45CF"/>
    <w:rsid w:val="00FA4742"/>
    <w:rsid w:val="00FA478A"/>
    <w:rsid w:val="00FA48AB"/>
    <w:rsid w:val="00FA48EC"/>
    <w:rsid w:val="00FA495F"/>
    <w:rsid w:val="00FA499F"/>
    <w:rsid w:val="00FA49B0"/>
    <w:rsid w:val="00FA4A3E"/>
    <w:rsid w:val="00FA4A84"/>
    <w:rsid w:val="00FA4B0D"/>
    <w:rsid w:val="00FA4B68"/>
    <w:rsid w:val="00FA4CDC"/>
    <w:rsid w:val="00FA4CFE"/>
    <w:rsid w:val="00FA4D79"/>
    <w:rsid w:val="00FA4E46"/>
    <w:rsid w:val="00FA4E7B"/>
    <w:rsid w:val="00FA5099"/>
    <w:rsid w:val="00FA535D"/>
    <w:rsid w:val="00FA562E"/>
    <w:rsid w:val="00FA56D5"/>
    <w:rsid w:val="00FA56E1"/>
    <w:rsid w:val="00FA5753"/>
    <w:rsid w:val="00FA57E0"/>
    <w:rsid w:val="00FA5886"/>
    <w:rsid w:val="00FA58F5"/>
    <w:rsid w:val="00FA5A88"/>
    <w:rsid w:val="00FA5ACA"/>
    <w:rsid w:val="00FA5C77"/>
    <w:rsid w:val="00FA5E5A"/>
    <w:rsid w:val="00FA5F98"/>
    <w:rsid w:val="00FA610F"/>
    <w:rsid w:val="00FA6139"/>
    <w:rsid w:val="00FA6162"/>
    <w:rsid w:val="00FA6283"/>
    <w:rsid w:val="00FA62A0"/>
    <w:rsid w:val="00FA6300"/>
    <w:rsid w:val="00FA6448"/>
    <w:rsid w:val="00FA6586"/>
    <w:rsid w:val="00FA65B0"/>
    <w:rsid w:val="00FA6633"/>
    <w:rsid w:val="00FA6655"/>
    <w:rsid w:val="00FA6B1D"/>
    <w:rsid w:val="00FA6B66"/>
    <w:rsid w:val="00FA6CDF"/>
    <w:rsid w:val="00FA6DB1"/>
    <w:rsid w:val="00FA6F0B"/>
    <w:rsid w:val="00FA6FFC"/>
    <w:rsid w:val="00FA7482"/>
    <w:rsid w:val="00FA7A31"/>
    <w:rsid w:val="00FA7A58"/>
    <w:rsid w:val="00FA7A8C"/>
    <w:rsid w:val="00FA7ABA"/>
    <w:rsid w:val="00FA7B4C"/>
    <w:rsid w:val="00FA7C53"/>
    <w:rsid w:val="00FA7C62"/>
    <w:rsid w:val="00FA7C8F"/>
    <w:rsid w:val="00FA7CD5"/>
    <w:rsid w:val="00FA7D0B"/>
    <w:rsid w:val="00FA7F1C"/>
    <w:rsid w:val="00FB0009"/>
    <w:rsid w:val="00FB00EC"/>
    <w:rsid w:val="00FB0207"/>
    <w:rsid w:val="00FB02BC"/>
    <w:rsid w:val="00FB0387"/>
    <w:rsid w:val="00FB0508"/>
    <w:rsid w:val="00FB0554"/>
    <w:rsid w:val="00FB05D4"/>
    <w:rsid w:val="00FB06DB"/>
    <w:rsid w:val="00FB0732"/>
    <w:rsid w:val="00FB08A5"/>
    <w:rsid w:val="00FB09EB"/>
    <w:rsid w:val="00FB0DA2"/>
    <w:rsid w:val="00FB0DBF"/>
    <w:rsid w:val="00FB0DC2"/>
    <w:rsid w:val="00FB1003"/>
    <w:rsid w:val="00FB1107"/>
    <w:rsid w:val="00FB1254"/>
    <w:rsid w:val="00FB1304"/>
    <w:rsid w:val="00FB149E"/>
    <w:rsid w:val="00FB14E2"/>
    <w:rsid w:val="00FB16CA"/>
    <w:rsid w:val="00FB17CE"/>
    <w:rsid w:val="00FB1837"/>
    <w:rsid w:val="00FB1863"/>
    <w:rsid w:val="00FB18B8"/>
    <w:rsid w:val="00FB1A00"/>
    <w:rsid w:val="00FB1A83"/>
    <w:rsid w:val="00FB1B45"/>
    <w:rsid w:val="00FB1D8A"/>
    <w:rsid w:val="00FB1E8E"/>
    <w:rsid w:val="00FB1FA3"/>
    <w:rsid w:val="00FB2029"/>
    <w:rsid w:val="00FB203A"/>
    <w:rsid w:val="00FB203F"/>
    <w:rsid w:val="00FB2054"/>
    <w:rsid w:val="00FB21BA"/>
    <w:rsid w:val="00FB2317"/>
    <w:rsid w:val="00FB24F7"/>
    <w:rsid w:val="00FB25BC"/>
    <w:rsid w:val="00FB27B5"/>
    <w:rsid w:val="00FB27E5"/>
    <w:rsid w:val="00FB2A06"/>
    <w:rsid w:val="00FB2B00"/>
    <w:rsid w:val="00FB2DB9"/>
    <w:rsid w:val="00FB316A"/>
    <w:rsid w:val="00FB32E5"/>
    <w:rsid w:val="00FB32EE"/>
    <w:rsid w:val="00FB33B0"/>
    <w:rsid w:val="00FB34A5"/>
    <w:rsid w:val="00FB3514"/>
    <w:rsid w:val="00FB3648"/>
    <w:rsid w:val="00FB36E9"/>
    <w:rsid w:val="00FB3733"/>
    <w:rsid w:val="00FB3873"/>
    <w:rsid w:val="00FB3931"/>
    <w:rsid w:val="00FB3B14"/>
    <w:rsid w:val="00FB3BD0"/>
    <w:rsid w:val="00FB3C92"/>
    <w:rsid w:val="00FB3E37"/>
    <w:rsid w:val="00FB3ED7"/>
    <w:rsid w:val="00FB3EDE"/>
    <w:rsid w:val="00FB3F81"/>
    <w:rsid w:val="00FB403C"/>
    <w:rsid w:val="00FB40C1"/>
    <w:rsid w:val="00FB4247"/>
    <w:rsid w:val="00FB4454"/>
    <w:rsid w:val="00FB4485"/>
    <w:rsid w:val="00FB45AC"/>
    <w:rsid w:val="00FB478E"/>
    <w:rsid w:val="00FB479D"/>
    <w:rsid w:val="00FB47A5"/>
    <w:rsid w:val="00FB48FF"/>
    <w:rsid w:val="00FB4ABC"/>
    <w:rsid w:val="00FB4CAB"/>
    <w:rsid w:val="00FB4E77"/>
    <w:rsid w:val="00FB51DD"/>
    <w:rsid w:val="00FB5269"/>
    <w:rsid w:val="00FB5274"/>
    <w:rsid w:val="00FB54F8"/>
    <w:rsid w:val="00FB5780"/>
    <w:rsid w:val="00FB592B"/>
    <w:rsid w:val="00FB597C"/>
    <w:rsid w:val="00FB5AF1"/>
    <w:rsid w:val="00FB5E3D"/>
    <w:rsid w:val="00FB5F95"/>
    <w:rsid w:val="00FB612E"/>
    <w:rsid w:val="00FB6157"/>
    <w:rsid w:val="00FB6212"/>
    <w:rsid w:val="00FB62C8"/>
    <w:rsid w:val="00FB64A8"/>
    <w:rsid w:val="00FB6539"/>
    <w:rsid w:val="00FB65D1"/>
    <w:rsid w:val="00FB692E"/>
    <w:rsid w:val="00FB6A09"/>
    <w:rsid w:val="00FB6B03"/>
    <w:rsid w:val="00FB6B14"/>
    <w:rsid w:val="00FB6E80"/>
    <w:rsid w:val="00FB6FDC"/>
    <w:rsid w:val="00FB7766"/>
    <w:rsid w:val="00FB7983"/>
    <w:rsid w:val="00FB7A53"/>
    <w:rsid w:val="00FB7B31"/>
    <w:rsid w:val="00FB7B7C"/>
    <w:rsid w:val="00FB7D7E"/>
    <w:rsid w:val="00FB7E10"/>
    <w:rsid w:val="00FC004C"/>
    <w:rsid w:val="00FC0215"/>
    <w:rsid w:val="00FC0284"/>
    <w:rsid w:val="00FC02B8"/>
    <w:rsid w:val="00FC030B"/>
    <w:rsid w:val="00FC04DE"/>
    <w:rsid w:val="00FC0542"/>
    <w:rsid w:val="00FC058B"/>
    <w:rsid w:val="00FC06BC"/>
    <w:rsid w:val="00FC06DA"/>
    <w:rsid w:val="00FC07D4"/>
    <w:rsid w:val="00FC0900"/>
    <w:rsid w:val="00FC0A41"/>
    <w:rsid w:val="00FC0EC5"/>
    <w:rsid w:val="00FC0F63"/>
    <w:rsid w:val="00FC111B"/>
    <w:rsid w:val="00FC1209"/>
    <w:rsid w:val="00FC1314"/>
    <w:rsid w:val="00FC176E"/>
    <w:rsid w:val="00FC183D"/>
    <w:rsid w:val="00FC1B4D"/>
    <w:rsid w:val="00FC1D69"/>
    <w:rsid w:val="00FC1F87"/>
    <w:rsid w:val="00FC2053"/>
    <w:rsid w:val="00FC2110"/>
    <w:rsid w:val="00FC215D"/>
    <w:rsid w:val="00FC21D3"/>
    <w:rsid w:val="00FC2340"/>
    <w:rsid w:val="00FC2368"/>
    <w:rsid w:val="00FC23AC"/>
    <w:rsid w:val="00FC23F8"/>
    <w:rsid w:val="00FC242C"/>
    <w:rsid w:val="00FC2462"/>
    <w:rsid w:val="00FC265F"/>
    <w:rsid w:val="00FC2926"/>
    <w:rsid w:val="00FC29A9"/>
    <w:rsid w:val="00FC2D29"/>
    <w:rsid w:val="00FC2DDE"/>
    <w:rsid w:val="00FC2E1F"/>
    <w:rsid w:val="00FC2ED7"/>
    <w:rsid w:val="00FC2EFB"/>
    <w:rsid w:val="00FC2FE7"/>
    <w:rsid w:val="00FC3039"/>
    <w:rsid w:val="00FC309B"/>
    <w:rsid w:val="00FC3100"/>
    <w:rsid w:val="00FC3164"/>
    <w:rsid w:val="00FC31FC"/>
    <w:rsid w:val="00FC32A4"/>
    <w:rsid w:val="00FC33C9"/>
    <w:rsid w:val="00FC33DC"/>
    <w:rsid w:val="00FC3645"/>
    <w:rsid w:val="00FC36C9"/>
    <w:rsid w:val="00FC37AD"/>
    <w:rsid w:val="00FC3860"/>
    <w:rsid w:val="00FC38F8"/>
    <w:rsid w:val="00FC39C5"/>
    <w:rsid w:val="00FC3A3B"/>
    <w:rsid w:val="00FC3B14"/>
    <w:rsid w:val="00FC3C01"/>
    <w:rsid w:val="00FC3C84"/>
    <w:rsid w:val="00FC3C8D"/>
    <w:rsid w:val="00FC3E6E"/>
    <w:rsid w:val="00FC3E8E"/>
    <w:rsid w:val="00FC3E95"/>
    <w:rsid w:val="00FC3EC0"/>
    <w:rsid w:val="00FC4056"/>
    <w:rsid w:val="00FC410F"/>
    <w:rsid w:val="00FC425F"/>
    <w:rsid w:val="00FC42E5"/>
    <w:rsid w:val="00FC4412"/>
    <w:rsid w:val="00FC4521"/>
    <w:rsid w:val="00FC457D"/>
    <w:rsid w:val="00FC4662"/>
    <w:rsid w:val="00FC46E7"/>
    <w:rsid w:val="00FC4759"/>
    <w:rsid w:val="00FC49C2"/>
    <w:rsid w:val="00FC4B0C"/>
    <w:rsid w:val="00FC4E98"/>
    <w:rsid w:val="00FC52B8"/>
    <w:rsid w:val="00FC5326"/>
    <w:rsid w:val="00FC5402"/>
    <w:rsid w:val="00FC5404"/>
    <w:rsid w:val="00FC552D"/>
    <w:rsid w:val="00FC55CA"/>
    <w:rsid w:val="00FC5658"/>
    <w:rsid w:val="00FC5686"/>
    <w:rsid w:val="00FC577E"/>
    <w:rsid w:val="00FC57B7"/>
    <w:rsid w:val="00FC57F5"/>
    <w:rsid w:val="00FC57FD"/>
    <w:rsid w:val="00FC57FE"/>
    <w:rsid w:val="00FC58B6"/>
    <w:rsid w:val="00FC5954"/>
    <w:rsid w:val="00FC5BA1"/>
    <w:rsid w:val="00FC5BF5"/>
    <w:rsid w:val="00FC60C2"/>
    <w:rsid w:val="00FC6366"/>
    <w:rsid w:val="00FC6581"/>
    <w:rsid w:val="00FC672C"/>
    <w:rsid w:val="00FC67A7"/>
    <w:rsid w:val="00FC67F8"/>
    <w:rsid w:val="00FC693F"/>
    <w:rsid w:val="00FC6BC2"/>
    <w:rsid w:val="00FC6C13"/>
    <w:rsid w:val="00FC6C47"/>
    <w:rsid w:val="00FC6EBA"/>
    <w:rsid w:val="00FC6EE9"/>
    <w:rsid w:val="00FC703B"/>
    <w:rsid w:val="00FC70CA"/>
    <w:rsid w:val="00FC7354"/>
    <w:rsid w:val="00FC735C"/>
    <w:rsid w:val="00FC736E"/>
    <w:rsid w:val="00FC751C"/>
    <w:rsid w:val="00FC7553"/>
    <w:rsid w:val="00FC75F2"/>
    <w:rsid w:val="00FC7605"/>
    <w:rsid w:val="00FC76B5"/>
    <w:rsid w:val="00FC7981"/>
    <w:rsid w:val="00FC7A02"/>
    <w:rsid w:val="00FC7BA5"/>
    <w:rsid w:val="00FC7C59"/>
    <w:rsid w:val="00FC7CCA"/>
    <w:rsid w:val="00FC7CF7"/>
    <w:rsid w:val="00FC7E47"/>
    <w:rsid w:val="00FC7EC2"/>
    <w:rsid w:val="00FD000F"/>
    <w:rsid w:val="00FD0064"/>
    <w:rsid w:val="00FD01FF"/>
    <w:rsid w:val="00FD0253"/>
    <w:rsid w:val="00FD0300"/>
    <w:rsid w:val="00FD069D"/>
    <w:rsid w:val="00FD0737"/>
    <w:rsid w:val="00FD089F"/>
    <w:rsid w:val="00FD09A7"/>
    <w:rsid w:val="00FD09F8"/>
    <w:rsid w:val="00FD0AE5"/>
    <w:rsid w:val="00FD0C98"/>
    <w:rsid w:val="00FD0D01"/>
    <w:rsid w:val="00FD0F0C"/>
    <w:rsid w:val="00FD12C3"/>
    <w:rsid w:val="00FD1375"/>
    <w:rsid w:val="00FD1494"/>
    <w:rsid w:val="00FD150A"/>
    <w:rsid w:val="00FD18D2"/>
    <w:rsid w:val="00FD1946"/>
    <w:rsid w:val="00FD1C3C"/>
    <w:rsid w:val="00FD1E7D"/>
    <w:rsid w:val="00FD1EFF"/>
    <w:rsid w:val="00FD1F47"/>
    <w:rsid w:val="00FD2108"/>
    <w:rsid w:val="00FD21DA"/>
    <w:rsid w:val="00FD2449"/>
    <w:rsid w:val="00FD2ACD"/>
    <w:rsid w:val="00FD2B24"/>
    <w:rsid w:val="00FD2BA5"/>
    <w:rsid w:val="00FD2CBD"/>
    <w:rsid w:val="00FD2DBD"/>
    <w:rsid w:val="00FD2F38"/>
    <w:rsid w:val="00FD3067"/>
    <w:rsid w:val="00FD3117"/>
    <w:rsid w:val="00FD31CA"/>
    <w:rsid w:val="00FD3265"/>
    <w:rsid w:val="00FD336E"/>
    <w:rsid w:val="00FD3553"/>
    <w:rsid w:val="00FD3580"/>
    <w:rsid w:val="00FD36F1"/>
    <w:rsid w:val="00FD385B"/>
    <w:rsid w:val="00FD3897"/>
    <w:rsid w:val="00FD38A3"/>
    <w:rsid w:val="00FD3949"/>
    <w:rsid w:val="00FD3ACF"/>
    <w:rsid w:val="00FD3F34"/>
    <w:rsid w:val="00FD41D9"/>
    <w:rsid w:val="00FD4307"/>
    <w:rsid w:val="00FD45FE"/>
    <w:rsid w:val="00FD46EC"/>
    <w:rsid w:val="00FD47B5"/>
    <w:rsid w:val="00FD4A4A"/>
    <w:rsid w:val="00FD4A6A"/>
    <w:rsid w:val="00FD4B67"/>
    <w:rsid w:val="00FD4C2A"/>
    <w:rsid w:val="00FD4C5E"/>
    <w:rsid w:val="00FD4C79"/>
    <w:rsid w:val="00FD4EA1"/>
    <w:rsid w:val="00FD4F86"/>
    <w:rsid w:val="00FD4FA6"/>
    <w:rsid w:val="00FD5194"/>
    <w:rsid w:val="00FD52F1"/>
    <w:rsid w:val="00FD5344"/>
    <w:rsid w:val="00FD5358"/>
    <w:rsid w:val="00FD5553"/>
    <w:rsid w:val="00FD55C7"/>
    <w:rsid w:val="00FD5690"/>
    <w:rsid w:val="00FD5721"/>
    <w:rsid w:val="00FD58F2"/>
    <w:rsid w:val="00FD5A3A"/>
    <w:rsid w:val="00FD5A4D"/>
    <w:rsid w:val="00FD5AB9"/>
    <w:rsid w:val="00FD5B66"/>
    <w:rsid w:val="00FD5C5E"/>
    <w:rsid w:val="00FD5D59"/>
    <w:rsid w:val="00FD5DAE"/>
    <w:rsid w:val="00FD5DB9"/>
    <w:rsid w:val="00FD610B"/>
    <w:rsid w:val="00FD63C9"/>
    <w:rsid w:val="00FD64B1"/>
    <w:rsid w:val="00FD66A2"/>
    <w:rsid w:val="00FD6721"/>
    <w:rsid w:val="00FD672B"/>
    <w:rsid w:val="00FD6783"/>
    <w:rsid w:val="00FD69F8"/>
    <w:rsid w:val="00FD6BDD"/>
    <w:rsid w:val="00FD6CE6"/>
    <w:rsid w:val="00FD6DD8"/>
    <w:rsid w:val="00FD6E8A"/>
    <w:rsid w:val="00FD6FF9"/>
    <w:rsid w:val="00FD70C1"/>
    <w:rsid w:val="00FD71AD"/>
    <w:rsid w:val="00FD735A"/>
    <w:rsid w:val="00FD73AE"/>
    <w:rsid w:val="00FD7429"/>
    <w:rsid w:val="00FD74DE"/>
    <w:rsid w:val="00FD75BC"/>
    <w:rsid w:val="00FD7660"/>
    <w:rsid w:val="00FD76EB"/>
    <w:rsid w:val="00FD7758"/>
    <w:rsid w:val="00FD77C4"/>
    <w:rsid w:val="00FD77D2"/>
    <w:rsid w:val="00FD77D5"/>
    <w:rsid w:val="00FD77EA"/>
    <w:rsid w:val="00FD786D"/>
    <w:rsid w:val="00FD79BB"/>
    <w:rsid w:val="00FD79C2"/>
    <w:rsid w:val="00FD79C7"/>
    <w:rsid w:val="00FD7CBE"/>
    <w:rsid w:val="00FD7D47"/>
    <w:rsid w:val="00FD7EF8"/>
    <w:rsid w:val="00FD7F6F"/>
    <w:rsid w:val="00FE01D5"/>
    <w:rsid w:val="00FE0231"/>
    <w:rsid w:val="00FE029E"/>
    <w:rsid w:val="00FE0860"/>
    <w:rsid w:val="00FE0948"/>
    <w:rsid w:val="00FE0A40"/>
    <w:rsid w:val="00FE0AA6"/>
    <w:rsid w:val="00FE0AE5"/>
    <w:rsid w:val="00FE0C33"/>
    <w:rsid w:val="00FE0D27"/>
    <w:rsid w:val="00FE0DBA"/>
    <w:rsid w:val="00FE100A"/>
    <w:rsid w:val="00FE1090"/>
    <w:rsid w:val="00FE1145"/>
    <w:rsid w:val="00FE1886"/>
    <w:rsid w:val="00FE1C2A"/>
    <w:rsid w:val="00FE1E15"/>
    <w:rsid w:val="00FE1F8B"/>
    <w:rsid w:val="00FE23C7"/>
    <w:rsid w:val="00FE24FA"/>
    <w:rsid w:val="00FE256A"/>
    <w:rsid w:val="00FE2664"/>
    <w:rsid w:val="00FE2675"/>
    <w:rsid w:val="00FE28C9"/>
    <w:rsid w:val="00FE29CE"/>
    <w:rsid w:val="00FE2AD7"/>
    <w:rsid w:val="00FE2ADF"/>
    <w:rsid w:val="00FE2D07"/>
    <w:rsid w:val="00FE2DD5"/>
    <w:rsid w:val="00FE2ED9"/>
    <w:rsid w:val="00FE341B"/>
    <w:rsid w:val="00FE372C"/>
    <w:rsid w:val="00FE3955"/>
    <w:rsid w:val="00FE3AA0"/>
    <w:rsid w:val="00FE3ACB"/>
    <w:rsid w:val="00FE3ACF"/>
    <w:rsid w:val="00FE404A"/>
    <w:rsid w:val="00FE415E"/>
    <w:rsid w:val="00FE4192"/>
    <w:rsid w:val="00FE4267"/>
    <w:rsid w:val="00FE4400"/>
    <w:rsid w:val="00FE45D0"/>
    <w:rsid w:val="00FE45FC"/>
    <w:rsid w:val="00FE4841"/>
    <w:rsid w:val="00FE48EB"/>
    <w:rsid w:val="00FE4953"/>
    <w:rsid w:val="00FE49B7"/>
    <w:rsid w:val="00FE4B20"/>
    <w:rsid w:val="00FE4BFA"/>
    <w:rsid w:val="00FE4D8A"/>
    <w:rsid w:val="00FE4D8B"/>
    <w:rsid w:val="00FE4DA5"/>
    <w:rsid w:val="00FE5041"/>
    <w:rsid w:val="00FE51FF"/>
    <w:rsid w:val="00FE5262"/>
    <w:rsid w:val="00FE526F"/>
    <w:rsid w:val="00FE5402"/>
    <w:rsid w:val="00FE544D"/>
    <w:rsid w:val="00FE570F"/>
    <w:rsid w:val="00FE5775"/>
    <w:rsid w:val="00FE5830"/>
    <w:rsid w:val="00FE58AC"/>
    <w:rsid w:val="00FE5A00"/>
    <w:rsid w:val="00FE5B34"/>
    <w:rsid w:val="00FE5B8D"/>
    <w:rsid w:val="00FE5E44"/>
    <w:rsid w:val="00FE5EDA"/>
    <w:rsid w:val="00FE602F"/>
    <w:rsid w:val="00FE61EB"/>
    <w:rsid w:val="00FE62C0"/>
    <w:rsid w:val="00FE62F8"/>
    <w:rsid w:val="00FE6392"/>
    <w:rsid w:val="00FE63B1"/>
    <w:rsid w:val="00FE646B"/>
    <w:rsid w:val="00FE6703"/>
    <w:rsid w:val="00FE6716"/>
    <w:rsid w:val="00FE67F3"/>
    <w:rsid w:val="00FE68D1"/>
    <w:rsid w:val="00FE6916"/>
    <w:rsid w:val="00FE6947"/>
    <w:rsid w:val="00FE69ED"/>
    <w:rsid w:val="00FE6B03"/>
    <w:rsid w:val="00FE6B72"/>
    <w:rsid w:val="00FE7057"/>
    <w:rsid w:val="00FE710E"/>
    <w:rsid w:val="00FE713D"/>
    <w:rsid w:val="00FE7243"/>
    <w:rsid w:val="00FE7447"/>
    <w:rsid w:val="00FE748C"/>
    <w:rsid w:val="00FE74B9"/>
    <w:rsid w:val="00FE7565"/>
    <w:rsid w:val="00FE7737"/>
    <w:rsid w:val="00FE7741"/>
    <w:rsid w:val="00FE775E"/>
    <w:rsid w:val="00FE7798"/>
    <w:rsid w:val="00FE7834"/>
    <w:rsid w:val="00FE78D4"/>
    <w:rsid w:val="00FE7B0F"/>
    <w:rsid w:val="00FE7CA9"/>
    <w:rsid w:val="00FE7D71"/>
    <w:rsid w:val="00FE7EFD"/>
    <w:rsid w:val="00FE7F82"/>
    <w:rsid w:val="00FF00A9"/>
    <w:rsid w:val="00FF019F"/>
    <w:rsid w:val="00FF029D"/>
    <w:rsid w:val="00FF039A"/>
    <w:rsid w:val="00FF04E8"/>
    <w:rsid w:val="00FF0966"/>
    <w:rsid w:val="00FF0A42"/>
    <w:rsid w:val="00FF0C52"/>
    <w:rsid w:val="00FF0D20"/>
    <w:rsid w:val="00FF0DCB"/>
    <w:rsid w:val="00FF0E97"/>
    <w:rsid w:val="00FF1040"/>
    <w:rsid w:val="00FF1405"/>
    <w:rsid w:val="00FF165A"/>
    <w:rsid w:val="00FF1734"/>
    <w:rsid w:val="00FF1771"/>
    <w:rsid w:val="00FF187E"/>
    <w:rsid w:val="00FF18CC"/>
    <w:rsid w:val="00FF18E8"/>
    <w:rsid w:val="00FF1CA5"/>
    <w:rsid w:val="00FF1D22"/>
    <w:rsid w:val="00FF1F90"/>
    <w:rsid w:val="00FF1FAF"/>
    <w:rsid w:val="00FF2073"/>
    <w:rsid w:val="00FF20A8"/>
    <w:rsid w:val="00FF226E"/>
    <w:rsid w:val="00FF22D7"/>
    <w:rsid w:val="00FF2417"/>
    <w:rsid w:val="00FF2554"/>
    <w:rsid w:val="00FF25C6"/>
    <w:rsid w:val="00FF278B"/>
    <w:rsid w:val="00FF27A1"/>
    <w:rsid w:val="00FF27D7"/>
    <w:rsid w:val="00FF29F2"/>
    <w:rsid w:val="00FF2B66"/>
    <w:rsid w:val="00FF2BB1"/>
    <w:rsid w:val="00FF2C8B"/>
    <w:rsid w:val="00FF3261"/>
    <w:rsid w:val="00FF3284"/>
    <w:rsid w:val="00FF3299"/>
    <w:rsid w:val="00FF3377"/>
    <w:rsid w:val="00FF34D6"/>
    <w:rsid w:val="00FF34DF"/>
    <w:rsid w:val="00FF356A"/>
    <w:rsid w:val="00FF35B6"/>
    <w:rsid w:val="00FF35EE"/>
    <w:rsid w:val="00FF3724"/>
    <w:rsid w:val="00FF3784"/>
    <w:rsid w:val="00FF389B"/>
    <w:rsid w:val="00FF3B25"/>
    <w:rsid w:val="00FF3B84"/>
    <w:rsid w:val="00FF3DDE"/>
    <w:rsid w:val="00FF3DE2"/>
    <w:rsid w:val="00FF3E6F"/>
    <w:rsid w:val="00FF3FA2"/>
    <w:rsid w:val="00FF3FF2"/>
    <w:rsid w:val="00FF404F"/>
    <w:rsid w:val="00FF424D"/>
    <w:rsid w:val="00FF4459"/>
    <w:rsid w:val="00FF4469"/>
    <w:rsid w:val="00FF454D"/>
    <w:rsid w:val="00FF47CF"/>
    <w:rsid w:val="00FF4812"/>
    <w:rsid w:val="00FF4816"/>
    <w:rsid w:val="00FF4985"/>
    <w:rsid w:val="00FF4AB7"/>
    <w:rsid w:val="00FF4B10"/>
    <w:rsid w:val="00FF4B33"/>
    <w:rsid w:val="00FF4E54"/>
    <w:rsid w:val="00FF4E72"/>
    <w:rsid w:val="00FF4EF1"/>
    <w:rsid w:val="00FF4F70"/>
    <w:rsid w:val="00FF5033"/>
    <w:rsid w:val="00FF50C0"/>
    <w:rsid w:val="00FF512B"/>
    <w:rsid w:val="00FF519E"/>
    <w:rsid w:val="00FF532B"/>
    <w:rsid w:val="00FF54AA"/>
    <w:rsid w:val="00FF5513"/>
    <w:rsid w:val="00FF554F"/>
    <w:rsid w:val="00FF5632"/>
    <w:rsid w:val="00FF59C3"/>
    <w:rsid w:val="00FF5C43"/>
    <w:rsid w:val="00FF5D00"/>
    <w:rsid w:val="00FF6017"/>
    <w:rsid w:val="00FF61FB"/>
    <w:rsid w:val="00FF636B"/>
    <w:rsid w:val="00FF64B9"/>
    <w:rsid w:val="00FF66BA"/>
    <w:rsid w:val="00FF66FD"/>
    <w:rsid w:val="00FF67BF"/>
    <w:rsid w:val="00FF682C"/>
    <w:rsid w:val="00FF68A6"/>
    <w:rsid w:val="00FF68CD"/>
    <w:rsid w:val="00FF6968"/>
    <w:rsid w:val="00FF6AE2"/>
    <w:rsid w:val="00FF6BB5"/>
    <w:rsid w:val="00FF6BB8"/>
    <w:rsid w:val="00FF6BF2"/>
    <w:rsid w:val="00FF6D13"/>
    <w:rsid w:val="00FF6D96"/>
    <w:rsid w:val="00FF6DEA"/>
    <w:rsid w:val="00FF6EE3"/>
    <w:rsid w:val="00FF6F33"/>
    <w:rsid w:val="00FF7038"/>
    <w:rsid w:val="00FF719C"/>
    <w:rsid w:val="00FF7238"/>
    <w:rsid w:val="00FF726F"/>
    <w:rsid w:val="00FF7306"/>
    <w:rsid w:val="00FF748A"/>
    <w:rsid w:val="00FF74C5"/>
    <w:rsid w:val="00FF7638"/>
    <w:rsid w:val="00FF7784"/>
    <w:rsid w:val="00FF778B"/>
    <w:rsid w:val="00FF7811"/>
    <w:rsid w:val="00FF78BA"/>
    <w:rsid w:val="00FF7BD1"/>
    <w:rsid w:val="00FF7D13"/>
    <w:rsid w:val="00FF7D8F"/>
    <w:rsid w:val="00FF7F10"/>
    <w:rsid w:val="00FF7FD5"/>
    <w:rsid w:val="00FF7FF6"/>
    <w:rsid w:val="0105DDA9"/>
    <w:rsid w:val="011F4B17"/>
    <w:rsid w:val="0124C497"/>
    <w:rsid w:val="012602DC"/>
    <w:rsid w:val="012D225C"/>
    <w:rsid w:val="0131D56A"/>
    <w:rsid w:val="0132B43A"/>
    <w:rsid w:val="013724F8"/>
    <w:rsid w:val="014212A4"/>
    <w:rsid w:val="0157DF18"/>
    <w:rsid w:val="016B670D"/>
    <w:rsid w:val="017A9A83"/>
    <w:rsid w:val="0188B2DC"/>
    <w:rsid w:val="0197041A"/>
    <w:rsid w:val="019B1FB5"/>
    <w:rsid w:val="01A30413"/>
    <w:rsid w:val="01B22E64"/>
    <w:rsid w:val="01B40934"/>
    <w:rsid w:val="01BC782E"/>
    <w:rsid w:val="01C3FCD1"/>
    <w:rsid w:val="01C564E6"/>
    <w:rsid w:val="01CB54D1"/>
    <w:rsid w:val="01D0EA44"/>
    <w:rsid w:val="01DF1A8C"/>
    <w:rsid w:val="01F61F5B"/>
    <w:rsid w:val="01FFD82A"/>
    <w:rsid w:val="02043850"/>
    <w:rsid w:val="021B5B33"/>
    <w:rsid w:val="021E76E8"/>
    <w:rsid w:val="02269EBF"/>
    <w:rsid w:val="02419249"/>
    <w:rsid w:val="0244FE4F"/>
    <w:rsid w:val="0252BB1F"/>
    <w:rsid w:val="0254C4ED"/>
    <w:rsid w:val="02583E48"/>
    <w:rsid w:val="0261A896"/>
    <w:rsid w:val="0268600C"/>
    <w:rsid w:val="02832C89"/>
    <w:rsid w:val="028507C0"/>
    <w:rsid w:val="0290366D"/>
    <w:rsid w:val="0293C354"/>
    <w:rsid w:val="0298D197"/>
    <w:rsid w:val="02B1F244"/>
    <w:rsid w:val="02B30837"/>
    <w:rsid w:val="02B3FA5D"/>
    <w:rsid w:val="02B5BF9B"/>
    <w:rsid w:val="02C38F65"/>
    <w:rsid w:val="02C68E0C"/>
    <w:rsid w:val="02CA5956"/>
    <w:rsid w:val="02CD1C15"/>
    <w:rsid w:val="02D39EFE"/>
    <w:rsid w:val="02E53411"/>
    <w:rsid w:val="02E6FABD"/>
    <w:rsid w:val="0301743E"/>
    <w:rsid w:val="0302783A"/>
    <w:rsid w:val="03063058"/>
    <w:rsid w:val="030AB61A"/>
    <w:rsid w:val="03177B20"/>
    <w:rsid w:val="0318685C"/>
    <w:rsid w:val="032C90C1"/>
    <w:rsid w:val="032D04C9"/>
    <w:rsid w:val="0332CE79"/>
    <w:rsid w:val="03392963"/>
    <w:rsid w:val="03424AA5"/>
    <w:rsid w:val="0342BC72"/>
    <w:rsid w:val="034B7507"/>
    <w:rsid w:val="034FEC34"/>
    <w:rsid w:val="0361B6E8"/>
    <w:rsid w:val="036E4213"/>
    <w:rsid w:val="03809BDC"/>
    <w:rsid w:val="0389A332"/>
    <w:rsid w:val="038DFF90"/>
    <w:rsid w:val="038F96C2"/>
    <w:rsid w:val="03AC9C5C"/>
    <w:rsid w:val="03B1477E"/>
    <w:rsid w:val="03BB7126"/>
    <w:rsid w:val="03BDDE95"/>
    <w:rsid w:val="03DB2279"/>
    <w:rsid w:val="03EFE6DB"/>
    <w:rsid w:val="03F07C4E"/>
    <w:rsid w:val="03F10FB2"/>
    <w:rsid w:val="03FBF552"/>
    <w:rsid w:val="0401393B"/>
    <w:rsid w:val="0405F58E"/>
    <w:rsid w:val="040E8D1E"/>
    <w:rsid w:val="0415FC92"/>
    <w:rsid w:val="041ECE0C"/>
    <w:rsid w:val="0433845E"/>
    <w:rsid w:val="043947A1"/>
    <w:rsid w:val="044F660D"/>
    <w:rsid w:val="0454F0F4"/>
    <w:rsid w:val="045B5F51"/>
    <w:rsid w:val="04641005"/>
    <w:rsid w:val="046DECAB"/>
    <w:rsid w:val="046E8D21"/>
    <w:rsid w:val="0472C910"/>
    <w:rsid w:val="047B190A"/>
    <w:rsid w:val="04802F0E"/>
    <w:rsid w:val="0482AC04"/>
    <w:rsid w:val="048B5604"/>
    <w:rsid w:val="0490C755"/>
    <w:rsid w:val="04922F95"/>
    <w:rsid w:val="04934887"/>
    <w:rsid w:val="04990549"/>
    <w:rsid w:val="049C2E08"/>
    <w:rsid w:val="04AEAC1B"/>
    <w:rsid w:val="04B1900F"/>
    <w:rsid w:val="04B2AD64"/>
    <w:rsid w:val="04B2B116"/>
    <w:rsid w:val="04B876BC"/>
    <w:rsid w:val="04C3AA98"/>
    <w:rsid w:val="04CB5B98"/>
    <w:rsid w:val="04CDDA33"/>
    <w:rsid w:val="04CF13C2"/>
    <w:rsid w:val="04D322AB"/>
    <w:rsid w:val="04D649AD"/>
    <w:rsid w:val="04D760CA"/>
    <w:rsid w:val="04D7F5FC"/>
    <w:rsid w:val="04E14651"/>
    <w:rsid w:val="04E42C34"/>
    <w:rsid w:val="04EF5B5F"/>
    <w:rsid w:val="04FD8489"/>
    <w:rsid w:val="050B16B4"/>
    <w:rsid w:val="05119E2A"/>
    <w:rsid w:val="0518DA0C"/>
    <w:rsid w:val="0519DA8C"/>
    <w:rsid w:val="051DC351"/>
    <w:rsid w:val="05201F75"/>
    <w:rsid w:val="052C4020"/>
    <w:rsid w:val="054126CF"/>
    <w:rsid w:val="05486613"/>
    <w:rsid w:val="0549D653"/>
    <w:rsid w:val="054B2473"/>
    <w:rsid w:val="054E706A"/>
    <w:rsid w:val="0550A411"/>
    <w:rsid w:val="055E7BD1"/>
    <w:rsid w:val="05629388"/>
    <w:rsid w:val="0564BF39"/>
    <w:rsid w:val="05659B07"/>
    <w:rsid w:val="0567D614"/>
    <w:rsid w:val="057A1791"/>
    <w:rsid w:val="058DEBA3"/>
    <w:rsid w:val="0594897A"/>
    <w:rsid w:val="059F5982"/>
    <w:rsid w:val="05A2745D"/>
    <w:rsid w:val="05A3C539"/>
    <w:rsid w:val="05A4E9B0"/>
    <w:rsid w:val="05AD6628"/>
    <w:rsid w:val="05AD8180"/>
    <w:rsid w:val="05B54933"/>
    <w:rsid w:val="05BF447B"/>
    <w:rsid w:val="05C360D7"/>
    <w:rsid w:val="05C3876B"/>
    <w:rsid w:val="05C8EDAB"/>
    <w:rsid w:val="05C91D6B"/>
    <w:rsid w:val="05C9452D"/>
    <w:rsid w:val="05D73FC0"/>
    <w:rsid w:val="05E78D9B"/>
    <w:rsid w:val="05ED3270"/>
    <w:rsid w:val="05EEF6C9"/>
    <w:rsid w:val="0611738B"/>
    <w:rsid w:val="062C5291"/>
    <w:rsid w:val="064755B5"/>
    <w:rsid w:val="064ADFF8"/>
    <w:rsid w:val="065D1E60"/>
    <w:rsid w:val="0662DB43"/>
    <w:rsid w:val="0669205A"/>
    <w:rsid w:val="0673739B"/>
    <w:rsid w:val="0674F321"/>
    <w:rsid w:val="067770F2"/>
    <w:rsid w:val="06784A08"/>
    <w:rsid w:val="06835B3E"/>
    <w:rsid w:val="0689E7BC"/>
    <w:rsid w:val="068F989A"/>
    <w:rsid w:val="06A39FCD"/>
    <w:rsid w:val="06AF7D0A"/>
    <w:rsid w:val="06C03CF3"/>
    <w:rsid w:val="06D116C6"/>
    <w:rsid w:val="06D4924C"/>
    <w:rsid w:val="06D4925D"/>
    <w:rsid w:val="06D64517"/>
    <w:rsid w:val="06E8CC7C"/>
    <w:rsid w:val="06E9D765"/>
    <w:rsid w:val="0705D674"/>
    <w:rsid w:val="07079FBC"/>
    <w:rsid w:val="0721E049"/>
    <w:rsid w:val="07248328"/>
    <w:rsid w:val="075093A6"/>
    <w:rsid w:val="0751E97D"/>
    <w:rsid w:val="0753E174"/>
    <w:rsid w:val="0757D7DA"/>
    <w:rsid w:val="07599A37"/>
    <w:rsid w:val="0759C4E0"/>
    <w:rsid w:val="0768A142"/>
    <w:rsid w:val="076B1AC8"/>
    <w:rsid w:val="076EEDDC"/>
    <w:rsid w:val="0773ACDE"/>
    <w:rsid w:val="077FB7FF"/>
    <w:rsid w:val="07A30B8D"/>
    <w:rsid w:val="07A9C2ED"/>
    <w:rsid w:val="07AAFB92"/>
    <w:rsid w:val="07AB09D0"/>
    <w:rsid w:val="07B5EDB1"/>
    <w:rsid w:val="07BB65C1"/>
    <w:rsid w:val="07BBF7B9"/>
    <w:rsid w:val="07C3DEAA"/>
    <w:rsid w:val="07C41197"/>
    <w:rsid w:val="07DCBB49"/>
    <w:rsid w:val="07FB3B23"/>
    <w:rsid w:val="080AC27E"/>
    <w:rsid w:val="080D81B4"/>
    <w:rsid w:val="080EB66D"/>
    <w:rsid w:val="0813050B"/>
    <w:rsid w:val="0818DE34"/>
    <w:rsid w:val="081F6B2B"/>
    <w:rsid w:val="082436CA"/>
    <w:rsid w:val="08275669"/>
    <w:rsid w:val="082F93B2"/>
    <w:rsid w:val="083A054E"/>
    <w:rsid w:val="083BBCA6"/>
    <w:rsid w:val="083E2151"/>
    <w:rsid w:val="0846FFA6"/>
    <w:rsid w:val="086779DB"/>
    <w:rsid w:val="0871C304"/>
    <w:rsid w:val="087D84B4"/>
    <w:rsid w:val="087F36E5"/>
    <w:rsid w:val="088823E4"/>
    <w:rsid w:val="088D8966"/>
    <w:rsid w:val="089490D3"/>
    <w:rsid w:val="089EE8EE"/>
    <w:rsid w:val="08A82CC8"/>
    <w:rsid w:val="08AF4BF3"/>
    <w:rsid w:val="08BF3D71"/>
    <w:rsid w:val="08C18B0A"/>
    <w:rsid w:val="08C62489"/>
    <w:rsid w:val="08D60C79"/>
    <w:rsid w:val="08D6F2C6"/>
    <w:rsid w:val="08E08737"/>
    <w:rsid w:val="08EC26F6"/>
    <w:rsid w:val="09036CDA"/>
    <w:rsid w:val="0905A17D"/>
    <w:rsid w:val="0905FF6A"/>
    <w:rsid w:val="0909158C"/>
    <w:rsid w:val="091C8272"/>
    <w:rsid w:val="0928C063"/>
    <w:rsid w:val="0929450C"/>
    <w:rsid w:val="0929FCD3"/>
    <w:rsid w:val="092C08A0"/>
    <w:rsid w:val="0944D828"/>
    <w:rsid w:val="094543EE"/>
    <w:rsid w:val="095301C1"/>
    <w:rsid w:val="095B058D"/>
    <w:rsid w:val="096A08B4"/>
    <w:rsid w:val="096E8C84"/>
    <w:rsid w:val="097A9AA8"/>
    <w:rsid w:val="097AAF96"/>
    <w:rsid w:val="097D7185"/>
    <w:rsid w:val="0989DF52"/>
    <w:rsid w:val="098D1C73"/>
    <w:rsid w:val="098EDD7C"/>
    <w:rsid w:val="09AE530F"/>
    <w:rsid w:val="09AEE23B"/>
    <w:rsid w:val="09D10431"/>
    <w:rsid w:val="09DF3560"/>
    <w:rsid w:val="09E62151"/>
    <w:rsid w:val="09E75E0A"/>
    <w:rsid w:val="09F0E85A"/>
    <w:rsid w:val="09FDA6DB"/>
    <w:rsid w:val="0A051D59"/>
    <w:rsid w:val="0A065A71"/>
    <w:rsid w:val="0A065B6A"/>
    <w:rsid w:val="0A1E4501"/>
    <w:rsid w:val="0A1FBA09"/>
    <w:rsid w:val="0A4AB201"/>
    <w:rsid w:val="0A51670B"/>
    <w:rsid w:val="0A561A33"/>
    <w:rsid w:val="0A5759E5"/>
    <w:rsid w:val="0A6105E9"/>
    <w:rsid w:val="0A792DB6"/>
    <w:rsid w:val="0A7FE67A"/>
    <w:rsid w:val="0A89B559"/>
    <w:rsid w:val="0A90E886"/>
    <w:rsid w:val="0A918E42"/>
    <w:rsid w:val="0A92A0A2"/>
    <w:rsid w:val="0A958CF1"/>
    <w:rsid w:val="0AAD7F26"/>
    <w:rsid w:val="0ADA8B75"/>
    <w:rsid w:val="0ADE53EC"/>
    <w:rsid w:val="0AE656ED"/>
    <w:rsid w:val="0AF18C44"/>
    <w:rsid w:val="0AF8F438"/>
    <w:rsid w:val="0B0C59FF"/>
    <w:rsid w:val="0B0F2C72"/>
    <w:rsid w:val="0B1A8045"/>
    <w:rsid w:val="0B26E5A5"/>
    <w:rsid w:val="0B2B0C2D"/>
    <w:rsid w:val="0B2DEEDE"/>
    <w:rsid w:val="0B340999"/>
    <w:rsid w:val="0B3E519C"/>
    <w:rsid w:val="0B48D2F8"/>
    <w:rsid w:val="0B491977"/>
    <w:rsid w:val="0B60175D"/>
    <w:rsid w:val="0B6724B6"/>
    <w:rsid w:val="0B697DDE"/>
    <w:rsid w:val="0B7CC990"/>
    <w:rsid w:val="0B84C40B"/>
    <w:rsid w:val="0B85129E"/>
    <w:rsid w:val="0B90FE89"/>
    <w:rsid w:val="0B980E96"/>
    <w:rsid w:val="0B9C6773"/>
    <w:rsid w:val="0BA1EFB5"/>
    <w:rsid w:val="0BA6A244"/>
    <w:rsid w:val="0BADD591"/>
    <w:rsid w:val="0BB314A2"/>
    <w:rsid w:val="0BC29FD2"/>
    <w:rsid w:val="0BC4C755"/>
    <w:rsid w:val="0BC5E6FF"/>
    <w:rsid w:val="0BCB6BA7"/>
    <w:rsid w:val="0BE6D948"/>
    <w:rsid w:val="0BFAB3BD"/>
    <w:rsid w:val="0BFDB040"/>
    <w:rsid w:val="0C08C2C6"/>
    <w:rsid w:val="0C0B0A32"/>
    <w:rsid w:val="0C2A1C8D"/>
    <w:rsid w:val="0C2DA7F7"/>
    <w:rsid w:val="0C327099"/>
    <w:rsid w:val="0C3A61B2"/>
    <w:rsid w:val="0C3E72D8"/>
    <w:rsid w:val="0C475513"/>
    <w:rsid w:val="0C4E46DF"/>
    <w:rsid w:val="0C53260C"/>
    <w:rsid w:val="0C62499C"/>
    <w:rsid w:val="0C6ACB04"/>
    <w:rsid w:val="0C6CB6D8"/>
    <w:rsid w:val="0C6E1A30"/>
    <w:rsid w:val="0C6FE49B"/>
    <w:rsid w:val="0C765FA4"/>
    <w:rsid w:val="0C7662DA"/>
    <w:rsid w:val="0C7FF2E5"/>
    <w:rsid w:val="0C87D739"/>
    <w:rsid w:val="0C881B64"/>
    <w:rsid w:val="0C883D95"/>
    <w:rsid w:val="0C96B317"/>
    <w:rsid w:val="0CA6AFD4"/>
    <w:rsid w:val="0CA976F1"/>
    <w:rsid w:val="0CADC4D1"/>
    <w:rsid w:val="0CB08F97"/>
    <w:rsid w:val="0CBFB319"/>
    <w:rsid w:val="0CBFFF92"/>
    <w:rsid w:val="0CC452D2"/>
    <w:rsid w:val="0CC9A124"/>
    <w:rsid w:val="0CCAAEF5"/>
    <w:rsid w:val="0CDB513A"/>
    <w:rsid w:val="0CE53AE6"/>
    <w:rsid w:val="0CE88AD7"/>
    <w:rsid w:val="0CF91525"/>
    <w:rsid w:val="0CF9464A"/>
    <w:rsid w:val="0D04B939"/>
    <w:rsid w:val="0D1E7C92"/>
    <w:rsid w:val="0D263BFE"/>
    <w:rsid w:val="0D2F5951"/>
    <w:rsid w:val="0D34C513"/>
    <w:rsid w:val="0D4B0F6E"/>
    <w:rsid w:val="0D55F9FF"/>
    <w:rsid w:val="0D575CB2"/>
    <w:rsid w:val="0D62AABC"/>
    <w:rsid w:val="0D645A21"/>
    <w:rsid w:val="0D64D677"/>
    <w:rsid w:val="0D77AF15"/>
    <w:rsid w:val="0D867530"/>
    <w:rsid w:val="0D8C68EA"/>
    <w:rsid w:val="0D8E0463"/>
    <w:rsid w:val="0D90DA21"/>
    <w:rsid w:val="0D9E314B"/>
    <w:rsid w:val="0DA20353"/>
    <w:rsid w:val="0DA210FC"/>
    <w:rsid w:val="0DBABFD8"/>
    <w:rsid w:val="0DBBCFED"/>
    <w:rsid w:val="0DC1A0D0"/>
    <w:rsid w:val="0DCB17ED"/>
    <w:rsid w:val="0DD83651"/>
    <w:rsid w:val="0DDDFBD2"/>
    <w:rsid w:val="0DEC9BB4"/>
    <w:rsid w:val="0E08A87D"/>
    <w:rsid w:val="0E09C1A5"/>
    <w:rsid w:val="0E11B0F1"/>
    <w:rsid w:val="0E14B016"/>
    <w:rsid w:val="0E3634EE"/>
    <w:rsid w:val="0E42CAB9"/>
    <w:rsid w:val="0E46F7A1"/>
    <w:rsid w:val="0E4772DF"/>
    <w:rsid w:val="0E495611"/>
    <w:rsid w:val="0E4D5313"/>
    <w:rsid w:val="0E511A48"/>
    <w:rsid w:val="0E55AE46"/>
    <w:rsid w:val="0E6486B3"/>
    <w:rsid w:val="0E6DCE62"/>
    <w:rsid w:val="0E7354D5"/>
    <w:rsid w:val="0E739FBB"/>
    <w:rsid w:val="0E78B6EF"/>
    <w:rsid w:val="0E83D21E"/>
    <w:rsid w:val="0E860372"/>
    <w:rsid w:val="0E8BC10A"/>
    <w:rsid w:val="0E8D9F78"/>
    <w:rsid w:val="0E97C636"/>
    <w:rsid w:val="0EB6D21A"/>
    <w:rsid w:val="0EBD9DBD"/>
    <w:rsid w:val="0ED31DE5"/>
    <w:rsid w:val="0EDF67A4"/>
    <w:rsid w:val="0EE533CB"/>
    <w:rsid w:val="0EFEA784"/>
    <w:rsid w:val="0F0546F0"/>
    <w:rsid w:val="0F17D1C9"/>
    <w:rsid w:val="0F19D99C"/>
    <w:rsid w:val="0F3CB61B"/>
    <w:rsid w:val="0F516B5D"/>
    <w:rsid w:val="0F69C03D"/>
    <w:rsid w:val="0F6ACDC4"/>
    <w:rsid w:val="0F73E0FC"/>
    <w:rsid w:val="0F76885E"/>
    <w:rsid w:val="0F77B635"/>
    <w:rsid w:val="0F792B6E"/>
    <w:rsid w:val="0F861571"/>
    <w:rsid w:val="0F8F2F09"/>
    <w:rsid w:val="0F94C9E1"/>
    <w:rsid w:val="0F9B6AB0"/>
    <w:rsid w:val="0FA2E66D"/>
    <w:rsid w:val="0FA38820"/>
    <w:rsid w:val="0FAA11A0"/>
    <w:rsid w:val="0FB0D1FA"/>
    <w:rsid w:val="0FB44C61"/>
    <w:rsid w:val="0FBAE02C"/>
    <w:rsid w:val="0FBB45FB"/>
    <w:rsid w:val="0FBBAB07"/>
    <w:rsid w:val="0FE48610"/>
    <w:rsid w:val="0FE65069"/>
    <w:rsid w:val="0FEC5A58"/>
    <w:rsid w:val="0FEDC7DE"/>
    <w:rsid w:val="0FF619F7"/>
    <w:rsid w:val="10145746"/>
    <w:rsid w:val="1015214D"/>
    <w:rsid w:val="10239BE6"/>
    <w:rsid w:val="102D124C"/>
    <w:rsid w:val="10314B63"/>
    <w:rsid w:val="1035A712"/>
    <w:rsid w:val="1040E178"/>
    <w:rsid w:val="104243AB"/>
    <w:rsid w:val="10442ACF"/>
    <w:rsid w:val="1057C931"/>
    <w:rsid w:val="1059DCE1"/>
    <w:rsid w:val="106E5044"/>
    <w:rsid w:val="1077FD33"/>
    <w:rsid w:val="1078DCCA"/>
    <w:rsid w:val="10848120"/>
    <w:rsid w:val="108804D8"/>
    <w:rsid w:val="1088E5BD"/>
    <w:rsid w:val="10A13C3E"/>
    <w:rsid w:val="10A52C9D"/>
    <w:rsid w:val="10A6A883"/>
    <w:rsid w:val="10BA3CB9"/>
    <w:rsid w:val="10C5BBED"/>
    <w:rsid w:val="10CBD404"/>
    <w:rsid w:val="10CFF160"/>
    <w:rsid w:val="10DBE7D7"/>
    <w:rsid w:val="10DC9750"/>
    <w:rsid w:val="10EDC990"/>
    <w:rsid w:val="10F856CC"/>
    <w:rsid w:val="10FAFE2D"/>
    <w:rsid w:val="1103D170"/>
    <w:rsid w:val="1106B0B4"/>
    <w:rsid w:val="1108CDCC"/>
    <w:rsid w:val="111203D4"/>
    <w:rsid w:val="11186DDB"/>
    <w:rsid w:val="111B213C"/>
    <w:rsid w:val="11202D7D"/>
    <w:rsid w:val="1135BC86"/>
    <w:rsid w:val="11464CBC"/>
    <w:rsid w:val="114C901C"/>
    <w:rsid w:val="115B9813"/>
    <w:rsid w:val="116EF85B"/>
    <w:rsid w:val="117EC9A8"/>
    <w:rsid w:val="117FFC2F"/>
    <w:rsid w:val="11883A18"/>
    <w:rsid w:val="1196CBF4"/>
    <w:rsid w:val="119E39FB"/>
    <w:rsid w:val="11B597CD"/>
    <w:rsid w:val="11C98801"/>
    <w:rsid w:val="11CB4CE5"/>
    <w:rsid w:val="11D24674"/>
    <w:rsid w:val="11D7FFC0"/>
    <w:rsid w:val="11D90D78"/>
    <w:rsid w:val="11DE22D2"/>
    <w:rsid w:val="11E4D46F"/>
    <w:rsid w:val="122DE0D1"/>
    <w:rsid w:val="1232A50A"/>
    <w:rsid w:val="1242AE47"/>
    <w:rsid w:val="1258FF02"/>
    <w:rsid w:val="125BD594"/>
    <w:rsid w:val="125EEC51"/>
    <w:rsid w:val="12660755"/>
    <w:rsid w:val="1266AC7E"/>
    <w:rsid w:val="1270B006"/>
    <w:rsid w:val="127FBFCA"/>
    <w:rsid w:val="12836265"/>
    <w:rsid w:val="12861934"/>
    <w:rsid w:val="1286764E"/>
    <w:rsid w:val="1288679F"/>
    <w:rsid w:val="12890CAF"/>
    <w:rsid w:val="128A5041"/>
    <w:rsid w:val="12A239EB"/>
    <w:rsid w:val="12A4F51A"/>
    <w:rsid w:val="12ACDC48"/>
    <w:rsid w:val="12B61797"/>
    <w:rsid w:val="12B929F6"/>
    <w:rsid w:val="12C8E424"/>
    <w:rsid w:val="12DD9AF9"/>
    <w:rsid w:val="12DEC989"/>
    <w:rsid w:val="1301AE69"/>
    <w:rsid w:val="130601B5"/>
    <w:rsid w:val="1318F894"/>
    <w:rsid w:val="1323DBF7"/>
    <w:rsid w:val="132CE62A"/>
    <w:rsid w:val="13380BB8"/>
    <w:rsid w:val="133FE61E"/>
    <w:rsid w:val="1341A471"/>
    <w:rsid w:val="1342C471"/>
    <w:rsid w:val="134683A9"/>
    <w:rsid w:val="1355AB8E"/>
    <w:rsid w:val="136C7ACF"/>
    <w:rsid w:val="13709EDB"/>
    <w:rsid w:val="1374C640"/>
    <w:rsid w:val="13756968"/>
    <w:rsid w:val="137A90A2"/>
    <w:rsid w:val="13978BC9"/>
    <w:rsid w:val="13B87B29"/>
    <w:rsid w:val="13C2FE19"/>
    <w:rsid w:val="13C61F76"/>
    <w:rsid w:val="13D03C63"/>
    <w:rsid w:val="140AEEC2"/>
    <w:rsid w:val="140C8C9C"/>
    <w:rsid w:val="142D52D9"/>
    <w:rsid w:val="14306F1B"/>
    <w:rsid w:val="1430A9D2"/>
    <w:rsid w:val="14417A9C"/>
    <w:rsid w:val="1449A65D"/>
    <w:rsid w:val="14605090"/>
    <w:rsid w:val="146166B9"/>
    <w:rsid w:val="146169C4"/>
    <w:rsid w:val="14654752"/>
    <w:rsid w:val="1474EAF0"/>
    <w:rsid w:val="1489FE0E"/>
    <w:rsid w:val="1491376B"/>
    <w:rsid w:val="149381F6"/>
    <w:rsid w:val="14A2F670"/>
    <w:rsid w:val="14B3FCA0"/>
    <w:rsid w:val="14C377C6"/>
    <w:rsid w:val="14C7959E"/>
    <w:rsid w:val="14C9F7C7"/>
    <w:rsid w:val="14D73115"/>
    <w:rsid w:val="14DCE397"/>
    <w:rsid w:val="14E64472"/>
    <w:rsid w:val="14E72147"/>
    <w:rsid w:val="14ED3EC0"/>
    <w:rsid w:val="14F57374"/>
    <w:rsid w:val="14F5FE27"/>
    <w:rsid w:val="1506C886"/>
    <w:rsid w:val="152D737A"/>
    <w:rsid w:val="15351B9A"/>
    <w:rsid w:val="153C783F"/>
    <w:rsid w:val="154E8647"/>
    <w:rsid w:val="155B9ED4"/>
    <w:rsid w:val="156ABB64"/>
    <w:rsid w:val="158360B1"/>
    <w:rsid w:val="1594B370"/>
    <w:rsid w:val="159508A4"/>
    <w:rsid w:val="15A4994F"/>
    <w:rsid w:val="15AD12AC"/>
    <w:rsid w:val="15B1A15D"/>
    <w:rsid w:val="15BA8DD0"/>
    <w:rsid w:val="15C26995"/>
    <w:rsid w:val="15D47883"/>
    <w:rsid w:val="15D837CD"/>
    <w:rsid w:val="15F43EC4"/>
    <w:rsid w:val="15FD6BC5"/>
    <w:rsid w:val="15FFD108"/>
    <w:rsid w:val="160C1285"/>
    <w:rsid w:val="161DD7E9"/>
    <w:rsid w:val="16248063"/>
    <w:rsid w:val="162D761E"/>
    <w:rsid w:val="163AB33D"/>
    <w:rsid w:val="1653239A"/>
    <w:rsid w:val="16582BB9"/>
    <w:rsid w:val="165ECA4F"/>
    <w:rsid w:val="16617FD1"/>
    <w:rsid w:val="1662241A"/>
    <w:rsid w:val="1666C86F"/>
    <w:rsid w:val="1674939B"/>
    <w:rsid w:val="1685DA7E"/>
    <w:rsid w:val="168CD6A5"/>
    <w:rsid w:val="168CFCF4"/>
    <w:rsid w:val="168E902B"/>
    <w:rsid w:val="1699DBAD"/>
    <w:rsid w:val="169AF3E7"/>
    <w:rsid w:val="16A79806"/>
    <w:rsid w:val="16BEDD5E"/>
    <w:rsid w:val="16CDD2D9"/>
    <w:rsid w:val="16D4DC00"/>
    <w:rsid w:val="16D6B496"/>
    <w:rsid w:val="16DC850A"/>
    <w:rsid w:val="16E98716"/>
    <w:rsid w:val="16FDD0D7"/>
    <w:rsid w:val="16FEF032"/>
    <w:rsid w:val="1711CF44"/>
    <w:rsid w:val="1714B9B1"/>
    <w:rsid w:val="171B8B8A"/>
    <w:rsid w:val="171D68A3"/>
    <w:rsid w:val="17286725"/>
    <w:rsid w:val="172BB2D0"/>
    <w:rsid w:val="172CB5EC"/>
    <w:rsid w:val="1730E466"/>
    <w:rsid w:val="17377142"/>
    <w:rsid w:val="1750A9AC"/>
    <w:rsid w:val="1756A4FD"/>
    <w:rsid w:val="1759640D"/>
    <w:rsid w:val="17648E80"/>
    <w:rsid w:val="17698C97"/>
    <w:rsid w:val="177F482E"/>
    <w:rsid w:val="178B5339"/>
    <w:rsid w:val="179757F8"/>
    <w:rsid w:val="17A77238"/>
    <w:rsid w:val="17A9D75D"/>
    <w:rsid w:val="17B3AEDC"/>
    <w:rsid w:val="17B6BF26"/>
    <w:rsid w:val="17BEE0C0"/>
    <w:rsid w:val="17C0FAED"/>
    <w:rsid w:val="17C7EFD2"/>
    <w:rsid w:val="17D0B464"/>
    <w:rsid w:val="17D20FBD"/>
    <w:rsid w:val="17DB66A1"/>
    <w:rsid w:val="17F43738"/>
    <w:rsid w:val="17F7898F"/>
    <w:rsid w:val="17FB2E1B"/>
    <w:rsid w:val="17FB98F2"/>
    <w:rsid w:val="18061AFF"/>
    <w:rsid w:val="180DB4A3"/>
    <w:rsid w:val="1818FBE4"/>
    <w:rsid w:val="181A7644"/>
    <w:rsid w:val="18223824"/>
    <w:rsid w:val="18296968"/>
    <w:rsid w:val="183BE366"/>
    <w:rsid w:val="183DF23D"/>
    <w:rsid w:val="183EAF12"/>
    <w:rsid w:val="184E5661"/>
    <w:rsid w:val="184E7636"/>
    <w:rsid w:val="1852B72F"/>
    <w:rsid w:val="1860B91B"/>
    <w:rsid w:val="1863858D"/>
    <w:rsid w:val="18662852"/>
    <w:rsid w:val="186ACA36"/>
    <w:rsid w:val="186E58CA"/>
    <w:rsid w:val="186F971D"/>
    <w:rsid w:val="187E9096"/>
    <w:rsid w:val="1882D2E8"/>
    <w:rsid w:val="18864CFD"/>
    <w:rsid w:val="1887A2E7"/>
    <w:rsid w:val="189117B5"/>
    <w:rsid w:val="1894203B"/>
    <w:rsid w:val="189546A8"/>
    <w:rsid w:val="189CD430"/>
    <w:rsid w:val="189DA3B7"/>
    <w:rsid w:val="189F42A2"/>
    <w:rsid w:val="18A3F8DC"/>
    <w:rsid w:val="18AC684A"/>
    <w:rsid w:val="18BBDE74"/>
    <w:rsid w:val="18BCA3A1"/>
    <w:rsid w:val="18D73ACE"/>
    <w:rsid w:val="18DE7170"/>
    <w:rsid w:val="18F3E376"/>
    <w:rsid w:val="1900B9C3"/>
    <w:rsid w:val="190D260D"/>
    <w:rsid w:val="190FF6B1"/>
    <w:rsid w:val="1915229D"/>
    <w:rsid w:val="191AE582"/>
    <w:rsid w:val="191E2682"/>
    <w:rsid w:val="1920969F"/>
    <w:rsid w:val="19343C31"/>
    <w:rsid w:val="193C61B2"/>
    <w:rsid w:val="193E55DA"/>
    <w:rsid w:val="193FBE33"/>
    <w:rsid w:val="195346CC"/>
    <w:rsid w:val="196AF4FE"/>
    <w:rsid w:val="196F92F6"/>
    <w:rsid w:val="1992B025"/>
    <w:rsid w:val="1994C69C"/>
    <w:rsid w:val="199F21BE"/>
    <w:rsid w:val="19A5C2D0"/>
    <w:rsid w:val="19ACFC6E"/>
    <w:rsid w:val="19B8F265"/>
    <w:rsid w:val="19BED9E1"/>
    <w:rsid w:val="19C57E2C"/>
    <w:rsid w:val="19C5D635"/>
    <w:rsid w:val="19CA49E1"/>
    <w:rsid w:val="19D9E54D"/>
    <w:rsid w:val="19DAA853"/>
    <w:rsid w:val="19DD7869"/>
    <w:rsid w:val="19DF70E9"/>
    <w:rsid w:val="19E535F0"/>
    <w:rsid w:val="19E5B605"/>
    <w:rsid w:val="19E99A2D"/>
    <w:rsid w:val="19F726F5"/>
    <w:rsid w:val="19F94843"/>
    <w:rsid w:val="1A018D70"/>
    <w:rsid w:val="1A0ABC32"/>
    <w:rsid w:val="1A0B7B4A"/>
    <w:rsid w:val="1A15AC45"/>
    <w:rsid w:val="1A179E99"/>
    <w:rsid w:val="1A2B6400"/>
    <w:rsid w:val="1A31F045"/>
    <w:rsid w:val="1A465DF1"/>
    <w:rsid w:val="1A476A1D"/>
    <w:rsid w:val="1A576443"/>
    <w:rsid w:val="1A614CD2"/>
    <w:rsid w:val="1A67419D"/>
    <w:rsid w:val="1A706E45"/>
    <w:rsid w:val="1A7CABFC"/>
    <w:rsid w:val="1A803C1C"/>
    <w:rsid w:val="1A823BE3"/>
    <w:rsid w:val="1A9361A0"/>
    <w:rsid w:val="1AA59507"/>
    <w:rsid w:val="1AA83EDD"/>
    <w:rsid w:val="1AA842F1"/>
    <w:rsid w:val="1AAB10D9"/>
    <w:rsid w:val="1AC007DB"/>
    <w:rsid w:val="1AD3721A"/>
    <w:rsid w:val="1ADABFE6"/>
    <w:rsid w:val="1AFDDD61"/>
    <w:rsid w:val="1B00055B"/>
    <w:rsid w:val="1B03808A"/>
    <w:rsid w:val="1B10801A"/>
    <w:rsid w:val="1B1661F1"/>
    <w:rsid w:val="1B181F44"/>
    <w:rsid w:val="1B22F975"/>
    <w:rsid w:val="1B2463C3"/>
    <w:rsid w:val="1B2B241A"/>
    <w:rsid w:val="1B387F5D"/>
    <w:rsid w:val="1B41AE1A"/>
    <w:rsid w:val="1B444A27"/>
    <w:rsid w:val="1B5284B3"/>
    <w:rsid w:val="1B64DD85"/>
    <w:rsid w:val="1B65BA4A"/>
    <w:rsid w:val="1B6DA288"/>
    <w:rsid w:val="1B7AA90B"/>
    <w:rsid w:val="1B7AC29C"/>
    <w:rsid w:val="1B7E2C8A"/>
    <w:rsid w:val="1B7E9196"/>
    <w:rsid w:val="1B8CF86B"/>
    <w:rsid w:val="1B93CC50"/>
    <w:rsid w:val="1BB1F681"/>
    <w:rsid w:val="1BB469F3"/>
    <w:rsid w:val="1BC272F7"/>
    <w:rsid w:val="1BDDDB97"/>
    <w:rsid w:val="1BEF6FC6"/>
    <w:rsid w:val="1BF1AFBA"/>
    <w:rsid w:val="1C105B72"/>
    <w:rsid w:val="1C18279A"/>
    <w:rsid w:val="1C2662C9"/>
    <w:rsid w:val="1C268177"/>
    <w:rsid w:val="1C29EF1F"/>
    <w:rsid w:val="1C2FC2AC"/>
    <w:rsid w:val="1C330F45"/>
    <w:rsid w:val="1C3F343C"/>
    <w:rsid w:val="1C44F469"/>
    <w:rsid w:val="1C57012D"/>
    <w:rsid w:val="1C64D31E"/>
    <w:rsid w:val="1C6693B7"/>
    <w:rsid w:val="1C79C31E"/>
    <w:rsid w:val="1C93E0BD"/>
    <w:rsid w:val="1C97295D"/>
    <w:rsid w:val="1C9D62AD"/>
    <w:rsid w:val="1CB13A6C"/>
    <w:rsid w:val="1CB21422"/>
    <w:rsid w:val="1CB787A6"/>
    <w:rsid w:val="1CBA9D7B"/>
    <w:rsid w:val="1CC86968"/>
    <w:rsid w:val="1CD1FD69"/>
    <w:rsid w:val="1CD7EED1"/>
    <w:rsid w:val="1CD9B1D2"/>
    <w:rsid w:val="1CDD9AF2"/>
    <w:rsid w:val="1CFFF690"/>
    <w:rsid w:val="1D04ECE4"/>
    <w:rsid w:val="1D2BBE56"/>
    <w:rsid w:val="1D2F536F"/>
    <w:rsid w:val="1D4B7559"/>
    <w:rsid w:val="1D4DA692"/>
    <w:rsid w:val="1D57D3D8"/>
    <w:rsid w:val="1D59711F"/>
    <w:rsid w:val="1D5A0449"/>
    <w:rsid w:val="1D61AE77"/>
    <w:rsid w:val="1D69C57F"/>
    <w:rsid w:val="1D6D46CA"/>
    <w:rsid w:val="1D8434FE"/>
    <w:rsid w:val="1D8C8A35"/>
    <w:rsid w:val="1D98B1CC"/>
    <w:rsid w:val="1D9ACA5F"/>
    <w:rsid w:val="1D9C57B7"/>
    <w:rsid w:val="1DA2BB05"/>
    <w:rsid w:val="1DC4E41A"/>
    <w:rsid w:val="1DC6C196"/>
    <w:rsid w:val="1DC84012"/>
    <w:rsid w:val="1DE01C68"/>
    <w:rsid w:val="1DECB1C2"/>
    <w:rsid w:val="1DF06F21"/>
    <w:rsid w:val="1DF80D02"/>
    <w:rsid w:val="1E06BA67"/>
    <w:rsid w:val="1E107B7A"/>
    <w:rsid w:val="1E16B57C"/>
    <w:rsid w:val="1E179AB0"/>
    <w:rsid w:val="1E26A0A7"/>
    <w:rsid w:val="1E3C3079"/>
    <w:rsid w:val="1E58D56A"/>
    <w:rsid w:val="1E7D734E"/>
    <w:rsid w:val="1E992851"/>
    <w:rsid w:val="1EAA19F6"/>
    <w:rsid w:val="1EAA3DA0"/>
    <w:rsid w:val="1EC0FBC8"/>
    <w:rsid w:val="1ED9071E"/>
    <w:rsid w:val="1EDF12AE"/>
    <w:rsid w:val="1EE6A729"/>
    <w:rsid w:val="1EEAF65B"/>
    <w:rsid w:val="1EF3CD31"/>
    <w:rsid w:val="1EF79ABC"/>
    <w:rsid w:val="1F0484D5"/>
    <w:rsid w:val="1F1F3D8E"/>
    <w:rsid w:val="1F20FC6A"/>
    <w:rsid w:val="1F22912D"/>
    <w:rsid w:val="1F2A1254"/>
    <w:rsid w:val="1F31DFE1"/>
    <w:rsid w:val="1F3DE0D8"/>
    <w:rsid w:val="1F6AAA79"/>
    <w:rsid w:val="1F6D0169"/>
    <w:rsid w:val="1F6F40AE"/>
    <w:rsid w:val="1F71659C"/>
    <w:rsid w:val="1F747DD9"/>
    <w:rsid w:val="1F7955D0"/>
    <w:rsid w:val="1FA68E38"/>
    <w:rsid w:val="1FAE41F2"/>
    <w:rsid w:val="1FB1017B"/>
    <w:rsid w:val="1FB17F46"/>
    <w:rsid w:val="1FB961DA"/>
    <w:rsid w:val="1FBD2AF4"/>
    <w:rsid w:val="1FC52F51"/>
    <w:rsid w:val="1FC9F4C6"/>
    <w:rsid w:val="1FCB4FAC"/>
    <w:rsid w:val="1FCC4697"/>
    <w:rsid w:val="1FD9CE0A"/>
    <w:rsid w:val="1FDBFEA4"/>
    <w:rsid w:val="1FE204E3"/>
    <w:rsid w:val="1FEA8DD1"/>
    <w:rsid w:val="1FEAE036"/>
    <w:rsid w:val="1FF9C3E4"/>
    <w:rsid w:val="1FFE311C"/>
    <w:rsid w:val="20062AD2"/>
    <w:rsid w:val="2018A4D3"/>
    <w:rsid w:val="201E0693"/>
    <w:rsid w:val="2027A5F9"/>
    <w:rsid w:val="202D6AB8"/>
    <w:rsid w:val="202F179B"/>
    <w:rsid w:val="20358B82"/>
    <w:rsid w:val="20376313"/>
    <w:rsid w:val="20376B76"/>
    <w:rsid w:val="20412599"/>
    <w:rsid w:val="2043DB5E"/>
    <w:rsid w:val="2051E01C"/>
    <w:rsid w:val="20544157"/>
    <w:rsid w:val="20564550"/>
    <w:rsid w:val="206EE7BB"/>
    <w:rsid w:val="20758A8D"/>
    <w:rsid w:val="207D1191"/>
    <w:rsid w:val="2083F0DD"/>
    <w:rsid w:val="20853307"/>
    <w:rsid w:val="20889428"/>
    <w:rsid w:val="208F14BF"/>
    <w:rsid w:val="209233EB"/>
    <w:rsid w:val="20A1C8E2"/>
    <w:rsid w:val="20AAB65B"/>
    <w:rsid w:val="20AB4E27"/>
    <w:rsid w:val="20B8A188"/>
    <w:rsid w:val="20CC9F9C"/>
    <w:rsid w:val="20CD233E"/>
    <w:rsid w:val="20D0D80E"/>
    <w:rsid w:val="20D88CA9"/>
    <w:rsid w:val="20E5F704"/>
    <w:rsid w:val="20EC055B"/>
    <w:rsid w:val="20F98E7B"/>
    <w:rsid w:val="21056821"/>
    <w:rsid w:val="210B2149"/>
    <w:rsid w:val="210B544E"/>
    <w:rsid w:val="210F9F64"/>
    <w:rsid w:val="211113F1"/>
    <w:rsid w:val="21143B78"/>
    <w:rsid w:val="2117DC38"/>
    <w:rsid w:val="211FCA18"/>
    <w:rsid w:val="212517E2"/>
    <w:rsid w:val="212DE316"/>
    <w:rsid w:val="2136C6FF"/>
    <w:rsid w:val="213CA4C7"/>
    <w:rsid w:val="214D540E"/>
    <w:rsid w:val="21525C33"/>
    <w:rsid w:val="21557B68"/>
    <w:rsid w:val="216F3BE6"/>
    <w:rsid w:val="2191392B"/>
    <w:rsid w:val="21935EDF"/>
    <w:rsid w:val="2198FC01"/>
    <w:rsid w:val="21B2238B"/>
    <w:rsid w:val="21BA8788"/>
    <w:rsid w:val="21C1F90C"/>
    <w:rsid w:val="21D1FAA4"/>
    <w:rsid w:val="21D2B126"/>
    <w:rsid w:val="21D59DA2"/>
    <w:rsid w:val="21DAFC52"/>
    <w:rsid w:val="21EB39E0"/>
    <w:rsid w:val="21EDB240"/>
    <w:rsid w:val="21F927F8"/>
    <w:rsid w:val="22022585"/>
    <w:rsid w:val="220226CF"/>
    <w:rsid w:val="22102651"/>
    <w:rsid w:val="2210F9BE"/>
    <w:rsid w:val="222950FB"/>
    <w:rsid w:val="223955B3"/>
    <w:rsid w:val="223E1D7E"/>
    <w:rsid w:val="22436E43"/>
    <w:rsid w:val="224E6931"/>
    <w:rsid w:val="224F221C"/>
    <w:rsid w:val="225B6EE0"/>
    <w:rsid w:val="2263B4AD"/>
    <w:rsid w:val="2266BC2F"/>
    <w:rsid w:val="226BF333"/>
    <w:rsid w:val="226DF2F1"/>
    <w:rsid w:val="226E03F0"/>
    <w:rsid w:val="2284E1AA"/>
    <w:rsid w:val="22876161"/>
    <w:rsid w:val="228F00F5"/>
    <w:rsid w:val="2296690F"/>
    <w:rsid w:val="22A135C1"/>
    <w:rsid w:val="22A90AFF"/>
    <w:rsid w:val="22AC6F5A"/>
    <w:rsid w:val="22AFA5FE"/>
    <w:rsid w:val="22B92A50"/>
    <w:rsid w:val="22D44A50"/>
    <w:rsid w:val="22D713EE"/>
    <w:rsid w:val="22DBD3B2"/>
    <w:rsid w:val="22DCD43F"/>
    <w:rsid w:val="22E13007"/>
    <w:rsid w:val="22E85AED"/>
    <w:rsid w:val="22EB4EDA"/>
    <w:rsid w:val="22EFA2AE"/>
    <w:rsid w:val="22F97063"/>
    <w:rsid w:val="22FC7491"/>
    <w:rsid w:val="231399F6"/>
    <w:rsid w:val="231AF6CE"/>
    <w:rsid w:val="2322BA3E"/>
    <w:rsid w:val="232DE8AE"/>
    <w:rsid w:val="2334638F"/>
    <w:rsid w:val="233C5CAA"/>
    <w:rsid w:val="2348E308"/>
    <w:rsid w:val="234F22B2"/>
    <w:rsid w:val="23581B1B"/>
    <w:rsid w:val="235F58BF"/>
    <w:rsid w:val="23637AB2"/>
    <w:rsid w:val="23696E36"/>
    <w:rsid w:val="236DBE51"/>
    <w:rsid w:val="236EA24C"/>
    <w:rsid w:val="2375491B"/>
    <w:rsid w:val="23861AF3"/>
    <w:rsid w:val="23957B2D"/>
    <w:rsid w:val="23A3A431"/>
    <w:rsid w:val="23BEE780"/>
    <w:rsid w:val="23C0B6F7"/>
    <w:rsid w:val="23CF8B16"/>
    <w:rsid w:val="23D17CDB"/>
    <w:rsid w:val="23D34D96"/>
    <w:rsid w:val="23E61556"/>
    <w:rsid w:val="23EBA975"/>
    <w:rsid w:val="23F1C2CC"/>
    <w:rsid w:val="23F8E9E8"/>
    <w:rsid w:val="23F99241"/>
    <w:rsid w:val="24034AEB"/>
    <w:rsid w:val="2412C463"/>
    <w:rsid w:val="241C4CC6"/>
    <w:rsid w:val="242CCC04"/>
    <w:rsid w:val="242D5EB6"/>
    <w:rsid w:val="2430B794"/>
    <w:rsid w:val="24349902"/>
    <w:rsid w:val="2447E898"/>
    <w:rsid w:val="244B8BF5"/>
    <w:rsid w:val="244CD2AA"/>
    <w:rsid w:val="244E2B30"/>
    <w:rsid w:val="24517AA8"/>
    <w:rsid w:val="24572A98"/>
    <w:rsid w:val="2461D9B3"/>
    <w:rsid w:val="2462F3F4"/>
    <w:rsid w:val="24773D3D"/>
    <w:rsid w:val="24794F1D"/>
    <w:rsid w:val="247ED551"/>
    <w:rsid w:val="24868EA3"/>
    <w:rsid w:val="248747DD"/>
    <w:rsid w:val="24970EE2"/>
    <w:rsid w:val="24AD4090"/>
    <w:rsid w:val="24B43D89"/>
    <w:rsid w:val="24BC430B"/>
    <w:rsid w:val="24C3D2DA"/>
    <w:rsid w:val="24D8ADA8"/>
    <w:rsid w:val="24DB12F5"/>
    <w:rsid w:val="24E91DD5"/>
    <w:rsid w:val="24F43174"/>
    <w:rsid w:val="250ED23F"/>
    <w:rsid w:val="2528B642"/>
    <w:rsid w:val="25381693"/>
    <w:rsid w:val="2557F4EF"/>
    <w:rsid w:val="256DFABA"/>
    <w:rsid w:val="257932C7"/>
    <w:rsid w:val="257E1F9A"/>
    <w:rsid w:val="258F3997"/>
    <w:rsid w:val="258F3CFF"/>
    <w:rsid w:val="2594D81F"/>
    <w:rsid w:val="2595501A"/>
    <w:rsid w:val="25B5BC51"/>
    <w:rsid w:val="25BD07CC"/>
    <w:rsid w:val="25C0A28D"/>
    <w:rsid w:val="25D65D4D"/>
    <w:rsid w:val="25E56D08"/>
    <w:rsid w:val="25EA86DD"/>
    <w:rsid w:val="25EAAD5F"/>
    <w:rsid w:val="25EBBE61"/>
    <w:rsid w:val="25F570B0"/>
    <w:rsid w:val="26049198"/>
    <w:rsid w:val="2606087C"/>
    <w:rsid w:val="260D2548"/>
    <w:rsid w:val="2615DA68"/>
    <w:rsid w:val="261CB947"/>
    <w:rsid w:val="26272541"/>
    <w:rsid w:val="262AEA9E"/>
    <w:rsid w:val="263CF9BA"/>
    <w:rsid w:val="264B67C4"/>
    <w:rsid w:val="264DBDD5"/>
    <w:rsid w:val="265AE82E"/>
    <w:rsid w:val="267DD30C"/>
    <w:rsid w:val="2686F87C"/>
    <w:rsid w:val="269893EA"/>
    <w:rsid w:val="26A514AC"/>
    <w:rsid w:val="26BF2371"/>
    <w:rsid w:val="26C2A38B"/>
    <w:rsid w:val="26DE1AEF"/>
    <w:rsid w:val="26DEEBFF"/>
    <w:rsid w:val="26E8B4BA"/>
    <w:rsid w:val="26F222E5"/>
    <w:rsid w:val="26F3AA0C"/>
    <w:rsid w:val="26FCACD2"/>
    <w:rsid w:val="270BEBB5"/>
    <w:rsid w:val="27117174"/>
    <w:rsid w:val="27169362"/>
    <w:rsid w:val="2721093F"/>
    <w:rsid w:val="2743EDE0"/>
    <w:rsid w:val="27457780"/>
    <w:rsid w:val="27469FE2"/>
    <w:rsid w:val="274FF900"/>
    <w:rsid w:val="2753169A"/>
    <w:rsid w:val="2760D4EC"/>
    <w:rsid w:val="276B7E66"/>
    <w:rsid w:val="278B055C"/>
    <w:rsid w:val="278B570A"/>
    <w:rsid w:val="27A03A9B"/>
    <w:rsid w:val="27A115A5"/>
    <w:rsid w:val="27BA8D0B"/>
    <w:rsid w:val="27BDD170"/>
    <w:rsid w:val="27D27BF6"/>
    <w:rsid w:val="27E5DA85"/>
    <w:rsid w:val="27E7357C"/>
    <w:rsid w:val="27F9EEF4"/>
    <w:rsid w:val="28162941"/>
    <w:rsid w:val="28187E7B"/>
    <w:rsid w:val="2825A800"/>
    <w:rsid w:val="282C9EAC"/>
    <w:rsid w:val="2833461B"/>
    <w:rsid w:val="283E7B9F"/>
    <w:rsid w:val="283EE9A0"/>
    <w:rsid w:val="28435DD5"/>
    <w:rsid w:val="28484164"/>
    <w:rsid w:val="2854847A"/>
    <w:rsid w:val="28560BF2"/>
    <w:rsid w:val="285DC8E4"/>
    <w:rsid w:val="2862D1B1"/>
    <w:rsid w:val="2868200E"/>
    <w:rsid w:val="288634A7"/>
    <w:rsid w:val="2888FFD4"/>
    <w:rsid w:val="28CB4467"/>
    <w:rsid w:val="28D227DF"/>
    <w:rsid w:val="28D7FDAE"/>
    <w:rsid w:val="28F1A435"/>
    <w:rsid w:val="29133E2F"/>
    <w:rsid w:val="2915B2F8"/>
    <w:rsid w:val="29160418"/>
    <w:rsid w:val="291ABB74"/>
    <w:rsid w:val="291D637F"/>
    <w:rsid w:val="292D79F4"/>
    <w:rsid w:val="2944B77E"/>
    <w:rsid w:val="29507177"/>
    <w:rsid w:val="295F906E"/>
    <w:rsid w:val="29654454"/>
    <w:rsid w:val="2978C4B3"/>
    <w:rsid w:val="29823109"/>
    <w:rsid w:val="298275E3"/>
    <w:rsid w:val="2985AC84"/>
    <w:rsid w:val="2992E193"/>
    <w:rsid w:val="29A5A2D7"/>
    <w:rsid w:val="29B3B09B"/>
    <w:rsid w:val="29B61446"/>
    <w:rsid w:val="29C3612D"/>
    <w:rsid w:val="29C5F69B"/>
    <w:rsid w:val="29C64075"/>
    <w:rsid w:val="29E0AFB0"/>
    <w:rsid w:val="29EAFEA6"/>
    <w:rsid w:val="29F42727"/>
    <w:rsid w:val="2A0238A4"/>
    <w:rsid w:val="2A19FB85"/>
    <w:rsid w:val="2A1B9180"/>
    <w:rsid w:val="2A3F8113"/>
    <w:rsid w:val="2A509174"/>
    <w:rsid w:val="2A581401"/>
    <w:rsid w:val="2A59317A"/>
    <w:rsid w:val="2A5F8B27"/>
    <w:rsid w:val="2A618BD8"/>
    <w:rsid w:val="2A6BF335"/>
    <w:rsid w:val="2A714938"/>
    <w:rsid w:val="2A76A25E"/>
    <w:rsid w:val="2A77A24A"/>
    <w:rsid w:val="2A7EE391"/>
    <w:rsid w:val="2A8EFFA9"/>
    <w:rsid w:val="2A8F11DF"/>
    <w:rsid w:val="2A96E91B"/>
    <w:rsid w:val="2A9EABFC"/>
    <w:rsid w:val="2AA1F0D9"/>
    <w:rsid w:val="2AB7375D"/>
    <w:rsid w:val="2AB9A7D2"/>
    <w:rsid w:val="2ABBF484"/>
    <w:rsid w:val="2ABD885B"/>
    <w:rsid w:val="2AC180DE"/>
    <w:rsid w:val="2AC53FE3"/>
    <w:rsid w:val="2ADFE1E4"/>
    <w:rsid w:val="2AF1A1AD"/>
    <w:rsid w:val="2AFD8800"/>
    <w:rsid w:val="2B0533AA"/>
    <w:rsid w:val="2B1374CA"/>
    <w:rsid w:val="2B1D336E"/>
    <w:rsid w:val="2B203A7E"/>
    <w:rsid w:val="2B22901E"/>
    <w:rsid w:val="2B2F1CFD"/>
    <w:rsid w:val="2B431559"/>
    <w:rsid w:val="2B499E0D"/>
    <w:rsid w:val="2B4C4680"/>
    <w:rsid w:val="2B567881"/>
    <w:rsid w:val="2B5BDC1C"/>
    <w:rsid w:val="2B5C70E6"/>
    <w:rsid w:val="2B6B29DB"/>
    <w:rsid w:val="2B751E8A"/>
    <w:rsid w:val="2B9ABFA6"/>
    <w:rsid w:val="2B9CAE42"/>
    <w:rsid w:val="2B9EEAC8"/>
    <w:rsid w:val="2BB7383C"/>
    <w:rsid w:val="2BCBCCED"/>
    <w:rsid w:val="2BCC421A"/>
    <w:rsid w:val="2BCD7975"/>
    <w:rsid w:val="2BCF3DF6"/>
    <w:rsid w:val="2BCFF2F7"/>
    <w:rsid w:val="2BDD2ACF"/>
    <w:rsid w:val="2BDD7DAC"/>
    <w:rsid w:val="2BE5132A"/>
    <w:rsid w:val="2BF85EF7"/>
    <w:rsid w:val="2C06B344"/>
    <w:rsid w:val="2C15D1C6"/>
    <w:rsid w:val="2C1D15DF"/>
    <w:rsid w:val="2C2178EF"/>
    <w:rsid w:val="2C27D1EA"/>
    <w:rsid w:val="2C2BA590"/>
    <w:rsid w:val="2C38F270"/>
    <w:rsid w:val="2C3E1C57"/>
    <w:rsid w:val="2C49396A"/>
    <w:rsid w:val="2C4A726E"/>
    <w:rsid w:val="2C6002BE"/>
    <w:rsid w:val="2C67FED7"/>
    <w:rsid w:val="2C6C0AD0"/>
    <w:rsid w:val="2C996883"/>
    <w:rsid w:val="2C9EBD89"/>
    <w:rsid w:val="2CA39ACE"/>
    <w:rsid w:val="2CA887DB"/>
    <w:rsid w:val="2CB00A62"/>
    <w:rsid w:val="2CB16445"/>
    <w:rsid w:val="2CB184E0"/>
    <w:rsid w:val="2CB910A5"/>
    <w:rsid w:val="2CBB62EB"/>
    <w:rsid w:val="2CC16E10"/>
    <w:rsid w:val="2CC58AEC"/>
    <w:rsid w:val="2CC605BD"/>
    <w:rsid w:val="2CD1C0D1"/>
    <w:rsid w:val="2CD22FEA"/>
    <w:rsid w:val="2CF65B3C"/>
    <w:rsid w:val="2D05D7D3"/>
    <w:rsid w:val="2D17C768"/>
    <w:rsid w:val="2D1E431C"/>
    <w:rsid w:val="2D2664FF"/>
    <w:rsid w:val="2D2EEF13"/>
    <w:rsid w:val="2D316C98"/>
    <w:rsid w:val="2D40EB5B"/>
    <w:rsid w:val="2D4C6359"/>
    <w:rsid w:val="2D537210"/>
    <w:rsid w:val="2D5F0C84"/>
    <w:rsid w:val="2D656305"/>
    <w:rsid w:val="2D6724A1"/>
    <w:rsid w:val="2D76D7CF"/>
    <w:rsid w:val="2D7DEEC8"/>
    <w:rsid w:val="2D86AB56"/>
    <w:rsid w:val="2D948993"/>
    <w:rsid w:val="2D9F1D76"/>
    <w:rsid w:val="2DA3E414"/>
    <w:rsid w:val="2DA9E4EF"/>
    <w:rsid w:val="2DAC7301"/>
    <w:rsid w:val="2DAD7200"/>
    <w:rsid w:val="2DADFD35"/>
    <w:rsid w:val="2DBC4A39"/>
    <w:rsid w:val="2DBDA2BA"/>
    <w:rsid w:val="2DC6E926"/>
    <w:rsid w:val="2DE581BF"/>
    <w:rsid w:val="2DE9FDD0"/>
    <w:rsid w:val="2E039D93"/>
    <w:rsid w:val="2E081066"/>
    <w:rsid w:val="2E0B1B9E"/>
    <w:rsid w:val="2E10E203"/>
    <w:rsid w:val="2E196629"/>
    <w:rsid w:val="2E23E961"/>
    <w:rsid w:val="2E36B5C6"/>
    <w:rsid w:val="2E39F0FE"/>
    <w:rsid w:val="2E3DC9DB"/>
    <w:rsid w:val="2E418E6A"/>
    <w:rsid w:val="2E44344F"/>
    <w:rsid w:val="2E4B86C6"/>
    <w:rsid w:val="2E4C1DBE"/>
    <w:rsid w:val="2E5222D0"/>
    <w:rsid w:val="2E5EFE87"/>
    <w:rsid w:val="2E7BF319"/>
    <w:rsid w:val="2E833181"/>
    <w:rsid w:val="2E9AFAE9"/>
    <w:rsid w:val="2E9B0605"/>
    <w:rsid w:val="2E9C17BF"/>
    <w:rsid w:val="2E9D9A7D"/>
    <w:rsid w:val="2E9E7E08"/>
    <w:rsid w:val="2EACAC94"/>
    <w:rsid w:val="2EB32F95"/>
    <w:rsid w:val="2ED932E3"/>
    <w:rsid w:val="2EDAF03D"/>
    <w:rsid w:val="2EDD83DD"/>
    <w:rsid w:val="2EE01904"/>
    <w:rsid w:val="2EEDD031"/>
    <w:rsid w:val="2EEEC6AF"/>
    <w:rsid w:val="2EF73013"/>
    <w:rsid w:val="2EFB52E5"/>
    <w:rsid w:val="2F039106"/>
    <w:rsid w:val="2F08F23A"/>
    <w:rsid w:val="2F319573"/>
    <w:rsid w:val="2F33EA58"/>
    <w:rsid w:val="2F459E3D"/>
    <w:rsid w:val="2F4AA995"/>
    <w:rsid w:val="2F4B5DB7"/>
    <w:rsid w:val="2F70DB25"/>
    <w:rsid w:val="2F776B58"/>
    <w:rsid w:val="2F7C0337"/>
    <w:rsid w:val="2F8B9589"/>
    <w:rsid w:val="2FA2DB2D"/>
    <w:rsid w:val="2FA84F3C"/>
    <w:rsid w:val="2FC0B8A4"/>
    <w:rsid w:val="2FD02740"/>
    <w:rsid w:val="2FD2491B"/>
    <w:rsid w:val="2FDFD8B2"/>
    <w:rsid w:val="2FE139FD"/>
    <w:rsid w:val="2FF0800B"/>
    <w:rsid w:val="2FFA3E99"/>
    <w:rsid w:val="30041E46"/>
    <w:rsid w:val="301193D7"/>
    <w:rsid w:val="3019AD24"/>
    <w:rsid w:val="301C76C0"/>
    <w:rsid w:val="30258028"/>
    <w:rsid w:val="30259D58"/>
    <w:rsid w:val="302CD049"/>
    <w:rsid w:val="302FA287"/>
    <w:rsid w:val="3035F664"/>
    <w:rsid w:val="3038E835"/>
    <w:rsid w:val="303A66D4"/>
    <w:rsid w:val="304E77AD"/>
    <w:rsid w:val="304F6E73"/>
    <w:rsid w:val="305CADBB"/>
    <w:rsid w:val="3067A24C"/>
    <w:rsid w:val="30685A55"/>
    <w:rsid w:val="3074937D"/>
    <w:rsid w:val="3075E3A7"/>
    <w:rsid w:val="307C91ED"/>
    <w:rsid w:val="307DB4A0"/>
    <w:rsid w:val="309081C2"/>
    <w:rsid w:val="30A3D233"/>
    <w:rsid w:val="30A9B4F5"/>
    <w:rsid w:val="30B191A1"/>
    <w:rsid w:val="30B7D131"/>
    <w:rsid w:val="30B8E886"/>
    <w:rsid w:val="30C16629"/>
    <w:rsid w:val="30C52945"/>
    <w:rsid w:val="30D8D8A4"/>
    <w:rsid w:val="30D93225"/>
    <w:rsid w:val="30D9B176"/>
    <w:rsid w:val="30DBEF0B"/>
    <w:rsid w:val="30DC4575"/>
    <w:rsid w:val="30DC7E94"/>
    <w:rsid w:val="30EF8730"/>
    <w:rsid w:val="30F7E194"/>
    <w:rsid w:val="30FA6B07"/>
    <w:rsid w:val="30FD102B"/>
    <w:rsid w:val="3100318D"/>
    <w:rsid w:val="31036D33"/>
    <w:rsid w:val="310B6C98"/>
    <w:rsid w:val="310E25BB"/>
    <w:rsid w:val="31171536"/>
    <w:rsid w:val="311DB88D"/>
    <w:rsid w:val="313664CB"/>
    <w:rsid w:val="3142421F"/>
    <w:rsid w:val="3143AF44"/>
    <w:rsid w:val="315B1AEA"/>
    <w:rsid w:val="315EF56B"/>
    <w:rsid w:val="31609A08"/>
    <w:rsid w:val="31707987"/>
    <w:rsid w:val="31799FE7"/>
    <w:rsid w:val="317CA540"/>
    <w:rsid w:val="318EB2AC"/>
    <w:rsid w:val="3191EB18"/>
    <w:rsid w:val="319F1432"/>
    <w:rsid w:val="31A59364"/>
    <w:rsid w:val="31A5FB3F"/>
    <w:rsid w:val="31CC0CE7"/>
    <w:rsid w:val="31D5561D"/>
    <w:rsid w:val="31E61048"/>
    <w:rsid w:val="31F2E3D1"/>
    <w:rsid w:val="31F43129"/>
    <w:rsid w:val="31F51435"/>
    <w:rsid w:val="31F890DE"/>
    <w:rsid w:val="3206C136"/>
    <w:rsid w:val="3217290F"/>
    <w:rsid w:val="32203F0F"/>
    <w:rsid w:val="32235096"/>
    <w:rsid w:val="32272C42"/>
    <w:rsid w:val="326E157A"/>
    <w:rsid w:val="326EE1DB"/>
    <w:rsid w:val="32890304"/>
    <w:rsid w:val="3298F65E"/>
    <w:rsid w:val="329ADE3D"/>
    <w:rsid w:val="329F9AB3"/>
    <w:rsid w:val="32A53293"/>
    <w:rsid w:val="32BBCF57"/>
    <w:rsid w:val="32C1D794"/>
    <w:rsid w:val="32DC0C39"/>
    <w:rsid w:val="32F62785"/>
    <w:rsid w:val="330534ED"/>
    <w:rsid w:val="33056643"/>
    <w:rsid w:val="330784AD"/>
    <w:rsid w:val="331C3A10"/>
    <w:rsid w:val="331EFB34"/>
    <w:rsid w:val="332B9B95"/>
    <w:rsid w:val="33313927"/>
    <w:rsid w:val="33402DFB"/>
    <w:rsid w:val="3341F784"/>
    <w:rsid w:val="33557F19"/>
    <w:rsid w:val="33580D6A"/>
    <w:rsid w:val="335E7B6C"/>
    <w:rsid w:val="33804F3A"/>
    <w:rsid w:val="338472BE"/>
    <w:rsid w:val="3384D081"/>
    <w:rsid w:val="3389EF36"/>
    <w:rsid w:val="338F13DE"/>
    <w:rsid w:val="339F85C7"/>
    <w:rsid w:val="33A4EE99"/>
    <w:rsid w:val="33AA2DF9"/>
    <w:rsid w:val="33BE5998"/>
    <w:rsid w:val="33EF80E9"/>
    <w:rsid w:val="33F6F343"/>
    <w:rsid w:val="33F95D8A"/>
    <w:rsid w:val="3406A8DE"/>
    <w:rsid w:val="340AEA36"/>
    <w:rsid w:val="3418F373"/>
    <w:rsid w:val="341C869A"/>
    <w:rsid w:val="341F4F77"/>
    <w:rsid w:val="3421B763"/>
    <w:rsid w:val="34249CB4"/>
    <w:rsid w:val="3427E60F"/>
    <w:rsid w:val="342C0696"/>
    <w:rsid w:val="3431F775"/>
    <w:rsid w:val="3432A25B"/>
    <w:rsid w:val="34332EDC"/>
    <w:rsid w:val="343ED3AE"/>
    <w:rsid w:val="34470A91"/>
    <w:rsid w:val="344C9321"/>
    <w:rsid w:val="344E5353"/>
    <w:rsid w:val="3456950B"/>
    <w:rsid w:val="345AF997"/>
    <w:rsid w:val="3462A207"/>
    <w:rsid w:val="346A529E"/>
    <w:rsid w:val="346D6E57"/>
    <w:rsid w:val="346E7845"/>
    <w:rsid w:val="34831687"/>
    <w:rsid w:val="348A5085"/>
    <w:rsid w:val="348C86E1"/>
    <w:rsid w:val="348D5E97"/>
    <w:rsid w:val="349B8D9D"/>
    <w:rsid w:val="349FC879"/>
    <w:rsid w:val="34A5709E"/>
    <w:rsid w:val="34C9AF95"/>
    <w:rsid w:val="34DACAAF"/>
    <w:rsid w:val="34DBC8C3"/>
    <w:rsid w:val="34E089F6"/>
    <w:rsid w:val="34EE0B2F"/>
    <w:rsid w:val="34F374AA"/>
    <w:rsid w:val="34FB8BC8"/>
    <w:rsid w:val="3510E496"/>
    <w:rsid w:val="35191532"/>
    <w:rsid w:val="35195F1E"/>
    <w:rsid w:val="3522F988"/>
    <w:rsid w:val="3527481D"/>
    <w:rsid w:val="352DAE5D"/>
    <w:rsid w:val="3542FDE2"/>
    <w:rsid w:val="3545C43A"/>
    <w:rsid w:val="3556ABF4"/>
    <w:rsid w:val="355C74C8"/>
    <w:rsid w:val="3572E153"/>
    <w:rsid w:val="359A9C98"/>
    <w:rsid w:val="35ADF37E"/>
    <w:rsid w:val="35B0C6D4"/>
    <w:rsid w:val="35B1EA86"/>
    <w:rsid w:val="35D324F7"/>
    <w:rsid w:val="35D9A3E2"/>
    <w:rsid w:val="35DB39DB"/>
    <w:rsid w:val="35E43141"/>
    <w:rsid w:val="35E63A34"/>
    <w:rsid w:val="35EBFFD2"/>
    <w:rsid w:val="35F8C321"/>
    <w:rsid w:val="3615BD9A"/>
    <w:rsid w:val="36249A6B"/>
    <w:rsid w:val="36262DD7"/>
    <w:rsid w:val="3626CA72"/>
    <w:rsid w:val="36297BC9"/>
    <w:rsid w:val="362CDEB4"/>
    <w:rsid w:val="364129C9"/>
    <w:rsid w:val="36501401"/>
    <w:rsid w:val="36510842"/>
    <w:rsid w:val="365434B2"/>
    <w:rsid w:val="365C26AB"/>
    <w:rsid w:val="365E1564"/>
    <w:rsid w:val="3660A29B"/>
    <w:rsid w:val="3662C514"/>
    <w:rsid w:val="366BFC40"/>
    <w:rsid w:val="366F1403"/>
    <w:rsid w:val="366FE58B"/>
    <w:rsid w:val="367A75BB"/>
    <w:rsid w:val="369191CF"/>
    <w:rsid w:val="36966215"/>
    <w:rsid w:val="36A28A2B"/>
    <w:rsid w:val="36CC893C"/>
    <w:rsid w:val="36E9AE0C"/>
    <w:rsid w:val="36F542FD"/>
    <w:rsid w:val="36F91CAB"/>
    <w:rsid w:val="37037B5A"/>
    <w:rsid w:val="3704AC4A"/>
    <w:rsid w:val="3708D296"/>
    <w:rsid w:val="370D16F6"/>
    <w:rsid w:val="37188E9E"/>
    <w:rsid w:val="371960D9"/>
    <w:rsid w:val="37258AEE"/>
    <w:rsid w:val="37261349"/>
    <w:rsid w:val="3727BE19"/>
    <w:rsid w:val="37363728"/>
    <w:rsid w:val="37399B8E"/>
    <w:rsid w:val="3739EFC3"/>
    <w:rsid w:val="373BFA31"/>
    <w:rsid w:val="373C2B59"/>
    <w:rsid w:val="37481F69"/>
    <w:rsid w:val="37536130"/>
    <w:rsid w:val="377A8CB5"/>
    <w:rsid w:val="377AA055"/>
    <w:rsid w:val="3787CD7E"/>
    <w:rsid w:val="378AE33B"/>
    <w:rsid w:val="37939B08"/>
    <w:rsid w:val="3796BAD9"/>
    <w:rsid w:val="379A547A"/>
    <w:rsid w:val="37A4AE33"/>
    <w:rsid w:val="37AC0174"/>
    <w:rsid w:val="37B29446"/>
    <w:rsid w:val="37BCFEFF"/>
    <w:rsid w:val="37BE7FB7"/>
    <w:rsid w:val="37C356C2"/>
    <w:rsid w:val="37CAFD6F"/>
    <w:rsid w:val="37CE7093"/>
    <w:rsid w:val="37EACE32"/>
    <w:rsid w:val="37EDBBD3"/>
    <w:rsid w:val="37F0D704"/>
    <w:rsid w:val="37F1689C"/>
    <w:rsid w:val="37F8193A"/>
    <w:rsid w:val="3800ED56"/>
    <w:rsid w:val="38023BD7"/>
    <w:rsid w:val="3802422F"/>
    <w:rsid w:val="3806E93B"/>
    <w:rsid w:val="380B6620"/>
    <w:rsid w:val="380CD3C7"/>
    <w:rsid w:val="3813BAA2"/>
    <w:rsid w:val="38282735"/>
    <w:rsid w:val="383EDDBA"/>
    <w:rsid w:val="383F690D"/>
    <w:rsid w:val="3860B78E"/>
    <w:rsid w:val="38752BC0"/>
    <w:rsid w:val="387784F4"/>
    <w:rsid w:val="387EAEC6"/>
    <w:rsid w:val="3881B4DD"/>
    <w:rsid w:val="38894594"/>
    <w:rsid w:val="388A6EA3"/>
    <w:rsid w:val="38A64995"/>
    <w:rsid w:val="38B72632"/>
    <w:rsid w:val="38D492D6"/>
    <w:rsid w:val="38D83F68"/>
    <w:rsid w:val="38E0533B"/>
    <w:rsid w:val="38E28417"/>
    <w:rsid w:val="38E72A7E"/>
    <w:rsid w:val="38EFF0FE"/>
    <w:rsid w:val="38F5BBA3"/>
    <w:rsid w:val="390B229F"/>
    <w:rsid w:val="3920624C"/>
    <w:rsid w:val="39279E49"/>
    <w:rsid w:val="392FBBA1"/>
    <w:rsid w:val="393DF268"/>
    <w:rsid w:val="39401711"/>
    <w:rsid w:val="3941CA0F"/>
    <w:rsid w:val="39682B89"/>
    <w:rsid w:val="39869196"/>
    <w:rsid w:val="3988C67E"/>
    <w:rsid w:val="3994B54B"/>
    <w:rsid w:val="3997805B"/>
    <w:rsid w:val="399E668D"/>
    <w:rsid w:val="39A4CE8C"/>
    <w:rsid w:val="39A52624"/>
    <w:rsid w:val="39B3F7E5"/>
    <w:rsid w:val="39C13E5C"/>
    <w:rsid w:val="39C7D894"/>
    <w:rsid w:val="39CD411C"/>
    <w:rsid w:val="39CFC7E4"/>
    <w:rsid w:val="39D873B9"/>
    <w:rsid w:val="39E774C5"/>
    <w:rsid w:val="39F4B2AB"/>
    <w:rsid w:val="39F8A9E5"/>
    <w:rsid w:val="39FF5053"/>
    <w:rsid w:val="3A03BB95"/>
    <w:rsid w:val="3A07E499"/>
    <w:rsid w:val="3A13698E"/>
    <w:rsid w:val="3A18C426"/>
    <w:rsid w:val="3A2AEF0C"/>
    <w:rsid w:val="3A2D5F29"/>
    <w:rsid w:val="3A2E44C3"/>
    <w:rsid w:val="3A3162D1"/>
    <w:rsid w:val="3A583B6E"/>
    <w:rsid w:val="3A5C67BB"/>
    <w:rsid w:val="3A5E9A47"/>
    <w:rsid w:val="3A60EDD7"/>
    <w:rsid w:val="3A62B056"/>
    <w:rsid w:val="3A693DB2"/>
    <w:rsid w:val="3A78D787"/>
    <w:rsid w:val="3A78F369"/>
    <w:rsid w:val="3A85812E"/>
    <w:rsid w:val="3A8BBF95"/>
    <w:rsid w:val="3A8DD863"/>
    <w:rsid w:val="3A8F8AED"/>
    <w:rsid w:val="3A948C18"/>
    <w:rsid w:val="3A9D8035"/>
    <w:rsid w:val="3AA21862"/>
    <w:rsid w:val="3AC8339F"/>
    <w:rsid w:val="3AD10766"/>
    <w:rsid w:val="3AD9AC57"/>
    <w:rsid w:val="3ADD10B7"/>
    <w:rsid w:val="3AE18710"/>
    <w:rsid w:val="3AE4122B"/>
    <w:rsid w:val="3AE724C5"/>
    <w:rsid w:val="3AEF59D6"/>
    <w:rsid w:val="3AF2C5AB"/>
    <w:rsid w:val="3AF3A31B"/>
    <w:rsid w:val="3AF8610B"/>
    <w:rsid w:val="3AFFB891"/>
    <w:rsid w:val="3B03305A"/>
    <w:rsid w:val="3B05608C"/>
    <w:rsid w:val="3B1E3BE9"/>
    <w:rsid w:val="3B1F6B8D"/>
    <w:rsid w:val="3B2E6709"/>
    <w:rsid w:val="3B39D27A"/>
    <w:rsid w:val="3B3E9250"/>
    <w:rsid w:val="3B44E0B5"/>
    <w:rsid w:val="3B53B46F"/>
    <w:rsid w:val="3B642CFB"/>
    <w:rsid w:val="3B67887B"/>
    <w:rsid w:val="3B7FA4B9"/>
    <w:rsid w:val="3BA25DA6"/>
    <w:rsid w:val="3BA7BB36"/>
    <w:rsid w:val="3BACAF79"/>
    <w:rsid w:val="3BAEAA5C"/>
    <w:rsid w:val="3BB19131"/>
    <w:rsid w:val="3BBF13E4"/>
    <w:rsid w:val="3BC7CA0A"/>
    <w:rsid w:val="3BCF1D62"/>
    <w:rsid w:val="3BD42C4A"/>
    <w:rsid w:val="3BD994A9"/>
    <w:rsid w:val="3BED8589"/>
    <w:rsid w:val="3BFA3E7F"/>
    <w:rsid w:val="3BFE769D"/>
    <w:rsid w:val="3C01FD6D"/>
    <w:rsid w:val="3C0823F6"/>
    <w:rsid w:val="3C0FF910"/>
    <w:rsid w:val="3C11B6F6"/>
    <w:rsid w:val="3C1F65B1"/>
    <w:rsid w:val="3C2061ED"/>
    <w:rsid w:val="3C2A3794"/>
    <w:rsid w:val="3C36559D"/>
    <w:rsid w:val="3C3D5D7C"/>
    <w:rsid w:val="3C471A7D"/>
    <w:rsid w:val="3C5D47C4"/>
    <w:rsid w:val="3C5D9325"/>
    <w:rsid w:val="3C5FC211"/>
    <w:rsid w:val="3C60CBEE"/>
    <w:rsid w:val="3C710F07"/>
    <w:rsid w:val="3C7805E8"/>
    <w:rsid w:val="3C93C11C"/>
    <w:rsid w:val="3C9F6301"/>
    <w:rsid w:val="3CA4C5FD"/>
    <w:rsid w:val="3CA9FE19"/>
    <w:rsid w:val="3CAACE77"/>
    <w:rsid w:val="3CAF257E"/>
    <w:rsid w:val="3CB03C27"/>
    <w:rsid w:val="3CB9C54D"/>
    <w:rsid w:val="3CC14101"/>
    <w:rsid w:val="3CCD3E68"/>
    <w:rsid w:val="3CCD7D70"/>
    <w:rsid w:val="3CDFE699"/>
    <w:rsid w:val="3CF53FBC"/>
    <w:rsid w:val="3CFBA5A1"/>
    <w:rsid w:val="3D05BDF3"/>
    <w:rsid w:val="3D13C13A"/>
    <w:rsid w:val="3D1994FB"/>
    <w:rsid w:val="3D268270"/>
    <w:rsid w:val="3D2D274E"/>
    <w:rsid w:val="3D3E23AD"/>
    <w:rsid w:val="3D417EF7"/>
    <w:rsid w:val="3D6BFF6B"/>
    <w:rsid w:val="3D7DFF64"/>
    <w:rsid w:val="3D8F6B56"/>
    <w:rsid w:val="3DA3EA51"/>
    <w:rsid w:val="3DACC178"/>
    <w:rsid w:val="3DB063DC"/>
    <w:rsid w:val="3DBA008D"/>
    <w:rsid w:val="3DCCDD80"/>
    <w:rsid w:val="3DD1C177"/>
    <w:rsid w:val="3DD6DA2A"/>
    <w:rsid w:val="3DDD016E"/>
    <w:rsid w:val="3DDDA032"/>
    <w:rsid w:val="3DEBA0CB"/>
    <w:rsid w:val="3E02CC17"/>
    <w:rsid w:val="3E03CA51"/>
    <w:rsid w:val="3E0843FF"/>
    <w:rsid w:val="3E0ED044"/>
    <w:rsid w:val="3E1483F5"/>
    <w:rsid w:val="3E18F887"/>
    <w:rsid w:val="3E1B2E56"/>
    <w:rsid w:val="3E22C877"/>
    <w:rsid w:val="3E27BDA5"/>
    <w:rsid w:val="3E2E7EA2"/>
    <w:rsid w:val="3E370D78"/>
    <w:rsid w:val="3E403722"/>
    <w:rsid w:val="3E4A0906"/>
    <w:rsid w:val="3E52DDAA"/>
    <w:rsid w:val="3E566F1B"/>
    <w:rsid w:val="3E56B270"/>
    <w:rsid w:val="3E589066"/>
    <w:rsid w:val="3E5BD265"/>
    <w:rsid w:val="3E5C84B1"/>
    <w:rsid w:val="3E653B82"/>
    <w:rsid w:val="3E6F7FFD"/>
    <w:rsid w:val="3E7BCDEB"/>
    <w:rsid w:val="3E7E375D"/>
    <w:rsid w:val="3E834983"/>
    <w:rsid w:val="3E89A75C"/>
    <w:rsid w:val="3E8B4660"/>
    <w:rsid w:val="3E962A9C"/>
    <w:rsid w:val="3E9C3382"/>
    <w:rsid w:val="3EA962A2"/>
    <w:rsid w:val="3EAA4802"/>
    <w:rsid w:val="3EABCD12"/>
    <w:rsid w:val="3EB689E4"/>
    <w:rsid w:val="3EB91B91"/>
    <w:rsid w:val="3ED96628"/>
    <w:rsid w:val="3EDC94F8"/>
    <w:rsid w:val="3EDD4D62"/>
    <w:rsid w:val="3EEB4EE3"/>
    <w:rsid w:val="3EF30298"/>
    <w:rsid w:val="3EF57AA4"/>
    <w:rsid w:val="3F035081"/>
    <w:rsid w:val="3F039C37"/>
    <w:rsid w:val="3F03DF4A"/>
    <w:rsid w:val="3F08E35B"/>
    <w:rsid w:val="3F14A83C"/>
    <w:rsid w:val="3F19A5DA"/>
    <w:rsid w:val="3F1DA03A"/>
    <w:rsid w:val="3F300793"/>
    <w:rsid w:val="3F3AA00C"/>
    <w:rsid w:val="3F44950D"/>
    <w:rsid w:val="3F505BF6"/>
    <w:rsid w:val="3F519510"/>
    <w:rsid w:val="3F6E005F"/>
    <w:rsid w:val="3F709DD6"/>
    <w:rsid w:val="3F7404FD"/>
    <w:rsid w:val="3F7D392A"/>
    <w:rsid w:val="3F7E3683"/>
    <w:rsid w:val="3F7EFC9A"/>
    <w:rsid w:val="3F9E8252"/>
    <w:rsid w:val="3F9F9F47"/>
    <w:rsid w:val="3FAB124A"/>
    <w:rsid w:val="3FAB5E7E"/>
    <w:rsid w:val="3FB16849"/>
    <w:rsid w:val="3FB50D64"/>
    <w:rsid w:val="3FB6F50B"/>
    <w:rsid w:val="3FBACD07"/>
    <w:rsid w:val="3FCA6428"/>
    <w:rsid w:val="3FCADEE6"/>
    <w:rsid w:val="3FE3EE8F"/>
    <w:rsid w:val="3FE49B89"/>
    <w:rsid w:val="3FFF0792"/>
    <w:rsid w:val="4004CEC6"/>
    <w:rsid w:val="40061094"/>
    <w:rsid w:val="401EB8F2"/>
    <w:rsid w:val="40233E48"/>
    <w:rsid w:val="4023C8E8"/>
    <w:rsid w:val="402798C7"/>
    <w:rsid w:val="40320C85"/>
    <w:rsid w:val="404196D4"/>
    <w:rsid w:val="40472798"/>
    <w:rsid w:val="40480DA9"/>
    <w:rsid w:val="404F9832"/>
    <w:rsid w:val="40506C9E"/>
    <w:rsid w:val="40526489"/>
    <w:rsid w:val="4057D800"/>
    <w:rsid w:val="40905EDD"/>
    <w:rsid w:val="4092B82A"/>
    <w:rsid w:val="4094B553"/>
    <w:rsid w:val="40A0A1A0"/>
    <w:rsid w:val="40A8EAD1"/>
    <w:rsid w:val="40C4F667"/>
    <w:rsid w:val="40CF57DD"/>
    <w:rsid w:val="40D115F7"/>
    <w:rsid w:val="40D1BAFD"/>
    <w:rsid w:val="40D25E44"/>
    <w:rsid w:val="40F3F888"/>
    <w:rsid w:val="410BCA17"/>
    <w:rsid w:val="4115F51E"/>
    <w:rsid w:val="4119C187"/>
    <w:rsid w:val="4121FC3A"/>
    <w:rsid w:val="412928DA"/>
    <w:rsid w:val="413170B3"/>
    <w:rsid w:val="41361919"/>
    <w:rsid w:val="41391222"/>
    <w:rsid w:val="4140B5FA"/>
    <w:rsid w:val="41412FE2"/>
    <w:rsid w:val="4147299E"/>
    <w:rsid w:val="416229E9"/>
    <w:rsid w:val="417F5049"/>
    <w:rsid w:val="41A3C416"/>
    <w:rsid w:val="41B6F837"/>
    <w:rsid w:val="41C5B12D"/>
    <w:rsid w:val="41C99608"/>
    <w:rsid w:val="41CC8C9F"/>
    <w:rsid w:val="41D08902"/>
    <w:rsid w:val="41D7372D"/>
    <w:rsid w:val="41DFE866"/>
    <w:rsid w:val="41E7D8C1"/>
    <w:rsid w:val="41E829B4"/>
    <w:rsid w:val="41EB791E"/>
    <w:rsid w:val="41FA1A4E"/>
    <w:rsid w:val="42097DBC"/>
    <w:rsid w:val="4213CBCA"/>
    <w:rsid w:val="42184FED"/>
    <w:rsid w:val="421B2CF0"/>
    <w:rsid w:val="422C7236"/>
    <w:rsid w:val="42303D37"/>
    <w:rsid w:val="42306292"/>
    <w:rsid w:val="42363430"/>
    <w:rsid w:val="423C636F"/>
    <w:rsid w:val="423CE977"/>
    <w:rsid w:val="42590D5B"/>
    <w:rsid w:val="42A17EC6"/>
    <w:rsid w:val="42AD6B87"/>
    <w:rsid w:val="42AD7AF3"/>
    <w:rsid w:val="42B80626"/>
    <w:rsid w:val="42C64366"/>
    <w:rsid w:val="42CA2A6C"/>
    <w:rsid w:val="42DE950E"/>
    <w:rsid w:val="42EB7737"/>
    <w:rsid w:val="42EE5641"/>
    <w:rsid w:val="42EF1054"/>
    <w:rsid w:val="430532B9"/>
    <w:rsid w:val="4306A7A9"/>
    <w:rsid w:val="4306DFCC"/>
    <w:rsid w:val="430B7A46"/>
    <w:rsid w:val="431B2461"/>
    <w:rsid w:val="431C0939"/>
    <w:rsid w:val="433394B6"/>
    <w:rsid w:val="4335A5E2"/>
    <w:rsid w:val="4338351B"/>
    <w:rsid w:val="4340F52D"/>
    <w:rsid w:val="434F0AFC"/>
    <w:rsid w:val="435F9B4C"/>
    <w:rsid w:val="437451DE"/>
    <w:rsid w:val="4389286B"/>
    <w:rsid w:val="4390B6AE"/>
    <w:rsid w:val="439D6584"/>
    <w:rsid w:val="43A2BC0D"/>
    <w:rsid w:val="43A8D4FF"/>
    <w:rsid w:val="43A90F37"/>
    <w:rsid w:val="43B1BB3B"/>
    <w:rsid w:val="43BA489A"/>
    <w:rsid w:val="43BC963F"/>
    <w:rsid w:val="43BF4221"/>
    <w:rsid w:val="43C6B037"/>
    <w:rsid w:val="43C8CE3A"/>
    <w:rsid w:val="43EF5324"/>
    <w:rsid w:val="43F3B0DF"/>
    <w:rsid w:val="44050593"/>
    <w:rsid w:val="44061F93"/>
    <w:rsid w:val="44090664"/>
    <w:rsid w:val="440C3230"/>
    <w:rsid w:val="440F7689"/>
    <w:rsid w:val="4420F08B"/>
    <w:rsid w:val="44392414"/>
    <w:rsid w:val="443ADC45"/>
    <w:rsid w:val="443DFB11"/>
    <w:rsid w:val="44404813"/>
    <w:rsid w:val="444410BA"/>
    <w:rsid w:val="4448DB7F"/>
    <w:rsid w:val="444A0966"/>
    <w:rsid w:val="44692EDC"/>
    <w:rsid w:val="44740AF5"/>
    <w:rsid w:val="449A4412"/>
    <w:rsid w:val="449BCDA6"/>
    <w:rsid w:val="44A3D436"/>
    <w:rsid w:val="44B68A53"/>
    <w:rsid w:val="44B6E1A9"/>
    <w:rsid w:val="44C31A4A"/>
    <w:rsid w:val="44D63179"/>
    <w:rsid w:val="44D9425B"/>
    <w:rsid w:val="44DE009A"/>
    <w:rsid w:val="44DEBDAA"/>
    <w:rsid w:val="44DFA106"/>
    <w:rsid w:val="44E326E5"/>
    <w:rsid w:val="44E36061"/>
    <w:rsid w:val="44E3EE13"/>
    <w:rsid w:val="44F30F7D"/>
    <w:rsid w:val="44F57BC2"/>
    <w:rsid w:val="4506234E"/>
    <w:rsid w:val="4512ECD8"/>
    <w:rsid w:val="45274B9B"/>
    <w:rsid w:val="4534D833"/>
    <w:rsid w:val="4541882A"/>
    <w:rsid w:val="4541E4D2"/>
    <w:rsid w:val="45431154"/>
    <w:rsid w:val="4546148B"/>
    <w:rsid w:val="45482584"/>
    <w:rsid w:val="454AAE06"/>
    <w:rsid w:val="4558C4C0"/>
    <w:rsid w:val="455DC7B5"/>
    <w:rsid w:val="456618BE"/>
    <w:rsid w:val="457D9880"/>
    <w:rsid w:val="458C2078"/>
    <w:rsid w:val="4591AE6B"/>
    <w:rsid w:val="45A00120"/>
    <w:rsid w:val="45A51780"/>
    <w:rsid w:val="45A7A8BB"/>
    <w:rsid w:val="45AE5251"/>
    <w:rsid w:val="45CEC9F1"/>
    <w:rsid w:val="45D5D721"/>
    <w:rsid w:val="45E3F71D"/>
    <w:rsid w:val="45E52D5F"/>
    <w:rsid w:val="45E8F9F0"/>
    <w:rsid w:val="45EBEF66"/>
    <w:rsid w:val="45F07499"/>
    <w:rsid w:val="45F23C63"/>
    <w:rsid w:val="45FB2DAE"/>
    <w:rsid w:val="46113993"/>
    <w:rsid w:val="4628CE41"/>
    <w:rsid w:val="4635A77F"/>
    <w:rsid w:val="4639C53C"/>
    <w:rsid w:val="4647C648"/>
    <w:rsid w:val="4648A6C5"/>
    <w:rsid w:val="4648DA23"/>
    <w:rsid w:val="4670846F"/>
    <w:rsid w:val="4674A1BE"/>
    <w:rsid w:val="46762247"/>
    <w:rsid w:val="467A43ED"/>
    <w:rsid w:val="467C260C"/>
    <w:rsid w:val="4694BEDD"/>
    <w:rsid w:val="46999B4C"/>
    <w:rsid w:val="46B2E456"/>
    <w:rsid w:val="46B6A27C"/>
    <w:rsid w:val="46BDD94F"/>
    <w:rsid w:val="46C185A4"/>
    <w:rsid w:val="46C23788"/>
    <w:rsid w:val="46C959A3"/>
    <w:rsid w:val="46D8F63E"/>
    <w:rsid w:val="46F392C3"/>
    <w:rsid w:val="46F5E489"/>
    <w:rsid w:val="46FA8C2A"/>
    <w:rsid w:val="46FB3F03"/>
    <w:rsid w:val="47082D22"/>
    <w:rsid w:val="47084784"/>
    <w:rsid w:val="470A92DD"/>
    <w:rsid w:val="4718DC4F"/>
    <w:rsid w:val="47380D59"/>
    <w:rsid w:val="473A94BA"/>
    <w:rsid w:val="473BB301"/>
    <w:rsid w:val="473BF663"/>
    <w:rsid w:val="4757F488"/>
    <w:rsid w:val="475814B0"/>
    <w:rsid w:val="475D7B64"/>
    <w:rsid w:val="47606A28"/>
    <w:rsid w:val="476818C6"/>
    <w:rsid w:val="476D3428"/>
    <w:rsid w:val="4772394F"/>
    <w:rsid w:val="4776E81F"/>
    <w:rsid w:val="477F1F94"/>
    <w:rsid w:val="478F56C2"/>
    <w:rsid w:val="4790CBC8"/>
    <w:rsid w:val="47948C11"/>
    <w:rsid w:val="47B3188D"/>
    <w:rsid w:val="47BE512E"/>
    <w:rsid w:val="47D897F4"/>
    <w:rsid w:val="47E3EB73"/>
    <w:rsid w:val="47E48C8F"/>
    <w:rsid w:val="47E9016A"/>
    <w:rsid w:val="47FF3117"/>
    <w:rsid w:val="48086B80"/>
    <w:rsid w:val="480E9D65"/>
    <w:rsid w:val="4815038B"/>
    <w:rsid w:val="481EDE38"/>
    <w:rsid w:val="48210874"/>
    <w:rsid w:val="48211375"/>
    <w:rsid w:val="4828596A"/>
    <w:rsid w:val="48335B1A"/>
    <w:rsid w:val="483DE6C2"/>
    <w:rsid w:val="4850B3E4"/>
    <w:rsid w:val="4854DF36"/>
    <w:rsid w:val="4855484D"/>
    <w:rsid w:val="486EE4B4"/>
    <w:rsid w:val="4884CC6A"/>
    <w:rsid w:val="4888FAD8"/>
    <w:rsid w:val="489B001E"/>
    <w:rsid w:val="48AA388E"/>
    <w:rsid w:val="48BD1B41"/>
    <w:rsid w:val="48BD5AEB"/>
    <w:rsid w:val="48C56375"/>
    <w:rsid w:val="48C770D6"/>
    <w:rsid w:val="48D16229"/>
    <w:rsid w:val="48E50163"/>
    <w:rsid w:val="48EB84A9"/>
    <w:rsid w:val="48F7552E"/>
    <w:rsid w:val="4903F741"/>
    <w:rsid w:val="490A54FD"/>
    <w:rsid w:val="490AA209"/>
    <w:rsid w:val="490E66A8"/>
    <w:rsid w:val="4919E175"/>
    <w:rsid w:val="492A6B1E"/>
    <w:rsid w:val="4935A85D"/>
    <w:rsid w:val="4955281E"/>
    <w:rsid w:val="4956736B"/>
    <w:rsid w:val="4961CE04"/>
    <w:rsid w:val="4963FB5C"/>
    <w:rsid w:val="49726617"/>
    <w:rsid w:val="499F027C"/>
    <w:rsid w:val="49A15075"/>
    <w:rsid w:val="49A15744"/>
    <w:rsid w:val="49A47A4D"/>
    <w:rsid w:val="49D4045C"/>
    <w:rsid w:val="49DD4F7A"/>
    <w:rsid w:val="49E79BB4"/>
    <w:rsid w:val="49F81A82"/>
    <w:rsid w:val="4A0246F5"/>
    <w:rsid w:val="4A1E38E2"/>
    <w:rsid w:val="4A1ED6C2"/>
    <w:rsid w:val="4A3BBA2A"/>
    <w:rsid w:val="4A45FC68"/>
    <w:rsid w:val="4A514DE8"/>
    <w:rsid w:val="4A55BF76"/>
    <w:rsid w:val="4A5BE230"/>
    <w:rsid w:val="4A68CD56"/>
    <w:rsid w:val="4A6ABE10"/>
    <w:rsid w:val="4A707CC9"/>
    <w:rsid w:val="4A70F385"/>
    <w:rsid w:val="4A729B07"/>
    <w:rsid w:val="4A85AC06"/>
    <w:rsid w:val="4A8A2972"/>
    <w:rsid w:val="4A8C7E87"/>
    <w:rsid w:val="4A8D30EC"/>
    <w:rsid w:val="4A9AA3A6"/>
    <w:rsid w:val="4A9C457E"/>
    <w:rsid w:val="4AA0CC3E"/>
    <w:rsid w:val="4AA88042"/>
    <w:rsid w:val="4AA939CE"/>
    <w:rsid w:val="4AAF59F7"/>
    <w:rsid w:val="4AB57C21"/>
    <w:rsid w:val="4AC54DB4"/>
    <w:rsid w:val="4ACC1B8D"/>
    <w:rsid w:val="4AD93BD5"/>
    <w:rsid w:val="4AE0DED1"/>
    <w:rsid w:val="4AF29C58"/>
    <w:rsid w:val="4AF75988"/>
    <w:rsid w:val="4B0235A8"/>
    <w:rsid w:val="4B030E50"/>
    <w:rsid w:val="4B03A2DB"/>
    <w:rsid w:val="4B04A3D0"/>
    <w:rsid w:val="4B0DC525"/>
    <w:rsid w:val="4B1062ED"/>
    <w:rsid w:val="4B112A88"/>
    <w:rsid w:val="4B288BEF"/>
    <w:rsid w:val="4B369564"/>
    <w:rsid w:val="4B3B090E"/>
    <w:rsid w:val="4B42D2EC"/>
    <w:rsid w:val="4B438F56"/>
    <w:rsid w:val="4B4679A7"/>
    <w:rsid w:val="4B794388"/>
    <w:rsid w:val="4B7C2D0A"/>
    <w:rsid w:val="4B89E6CE"/>
    <w:rsid w:val="4B8DD655"/>
    <w:rsid w:val="4B95A37D"/>
    <w:rsid w:val="4BA0ABA3"/>
    <w:rsid w:val="4BA5E7AA"/>
    <w:rsid w:val="4BB75E60"/>
    <w:rsid w:val="4BB7C712"/>
    <w:rsid w:val="4BBB36C7"/>
    <w:rsid w:val="4BBBBC5C"/>
    <w:rsid w:val="4BBD3889"/>
    <w:rsid w:val="4BBEAC02"/>
    <w:rsid w:val="4BC07130"/>
    <w:rsid w:val="4BCBEF94"/>
    <w:rsid w:val="4BCC8E5B"/>
    <w:rsid w:val="4BD53452"/>
    <w:rsid w:val="4BEED62E"/>
    <w:rsid w:val="4BFF7893"/>
    <w:rsid w:val="4C0440F4"/>
    <w:rsid w:val="4C0BC232"/>
    <w:rsid w:val="4C114A24"/>
    <w:rsid w:val="4C12D261"/>
    <w:rsid w:val="4C16E139"/>
    <w:rsid w:val="4C1D0AD2"/>
    <w:rsid w:val="4C376EA9"/>
    <w:rsid w:val="4C50DEEE"/>
    <w:rsid w:val="4C57B984"/>
    <w:rsid w:val="4C5817EE"/>
    <w:rsid w:val="4C62FF08"/>
    <w:rsid w:val="4C6749A5"/>
    <w:rsid w:val="4C7F739A"/>
    <w:rsid w:val="4C8076DB"/>
    <w:rsid w:val="4C8EBBAC"/>
    <w:rsid w:val="4C921CB4"/>
    <w:rsid w:val="4CA23958"/>
    <w:rsid w:val="4CA7EE1E"/>
    <w:rsid w:val="4CABF609"/>
    <w:rsid w:val="4CB71934"/>
    <w:rsid w:val="4CBA7D93"/>
    <w:rsid w:val="4CD35727"/>
    <w:rsid w:val="4CF3B3B4"/>
    <w:rsid w:val="4CF72BE8"/>
    <w:rsid w:val="4D0CFA84"/>
    <w:rsid w:val="4D0EFB9D"/>
    <w:rsid w:val="4D1CE1E5"/>
    <w:rsid w:val="4D1F7F70"/>
    <w:rsid w:val="4D1FABCA"/>
    <w:rsid w:val="4D27C6FF"/>
    <w:rsid w:val="4D2E035F"/>
    <w:rsid w:val="4D3F11BE"/>
    <w:rsid w:val="4D51817D"/>
    <w:rsid w:val="4D5517B0"/>
    <w:rsid w:val="4D5E7D7F"/>
    <w:rsid w:val="4D6421AD"/>
    <w:rsid w:val="4D64D6D3"/>
    <w:rsid w:val="4D6B36D3"/>
    <w:rsid w:val="4D72591D"/>
    <w:rsid w:val="4D81DBFC"/>
    <w:rsid w:val="4D91930A"/>
    <w:rsid w:val="4DAC2953"/>
    <w:rsid w:val="4DAE69B5"/>
    <w:rsid w:val="4DB69111"/>
    <w:rsid w:val="4DBD28C6"/>
    <w:rsid w:val="4DCA85BE"/>
    <w:rsid w:val="4DCC8C0F"/>
    <w:rsid w:val="4DD4C6C5"/>
    <w:rsid w:val="4DE967BA"/>
    <w:rsid w:val="4DECA247"/>
    <w:rsid w:val="4DF134FB"/>
    <w:rsid w:val="4DF370D2"/>
    <w:rsid w:val="4DF68B99"/>
    <w:rsid w:val="4E05C438"/>
    <w:rsid w:val="4E0E540E"/>
    <w:rsid w:val="4E0EFB9F"/>
    <w:rsid w:val="4E1053AB"/>
    <w:rsid w:val="4E141F37"/>
    <w:rsid w:val="4E182FC5"/>
    <w:rsid w:val="4E21C507"/>
    <w:rsid w:val="4E2A00B4"/>
    <w:rsid w:val="4E36AF56"/>
    <w:rsid w:val="4E397337"/>
    <w:rsid w:val="4E3F26EC"/>
    <w:rsid w:val="4E62031E"/>
    <w:rsid w:val="4E67D7A9"/>
    <w:rsid w:val="4E6BDA29"/>
    <w:rsid w:val="4E727705"/>
    <w:rsid w:val="4E775491"/>
    <w:rsid w:val="4E7B2057"/>
    <w:rsid w:val="4E7DF2CE"/>
    <w:rsid w:val="4E823ECB"/>
    <w:rsid w:val="4E851B4E"/>
    <w:rsid w:val="4E952232"/>
    <w:rsid w:val="4E9DC0D8"/>
    <w:rsid w:val="4EA45751"/>
    <w:rsid w:val="4EA931F7"/>
    <w:rsid w:val="4EA97128"/>
    <w:rsid w:val="4EAA5C4C"/>
    <w:rsid w:val="4EC41DE8"/>
    <w:rsid w:val="4ECFCC0C"/>
    <w:rsid w:val="4EDA3885"/>
    <w:rsid w:val="4EE49714"/>
    <w:rsid w:val="4EE5AEC3"/>
    <w:rsid w:val="4EE7312A"/>
    <w:rsid w:val="4EE855C9"/>
    <w:rsid w:val="4EEFA0B3"/>
    <w:rsid w:val="4EF6395B"/>
    <w:rsid w:val="4F17911C"/>
    <w:rsid w:val="4F237041"/>
    <w:rsid w:val="4F2F76CF"/>
    <w:rsid w:val="4F3DA612"/>
    <w:rsid w:val="4F419419"/>
    <w:rsid w:val="4F4AE462"/>
    <w:rsid w:val="4F4E0366"/>
    <w:rsid w:val="4F4FF8DC"/>
    <w:rsid w:val="4F570978"/>
    <w:rsid w:val="4F5860EA"/>
    <w:rsid w:val="4F58F587"/>
    <w:rsid w:val="4F5C3425"/>
    <w:rsid w:val="4F64A59B"/>
    <w:rsid w:val="4F767705"/>
    <w:rsid w:val="4F77C21C"/>
    <w:rsid w:val="4FA73446"/>
    <w:rsid w:val="4FAEEA7C"/>
    <w:rsid w:val="4FB5B8EB"/>
    <w:rsid w:val="4FBDC53C"/>
    <w:rsid w:val="4FBEAD6F"/>
    <w:rsid w:val="4FCED3B2"/>
    <w:rsid w:val="4FD1C65C"/>
    <w:rsid w:val="4FD704A2"/>
    <w:rsid w:val="4FE2FB62"/>
    <w:rsid w:val="4FFD0D38"/>
    <w:rsid w:val="50006A57"/>
    <w:rsid w:val="5007D235"/>
    <w:rsid w:val="501071CE"/>
    <w:rsid w:val="5013CF16"/>
    <w:rsid w:val="5038E848"/>
    <w:rsid w:val="505C36EB"/>
    <w:rsid w:val="505DC0F8"/>
    <w:rsid w:val="50638921"/>
    <w:rsid w:val="5063A5D8"/>
    <w:rsid w:val="5064E95B"/>
    <w:rsid w:val="506F6500"/>
    <w:rsid w:val="50715C76"/>
    <w:rsid w:val="50831B6F"/>
    <w:rsid w:val="50959DFF"/>
    <w:rsid w:val="50A7C51B"/>
    <w:rsid w:val="50AD8E29"/>
    <w:rsid w:val="50AF5D61"/>
    <w:rsid w:val="50B20683"/>
    <w:rsid w:val="50B448EA"/>
    <w:rsid w:val="50B6B536"/>
    <w:rsid w:val="50BB94B9"/>
    <w:rsid w:val="50C6156C"/>
    <w:rsid w:val="50C7368E"/>
    <w:rsid w:val="50CC1EB5"/>
    <w:rsid w:val="50D3A9B5"/>
    <w:rsid w:val="50DDE13E"/>
    <w:rsid w:val="50EDDEDE"/>
    <w:rsid w:val="511A9464"/>
    <w:rsid w:val="511D9F6A"/>
    <w:rsid w:val="51225E19"/>
    <w:rsid w:val="51241C20"/>
    <w:rsid w:val="51299F02"/>
    <w:rsid w:val="512CDC6C"/>
    <w:rsid w:val="51528D9B"/>
    <w:rsid w:val="51571808"/>
    <w:rsid w:val="515CFED9"/>
    <w:rsid w:val="5169409A"/>
    <w:rsid w:val="5178ABF7"/>
    <w:rsid w:val="517FF82A"/>
    <w:rsid w:val="518899FD"/>
    <w:rsid w:val="518B9210"/>
    <w:rsid w:val="5194E2ED"/>
    <w:rsid w:val="51B28BBC"/>
    <w:rsid w:val="51B8EA2F"/>
    <w:rsid w:val="51CD3536"/>
    <w:rsid w:val="51D29F47"/>
    <w:rsid w:val="51DC6664"/>
    <w:rsid w:val="51E00CE1"/>
    <w:rsid w:val="51FEA112"/>
    <w:rsid w:val="522364D7"/>
    <w:rsid w:val="522C50DD"/>
    <w:rsid w:val="522EB02F"/>
    <w:rsid w:val="522F5644"/>
    <w:rsid w:val="523820D2"/>
    <w:rsid w:val="5240E34D"/>
    <w:rsid w:val="5248904E"/>
    <w:rsid w:val="524E5E16"/>
    <w:rsid w:val="525259F4"/>
    <w:rsid w:val="5255C96A"/>
    <w:rsid w:val="525AED39"/>
    <w:rsid w:val="526D22DF"/>
    <w:rsid w:val="52728D19"/>
    <w:rsid w:val="52800DAB"/>
    <w:rsid w:val="52910FC5"/>
    <w:rsid w:val="529ADF79"/>
    <w:rsid w:val="529D92D7"/>
    <w:rsid w:val="52AC5BE8"/>
    <w:rsid w:val="52B8BC99"/>
    <w:rsid w:val="52BEB4B5"/>
    <w:rsid w:val="52BEF389"/>
    <w:rsid w:val="52C7A4AD"/>
    <w:rsid w:val="52C852F4"/>
    <w:rsid w:val="52C942CA"/>
    <w:rsid w:val="52CC5107"/>
    <w:rsid w:val="53073CE4"/>
    <w:rsid w:val="530843A3"/>
    <w:rsid w:val="5309C03F"/>
    <w:rsid w:val="53113856"/>
    <w:rsid w:val="531B7703"/>
    <w:rsid w:val="531D6543"/>
    <w:rsid w:val="5324C9F6"/>
    <w:rsid w:val="5329A79B"/>
    <w:rsid w:val="532A606E"/>
    <w:rsid w:val="5331606E"/>
    <w:rsid w:val="5346EA77"/>
    <w:rsid w:val="5351E6E4"/>
    <w:rsid w:val="53553D5A"/>
    <w:rsid w:val="53554618"/>
    <w:rsid w:val="5369848C"/>
    <w:rsid w:val="536F9FF6"/>
    <w:rsid w:val="5372CA4B"/>
    <w:rsid w:val="5379BF1B"/>
    <w:rsid w:val="537DA706"/>
    <w:rsid w:val="53841995"/>
    <w:rsid w:val="53B3A021"/>
    <w:rsid w:val="53BAF1C1"/>
    <w:rsid w:val="53BC0029"/>
    <w:rsid w:val="53D69016"/>
    <w:rsid w:val="53D79B4A"/>
    <w:rsid w:val="53E29D7E"/>
    <w:rsid w:val="53E32D4B"/>
    <w:rsid w:val="53E34205"/>
    <w:rsid w:val="53EAB923"/>
    <w:rsid w:val="53EC7DA4"/>
    <w:rsid w:val="53F3B7D3"/>
    <w:rsid w:val="54005638"/>
    <w:rsid w:val="5400F697"/>
    <w:rsid w:val="5417D0E8"/>
    <w:rsid w:val="541B755C"/>
    <w:rsid w:val="541F4B5B"/>
    <w:rsid w:val="54257752"/>
    <w:rsid w:val="5427410C"/>
    <w:rsid w:val="542ADA2F"/>
    <w:rsid w:val="5442A6AF"/>
    <w:rsid w:val="54524157"/>
    <w:rsid w:val="545B3542"/>
    <w:rsid w:val="545EE402"/>
    <w:rsid w:val="5462F1D4"/>
    <w:rsid w:val="546363D0"/>
    <w:rsid w:val="54637172"/>
    <w:rsid w:val="5467CA9D"/>
    <w:rsid w:val="546EF03D"/>
    <w:rsid w:val="54703967"/>
    <w:rsid w:val="547993FC"/>
    <w:rsid w:val="547B4E54"/>
    <w:rsid w:val="548B8352"/>
    <w:rsid w:val="548BDB27"/>
    <w:rsid w:val="548DC253"/>
    <w:rsid w:val="54998F94"/>
    <w:rsid w:val="549D1A41"/>
    <w:rsid w:val="54AAD8A1"/>
    <w:rsid w:val="54AFAF68"/>
    <w:rsid w:val="54AFFD1D"/>
    <w:rsid w:val="54C3DA7B"/>
    <w:rsid w:val="54C8E6CE"/>
    <w:rsid w:val="54C9B1CF"/>
    <w:rsid w:val="54CB2C6D"/>
    <w:rsid w:val="54D44106"/>
    <w:rsid w:val="54DB11B5"/>
    <w:rsid w:val="54E37977"/>
    <w:rsid w:val="54ED6D75"/>
    <w:rsid w:val="54FA5662"/>
    <w:rsid w:val="5506B28E"/>
    <w:rsid w:val="550BBFC5"/>
    <w:rsid w:val="553DCF7B"/>
    <w:rsid w:val="553FF098"/>
    <w:rsid w:val="5562DA31"/>
    <w:rsid w:val="5563EAC3"/>
    <w:rsid w:val="556C2ED2"/>
    <w:rsid w:val="5573ED9D"/>
    <w:rsid w:val="557DBB7B"/>
    <w:rsid w:val="5582FE86"/>
    <w:rsid w:val="558CC01C"/>
    <w:rsid w:val="5594108C"/>
    <w:rsid w:val="55A92FEF"/>
    <w:rsid w:val="55B1786B"/>
    <w:rsid w:val="55B3487E"/>
    <w:rsid w:val="55BC5A1A"/>
    <w:rsid w:val="55C4DC74"/>
    <w:rsid w:val="55C699BC"/>
    <w:rsid w:val="55D145D6"/>
    <w:rsid w:val="55D422F7"/>
    <w:rsid w:val="55DBD947"/>
    <w:rsid w:val="55FA5D19"/>
    <w:rsid w:val="560227DB"/>
    <w:rsid w:val="560CEA78"/>
    <w:rsid w:val="56115DBE"/>
    <w:rsid w:val="5619BF32"/>
    <w:rsid w:val="562D39FD"/>
    <w:rsid w:val="562E0AD1"/>
    <w:rsid w:val="5631CCB4"/>
    <w:rsid w:val="5631F70A"/>
    <w:rsid w:val="563ECF0F"/>
    <w:rsid w:val="564DB2BF"/>
    <w:rsid w:val="564EA023"/>
    <w:rsid w:val="565695CA"/>
    <w:rsid w:val="565F7600"/>
    <w:rsid w:val="5661FAA8"/>
    <w:rsid w:val="568E062F"/>
    <w:rsid w:val="56A5C813"/>
    <w:rsid w:val="56AA8EB4"/>
    <w:rsid w:val="56B71948"/>
    <w:rsid w:val="56B9D373"/>
    <w:rsid w:val="56BFD6C5"/>
    <w:rsid w:val="56C3AE65"/>
    <w:rsid w:val="56C3D5EE"/>
    <w:rsid w:val="56E788B1"/>
    <w:rsid w:val="56EB4E03"/>
    <w:rsid w:val="56EB6135"/>
    <w:rsid w:val="56EE1EA8"/>
    <w:rsid w:val="56F62952"/>
    <w:rsid w:val="57088A94"/>
    <w:rsid w:val="570D189B"/>
    <w:rsid w:val="570FFF06"/>
    <w:rsid w:val="57108D1C"/>
    <w:rsid w:val="57201617"/>
    <w:rsid w:val="57260E92"/>
    <w:rsid w:val="5726FDFE"/>
    <w:rsid w:val="57318387"/>
    <w:rsid w:val="5732C8E5"/>
    <w:rsid w:val="5734E743"/>
    <w:rsid w:val="573F9EE2"/>
    <w:rsid w:val="57407214"/>
    <w:rsid w:val="57416BC8"/>
    <w:rsid w:val="5744A030"/>
    <w:rsid w:val="575C1AC9"/>
    <w:rsid w:val="576258EB"/>
    <w:rsid w:val="5763C424"/>
    <w:rsid w:val="5766290C"/>
    <w:rsid w:val="5768245F"/>
    <w:rsid w:val="57729082"/>
    <w:rsid w:val="5772F9D3"/>
    <w:rsid w:val="577CB07D"/>
    <w:rsid w:val="57805E0E"/>
    <w:rsid w:val="578728D2"/>
    <w:rsid w:val="578D4968"/>
    <w:rsid w:val="579ED9B6"/>
    <w:rsid w:val="57A17424"/>
    <w:rsid w:val="57ABCDA5"/>
    <w:rsid w:val="57AF55DA"/>
    <w:rsid w:val="57B73838"/>
    <w:rsid w:val="57BC1A5E"/>
    <w:rsid w:val="57C9608D"/>
    <w:rsid w:val="57CA87B4"/>
    <w:rsid w:val="57CDD57A"/>
    <w:rsid w:val="57CF4BA8"/>
    <w:rsid w:val="57DCB4B5"/>
    <w:rsid w:val="57E56DEE"/>
    <w:rsid w:val="57F8700B"/>
    <w:rsid w:val="57F96701"/>
    <w:rsid w:val="5806A7B4"/>
    <w:rsid w:val="5807C04B"/>
    <w:rsid w:val="581E2686"/>
    <w:rsid w:val="581F7F31"/>
    <w:rsid w:val="5825A421"/>
    <w:rsid w:val="5832B238"/>
    <w:rsid w:val="58516A34"/>
    <w:rsid w:val="585F988F"/>
    <w:rsid w:val="5864DDAD"/>
    <w:rsid w:val="5867694B"/>
    <w:rsid w:val="586F3489"/>
    <w:rsid w:val="587568CC"/>
    <w:rsid w:val="58763302"/>
    <w:rsid w:val="5885D693"/>
    <w:rsid w:val="588A71A2"/>
    <w:rsid w:val="589608F7"/>
    <w:rsid w:val="58A8DED7"/>
    <w:rsid w:val="58AB0E6A"/>
    <w:rsid w:val="58ABD5E4"/>
    <w:rsid w:val="58AE05BD"/>
    <w:rsid w:val="58CFB108"/>
    <w:rsid w:val="58DA163B"/>
    <w:rsid w:val="58E33BC0"/>
    <w:rsid w:val="58E5F739"/>
    <w:rsid w:val="58E78C89"/>
    <w:rsid w:val="58EF5F62"/>
    <w:rsid w:val="590B0578"/>
    <w:rsid w:val="591AF28B"/>
    <w:rsid w:val="592A2BE6"/>
    <w:rsid w:val="5931D6DC"/>
    <w:rsid w:val="5931F378"/>
    <w:rsid w:val="5944A4C0"/>
    <w:rsid w:val="5945F8AF"/>
    <w:rsid w:val="5947750A"/>
    <w:rsid w:val="594A8BDB"/>
    <w:rsid w:val="5959D45F"/>
    <w:rsid w:val="596367DF"/>
    <w:rsid w:val="5966E191"/>
    <w:rsid w:val="59677EA2"/>
    <w:rsid w:val="59813C34"/>
    <w:rsid w:val="598C0292"/>
    <w:rsid w:val="5990420E"/>
    <w:rsid w:val="599D22D9"/>
    <w:rsid w:val="59AC8B39"/>
    <w:rsid w:val="59BA8688"/>
    <w:rsid w:val="59C7336A"/>
    <w:rsid w:val="59D71DE6"/>
    <w:rsid w:val="59D8A813"/>
    <w:rsid w:val="59DB7DA3"/>
    <w:rsid w:val="59E83466"/>
    <w:rsid w:val="59F78533"/>
    <w:rsid w:val="59F97E9E"/>
    <w:rsid w:val="59FA1C5C"/>
    <w:rsid w:val="5A02B3B2"/>
    <w:rsid w:val="5A192950"/>
    <w:rsid w:val="5A1C610E"/>
    <w:rsid w:val="5A1CE1D4"/>
    <w:rsid w:val="5A32D658"/>
    <w:rsid w:val="5A335461"/>
    <w:rsid w:val="5A3AB5ED"/>
    <w:rsid w:val="5A3C9D2C"/>
    <w:rsid w:val="5A3F699A"/>
    <w:rsid w:val="5A429E44"/>
    <w:rsid w:val="5A42FAD1"/>
    <w:rsid w:val="5A489B26"/>
    <w:rsid w:val="5A4B3E5D"/>
    <w:rsid w:val="5A509C88"/>
    <w:rsid w:val="5A51B9BD"/>
    <w:rsid w:val="5A6F9215"/>
    <w:rsid w:val="5A7BD850"/>
    <w:rsid w:val="5A886732"/>
    <w:rsid w:val="5A888F34"/>
    <w:rsid w:val="5A9AE95F"/>
    <w:rsid w:val="5A9E16D1"/>
    <w:rsid w:val="5AA049B7"/>
    <w:rsid w:val="5AA57A16"/>
    <w:rsid w:val="5AABCE23"/>
    <w:rsid w:val="5AADD7A9"/>
    <w:rsid w:val="5AB84CA4"/>
    <w:rsid w:val="5ACFFCFF"/>
    <w:rsid w:val="5AEA7832"/>
    <w:rsid w:val="5AEAF24A"/>
    <w:rsid w:val="5AEF1EE9"/>
    <w:rsid w:val="5AF0D023"/>
    <w:rsid w:val="5AF1738D"/>
    <w:rsid w:val="5AFE35F1"/>
    <w:rsid w:val="5B047D07"/>
    <w:rsid w:val="5B077656"/>
    <w:rsid w:val="5B1A2A34"/>
    <w:rsid w:val="5B2D9F3E"/>
    <w:rsid w:val="5B2E4245"/>
    <w:rsid w:val="5B3044FD"/>
    <w:rsid w:val="5B33A8B0"/>
    <w:rsid w:val="5B39D456"/>
    <w:rsid w:val="5B3B2757"/>
    <w:rsid w:val="5B3B2BFE"/>
    <w:rsid w:val="5B57A53C"/>
    <w:rsid w:val="5B58AC2D"/>
    <w:rsid w:val="5B652FFA"/>
    <w:rsid w:val="5B666B0D"/>
    <w:rsid w:val="5B67DF2C"/>
    <w:rsid w:val="5B6AA195"/>
    <w:rsid w:val="5B6DE520"/>
    <w:rsid w:val="5B72E701"/>
    <w:rsid w:val="5B767E1E"/>
    <w:rsid w:val="5B815BB9"/>
    <w:rsid w:val="5B875CD2"/>
    <w:rsid w:val="5B8C95FB"/>
    <w:rsid w:val="5BB328AA"/>
    <w:rsid w:val="5BB470DA"/>
    <w:rsid w:val="5BC2011C"/>
    <w:rsid w:val="5BC6D54E"/>
    <w:rsid w:val="5BCD7B78"/>
    <w:rsid w:val="5BD7DFB7"/>
    <w:rsid w:val="5BDBA357"/>
    <w:rsid w:val="5BE7E16C"/>
    <w:rsid w:val="5BF32BB3"/>
    <w:rsid w:val="5BFDF8EF"/>
    <w:rsid w:val="5BFE9268"/>
    <w:rsid w:val="5C136231"/>
    <w:rsid w:val="5C191F56"/>
    <w:rsid w:val="5C207208"/>
    <w:rsid w:val="5C2513C3"/>
    <w:rsid w:val="5C26FCC0"/>
    <w:rsid w:val="5C3A56FF"/>
    <w:rsid w:val="5C3C2DFC"/>
    <w:rsid w:val="5C4060FB"/>
    <w:rsid w:val="5C4C7CA3"/>
    <w:rsid w:val="5C4F1B07"/>
    <w:rsid w:val="5C515069"/>
    <w:rsid w:val="5C52EE74"/>
    <w:rsid w:val="5C6B00EC"/>
    <w:rsid w:val="5C6E6512"/>
    <w:rsid w:val="5C79B4A5"/>
    <w:rsid w:val="5C7AC7F6"/>
    <w:rsid w:val="5C912878"/>
    <w:rsid w:val="5C938761"/>
    <w:rsid w:val="5C98B9A8"/>
    <w:rsid w:val="5C9CB907"/>
    <w:rsid w:val="5CA429A0"/>
    <w:rsid w:val="5CA8AEA7"/>
    <w:rsid w:val="5CA9F581"/>
    <w:rsid w:val="5CAA81EB"/>
    <w:rsid w:val="5CB4CF90"/>
    <w:rsid w:val="5CB90B7D"/>
    <w:rsid w:val="5CBCA6F9"/>
    <w:rsid w:val="5CC5FDBE"/>
    <w:rsid w:val="5CDA62E3"/>
    <w:rsid w:val="5CE1E075"/>
    <w:rsid w:val="5CEBE1A1"/>
    <w:rsid w:val="5CEDE5F8"/>
    <w:rsid w:val="5CF432B6"/>
    <w:rsid w:val="5CF99DFA"/>
    <w:rsid w:val="5CFE090B"/>
    <w:rsid w:val="5CFFF8A7"/>
    <w:rsid w:val="5D048596"/>
    <w:rsid w:val="5D123BC0"/>
    <w:rsid w:val="5D20998B"/>
    <w:rsid w:val="5D2A493E"/>
    <w:rsid w:val="5D403813"/>
    <w:rsid w:val="5D405608"/>
    <w:rsid w:val="5D5AAB1C"/>
    <w:rsid w:val="5D6727B9"/>
    <w:rsid w:val="5D8A2663"/>
    <w:rsid w:val="5D901F4D"/>
    <w:rsid w:val="5D939C73"/>
    <w:rsid w:val="5D953228"/>
    <w:rsid w:val="5D95403D"/>
    <w:rsid w:val="5DA01A4B"/>
    <w:rsid w:val="5DA27778"/>
    <w:rsid w:val="5DA3938E"/>
    <w:rsid w:val="5DA6B7D4"/>
    <w:rsid w:val="5DB34F52"/>
    <w:rsid w:val="5DB8210A"/>
    <w:rsid w:val="5DBF4E34"/>
    <w:rsid w:val="5DC0EF35"/>
    <w:rsid w:val="5DE01A31"/>
    <w:rsid w:val="5DED879D"/>
    <w:rsid w:val="5E07DB32"/>
    <w:rsid w:val="5E1D48AB"/>
    <w:rsid w:val="5E2ADE4A"/>
    <w:rsid w:val="5E2ED10C"/>
    <w:rsid w:val="5E36D4CD"/>
    <w:rsid w:val="5E37CB1C"/>
    <w:rsid w:val="5E40F4F9"/>
    <w:rsid w:val="5E41ED1C"/>
    <w:rsid w:val="5E4D8E4F"/>
    <w:rsid w:val="5E51718C"/>
    <w:rsid w:val="5E6F8BB6"/>
    <w:rsid w:val="5E71AAF2"/>
    <w:rsid w:val="5E747B2B"/>
    <w:rsid w:val="5E7B5311"/>
    <w:rsid w:val="5E7FBE11"/>
    <w:rsid w:val="5E826E8F"/>
    <w:rsid w:val="5E8BDF6F"/>
    <w:rsid w:val="5E95C7D0"/>
    <w:rsid w:val="5EB5DF50"/>
    <w:rsid w:val="5EB9B9F4"/>
    <w:rsid w:val="5EC0913D"/>
    <w:rsid w:val="5EC09336"/>
    <w:rsid w:val="5EC820E8"/>
    <w:rsid w:val="5ED4D70B"/>
    <w:rsid w:val="5ED81040"/>
    <w:rsid w:val="5EE17EE1"/>
    <w:rsid w:val="5EE18110"/>
    <w:rsid w:val="5EE2034E"/>
    <w:rsid w:val="5F0F9E8F"/>
    <w:rsid w:val="5F10DBC5"/>
    <w:rsid w:val="5F15F74D"/>
    <w:rsid w:val="5F2267ED"/>
    <w:rsid w:val="5F250943"/>
    <w:rsid w:val="5F2A9471"/>
    <w:rsid w:val="5F36BC98"/>
    <w:rsid w:val="5F36E25D"/>
    <w:rsid w:val="5F396810"/>
    <w:rsid w:val="5F3AF641"/>
    <w:rsid w:val="5F3E9451"/>
    <w:rsid w:val="5F41771C"/>
    <w:rsid w:val="5F4C736B"/>
    <w:rsid w:val="5F4D10D5"/>
    <w:rsid w:val="5F4D53A4"/>
    <w:rsid w:val="5F4E659D"/>
    <w:rsid w:val="5F51EA83"/>
    <w:rsid w:val="5F74F8F8"/>
    <w:rsid w:val="5F763CB6"/>
    <w:rsid w:val="5F7D3E75"/>
    <w:rsid w:val="5F8102E7"/>
    <w:rsid w:val="5F90894F"/>
    <w:rsid w:val="5FAAEE56"/>
    <w:rsid w:val="5FAE7F7B"/>
    <w:rsid w:val="5FC2D7A7"/>
    <w:rsid w:val="5FCE014E"/>
    <w:rsid w:val="5FDBF652"/>
    <w:rsid w:val="5FEB6D02"/>
    <w:rsid w:val="5FF58EC9"/>
    <w:rsid w:val="5FF8C2B9"/>
    <w:rsid w:val="5FFD8B38"/>
    <w:rsid w:val="5FFFA784"/>
    <w:rsid w:val="6003976A"/>
    <w:rsid w:val="6005E453"/>
    <w:rsid w:val="601E7B26"/>
    <w:rsid w:val="602A2AB5"/>
    <w:rsid w:val="602EE01F"/>
    <w:rsid w:val="603780BD"/>
    <w:rsid w:val="60379EAC"/>
    <w:rsid w:val="604E694A"/>
    <w:rsid w:val="6058D035"/>
    <w:rsid w:val="605FEE32"/>
    <w:rsid w:val="606A8196"/>
    <w:rsid w:val="60769C70"/>
    <w:rsid w:val="607B02BE"/>
    <w:rsid w:val="60896627"/>
    <w:rsid w:val="60946A4D"/>
    <w:rsid w:val="60B5D02A"/>
    <w:rsid w:val="60BA0765"/>
    <w:rsid w:val="60BC9FC4"/>
    <w:rsid w:val="60D0F969"/>
    <w:rsid w:val="60DEF265"/>
    <w:rsid w:val="60E4010A"/>
    <w:rsid w:val="60E4111E"/>
    <w:rsid w:val="60E95059"/>
    <w:rsid w:val="60EF5508"/>
    <w:rsid w:val="6104421B"/>
    <w:rsid w:val="6107C72C"/>
    <w:rsid w:val="611F7310"/>
    <w:rsid w:val="6127DC92"/>
    <w:rsid w:val="6132F2FB"/>
    <w:rsid w:val="613934A9"/>
    <w:rsid w:val="613C5BAD"/>
    <w:rsid w:val="615B77B7"/>
    <w:rsid w:val="615B9859"/>
    <w:rsid w:val="615D0550"/>
    <w:rsid w:val="615F18F2"/>
    <w:rsid w:val="615F5135"/>
    <w:rsid w:val="616BAD6A"/>
    <w:rsid w:val="617938B9"/>
    <w:rsid w:val="617D0B2A"/>
    <w:rsid w:val="61836F13"/>
    <w:rsid w:val="6189BBEA"/>
    <w:rsid w:val="6190865E"/>
    <w:rsid w:val="619274F8"/>
    <w:rsid w:val="61AE333F"/>
    <w:rsid w:val="61AFBC63"/>
    <w:rsid w:val="61B6A894"/>
    <w:rsid w:val="61C546C2"/>
    <w:rsid w:val="61D48DF1"/>
    <w:rsid w:val="61E019D1"/>
    <w:rsid w:val="61E895B5"/>
    <w:rsid w:val="61F59576"/>
    <w:rsid w:val="61FE37DA"/>
    <w:rsid w:val="623539ED"/>
    <w:rsid w:val="623F5102"/>
    <w:rsid w:val="624BBF39"/>
    <w:rsid w:val="624DFC54"/>
    <w:rsid w:val="62516DDE"/>
    <w:rsid w:val="6259E04D"/>
    <w:rsid w:val="62671F6C"/>
    <w:rsid w:val="627993A8"/>
    <w:rsid w:val="627F1514"/>
    <w:rsid w:val="6293682C"/>
    <w:rsid w:val="62960C4A"/>
    <w:rsid w:val="62A99334"/>
    <w:rsid w:val="62AF0CEF"/>
    <w:rsid w:val="62AFBFC4"/>
    <w:rsid w:val="62B128FF"/>
    <w:rsid w:val="62C0E514"/>
    <w:rsid w:val="62C17E1E"/>
    <w:rsid w:val="62C1B835"/>
    <w:rsid w:val="62C2B103"/>
    <w:rsid w:val="62C35247"/>
    <w:rsid w:val="62C3BB85"/>
    <w:rsid w:val="62D4E524"/>
    <w:rsid w:val="62D69B50"/>
    <w:rsid w:val="62D915F6"/>
    <w:rsid w:val="62DCD094"/>
    <w:rsid w:val="62E5CAC5"/>
    <w:rsid w:val="62F0A600"/>
    <w:rsid w:val="62F33C16"/>
    <w:rsid w:val="62FAD172"/>
    <w:rsid w:val="6320A70E"/>
    <w:rsid w:val="63213771"/>
    <w:rsid w:val="6338C342"/>
    <w:rsid w:val="6341D7DF"/>
    <w:rsid w:val="63442299"/>
    <w:rsid w:val="634A47C7"/>
    <w:rsid w:val="635956EC"/>
    <w:rsid w:val="636CBD55"/>
    <w:rsid w:val="637D5805"/>
    <w:rsid w:val="63804663"/>
    <w:rsid w:val="638D1808"/>
    <w:rsid w:val="638F3A23"/>
    <w:rsid w:val="63929032"/>
    <w:rsid w:val="63929761"/>
    <w:rsid w:val="6393BBE8"/>
    <w:rsid w:val="6399A53A"/>
    <w:rsid w:val="639DCA07"/>
    <w:rsid w:val="63AC2965"/>
    <w:rsid w:val="63B21273"/>
    <w:rsid w:val="63BEC4D9"/>
    <w:rsid w:val="63C56D98"/>
    <w:rsid w:val="63CC406E"/>
    <w:rsid w:val="63F0CD48"/>
    <w:rsid w:val="640A0DBE"/>
    <w:rsid w:val="641ABF66"/>
    <w:rsid w:val="641DEA5A"/>
    <w:rsid w:val="642895F5"/>
    <w:rsid w:val="64382A89"/>
    <w:rsid w:val="644A2F80"/>
    <w:rsid w:val="646A56B6"/>
    <w:rsid w:val="646C7374"/>
    <w:rsid w:val="6473E504"/>
    <w:rsid w:val="6477E49B"/>
    <w:rsid w:val="6478B71B"/>
    <w:rsid w:val="647A78C6"/>
    <w:rsid w:val="648A27F8"/>
    <w:rsid w:val="64976BD6"/>
    <w:rsid w:val="64A64FD0"/>
    <w:rsid w:val="64AEFE05"/>
    <w:rsid w:val="64B24D24"/>
    <w:rsid w:val="64B68981"/>
    <w:rsid w:val="64BB400D"/>
    <w:rsid w:val="64C3D2FF"/>
    <w:rsid w:val="64D810D3"/>
    <w:rsid w:val="64F235D9"/>
    <w:rsid w:val="64F4C7F3"/>
    <w:rsid w:val="64F8932D"/>
    <w:rsid w:val="64FB345D"/>
    <w:rsid w:val="6503CACC"/>
    <w:rsid w:val="6506868E"/>
    <w:rsid w:val="65091A92"/>
    <w:rsid w:val="650BB62C"/>
    <w:rsid w:val="651B528C"/>
    <w:rsid w:val="652381E7"/>
    <w:rsid w:val="65264AA2"/>
    <w:rsid w:val="652D191A"/>
    <w:rsid w:val="652D7DB1"/>
    <w:rsid w:val="653DA4DC"/>
    <w:rsid w:val="6549EB85"/>
    <w:rsid w:val="6552054C"/>
    <w:rsid w:val="659302B0"/>
    <w:rsid w:val="6593B591"/>
    <w:rsid w:val="65958FA8"/>
    <w:rsid w:val="65997DB5"/>
    <w:rsid w:val="659C8B21"/>
    <w:rsid w:val="65A054AA"/>
    <w:rsid w:val="65AC92A1"/>
    <w:rsid w:val="65ADD5E5"/>
    <w:rsid w:val="65B7AC8A"/>
    <w:rsid w:val="65B7B0CD"/>
    <w:rsid w:val="65C19A63"/>
    <w:rsid w:val="65D4AAFD"/>
    <w:rsid w:val="6610D955"/>
    <w:rsid w:val="661BDEEC"/>
    <w:rsid w:val="661FA615"/>
    <w:rsid w:val="663708A9"/>
    <w:rsid w:val="663A0D98"/>
    <w:rsid w:val="66437E4F"/>
    <w:rsid w:val="6644963C"/>
    <w:rsid w:val="664556F8"/>
    <w:rsid w:val="664BE0BF"/>
    <w:rsid w:val="665CD76B"/>
    <w:rsid w:val="66616591"/>
    <w:rsid w:val="666446D2"/>
    <w:rsid w:val="667970A9"/>
    <w:rsid w:val="6679D927"/>
    <w:rsid w:val="667D5E89"/>
    <w:rsid w:val="668781E5"/>
    <w:rsid w:val="668D454C"/>
    <w:rsid w:val="66925279"/>
    <w:rsid w:val="669561E2"/>
    <w:rsid w:val="66AEF603"/>
    <w:rsid w:val="66AF6061"/>
    <w:rsid w:val="66B0346A"/>
    <w:rsid w:val="66B7857A"/>
    <w:rsid w:val="66BE3632"/>
    <w:rsid w:val="66C594A9"/>
    <w:rsid w:val="66C6E522"/>
    <w:rsid w:val="66D4DC23"/>
    <w:rsid w:val="66E021EB"/>
    <w:rsid w:val="66F4C4DF"/>
    <w:rsid w:val="6710EDF3"/>
    <w:rsid w:val="6713E972"/>
    <w:rsid w:val="671A5E30"/>
    <w:rsid w:val="672BBCA5"/>
    <w:rsid w:val="67365D5D"/>
    <w:rsid w:val="673A66CF"/>
    <w:rsid w:val="6746010B"/>
    <w:rsid w:val="67609A44"/>
    <w:rsid w:val="67661037"/>
    <w:rsid w:val="6767F280"/>
    <w:rsid w:val="67854B14"/>
    <w:rsid w:val="67A5832E"/>
    <w:rsid w:val="67ACB935"/>
    <w:rsid w:val="67AD1E3B"/>
    <w:rsid w:val="67AEB777"/>
    <w:rsid w:val="67B3D028"/>
    <w:rsid w:val="67B5A363"/>
    <w:rsid w:val="67BF8FDA"/>
    <w:rsid w:val="67C11B37"/>
    <w:rsid w:val="67C4ED5B"/>
    <w:rsid w:val="67D26D6F"/>
    <w:rsid w:val="67D86B63"/>
    <w:rsid w:val="67DE8D57"/>
    <w:rsid w:val="67DEC5CB"/>
    <w:rsid w:val="67E2FB4D"/>
    <w:rsid w:val="67EF43DE"/>
    <w:rsid w:val="67FA34C7"/>
    <w:rsid w:val="6816A8DD"/>
    <w:rsid w:val="6819C579"/>
    <w:rsid w:val="681FC8C2"/>
    <w:rsid w:val="68218516"/>
    <w:rsid w:val="6825DFDA"/>
    <w:rsid w:val="6827107A"/>
    <w:rsid w:val="6833BF9A"/>
    <w:rsid w:val="6834E6EC"/>
    <w:rsid w:val="68383951"/>
    <w:rsid w:val="6839A3E9"/>
    <w:rsid w:val="6846D2F7"/>
    <w:rsid w:val="684D1713"/>
    <w:rsid w:val="6852A5E5"/>
    <w:rsid w:val="685A4026"/>
    <w:rsid w:val="686859FD"/>
    <w:rsid w:val="686F7285"/>
    <w:rsid w:val="68796D7E"/>
    <w:rsid w:val="688190AE"/>
    <w:rsid w:val="6884A452"/>
    <w:rsid w:val="6886DE9B"/>
    <w:rsid w:val="688E03D9"/>
    <w:rsid w:val="6891E88F"/>
    <w:rsid w:val="689B46E1"/>
    <w:rsid w:val="689CB101"/>
    <w:rsid w:val="68A6A773"/>
    <w:rsid w:val="68B0B8E9"/>
    <w:rsid w:val="68D8DF14"/>
    <w:rsid w:val="68DDC4A2"/>
    <w:rsid w:val="68F5EAD7"/>
    <w:rsid w:val="68F8842B"/>
    <w:rsid w:val="68FCE2DD"/>
    <w:rsid w:val="68FF1C31"/>
    <w:rsid w:val="690D2EC5"/>
    <w:rsid w:val="690F0850"/>
    <w:rsid w:val="6913C5CD"/>
    <w:rsid w:val="691F0D5A"/>
    <w:rsid w:val="6930FFDF"/>
    <w:rsid w:val="6932FE1D"/>
    <w:rsid w:val="6935934F"/>
    <w:rsid w:val="693C4A79"/>
    <w:rsid w:val="6947E7F4"/>
    <w:rsid w:val="694AA620"/>
    <w:rsid w:val="696ABA18"/>
    <w:rsid w:val="69816D86"/>
    <w:rsid w:val="698751AC"/>
    <w:rsid w:val="699DF1CC"/>
    <w:rsid w:val="69A3DBB8"/>
    <w:rsid w:val="69A44CC3"/>
    <w:rsid w:val="69BEA8AA"/>
    <w:rsid w:val="69C17A47"/>
    <w:rsid w:val="69D20657"/>
    <w:rsid w:val="69DAC1FA"/>
    <w:rsid w:val="69E03C6A"/>
    <w:rsid w:val="69E3DC18"/>
    <w:rsid w:val="69E3E97E"/>
    <w:rsid w:val="69E659BF"/>
    <w:rsid w:val="69FA320E"/>
    <w:rsid w:val="6A0A603B"/>
    <w:rsid w:val="6A1F53C8"/>
    <w:rsid w:val="6A291EB2"/>
    <w:rsid w:val="6A2EE2EC"/>
    <w:rsid w:val="6A3645EB"/>
    <w:rsid w:val="6A389B0E"/>
    <w:rsid w:val="6A389F45"/>
    <w:rsid w:val="6A3F0C80"/>
    <w:rsid w:val="6A403967"/>
    <w:rsid w:val="6A433504"/>
    <w:rsid w:val="6A4DBC68"/>
    <w:rsid w:val="6A4DC8F6"/>
    <w:rsid w:val="6A5B7919"/>
    <w:rsid w:val="6A644B71"/>
    <w:rsid w:val="6A6959D4"/>
    <w:rsid w:val="6A6CE6AA"/>
    <w:rsid w:val="6A6FAE17"/>
    <w:rsid w:val="6A815E3B"/>
    <w:rsid w:val="6A92691F"/>
    <w:rsid w:val="6A9B9709"/>
    <w:rsid w:val="6AA2B1F4"/>
    <w:rsid w:val="6AA60F73"/>
    <w:rsid w:val="6ACA09A9"/>
    <w:rsid w:val="6ACC6763"/>
    <w:rsid w:val="6AD2BFBA"/>
    <w:rsid w:val="6AD42FBC"/>
    <w:rsid w:val="6AE699CB"/>
    <w:rsid w:val="6AE6C14C"/>
    <w:rsid w:val="6AEE03A9"/>
    <w:rsid w:val="6AF2D4F0"/>
    <w:rsid w:val="6AF8DA0E"/>
    <w:rsid w:val="6B0248C0"/>
    <w:rsid w:val="6B02D70C"/>
    <w:rsid w:val="6B0791E0"/>
    <w:rsid w:val="6B20EE6E"/>
    <w:rsid w:val="6B35623D"/>
    <w:rsid w:val="6B37388C"/>
    <w:rsid w:val="6B3FDFDE"/>
    <w:rsid w:val="6B46DFE2"/>
    <w:rsid w:val="6B498839"/>
    <w:rsid w:val="6B4A3932"/>
    <w:rsid w:val="6B4E606F"/>
    <w:rsid w:val="6B5B8124"/>
    <w:rsid w:val="6B746A76"/>
    <w:rsid w:val="6B7CD94B"/>
    <w:rsid w:val="6B7FFC1E"/>
    <w:rsid w:val="6B84D350"/>
    <w:rsid w:val="6B8551CA"/>
    <w:rsid w:val="6B8D231D"/>
    <w:rsid w:val="6B8DA5D2"/>
    <w:rsid w:val="6B9223C7"/>
    <w:rsid w:val="6B92DE29"/>
    <w:rsid w:val="6BA892CE"/>
    <w:rsid w:val="6BB60438"/>
    <w:rsid w:val="6BB686F1"/>
    <w:rsid w:val="6BC1BE00"/>
    <w:rsid w:val="6BEBFFB2"/>
    <w:rsid w:val="6BF4D4D2"/>
    <w:rsid w:val="6BF7F343"/>
    <w:rsid w:val="6BF9430F"/>
    <w:rsid w:val="6BFA2AD3"/>
    <w:rsid w:val="6C04AECF"/>
    <w:rsid w:val="6C0CB905"/>
    <w:rsid w:val="6C12C4EF"/>
    <w:rsid w:val="6C3B69FC"/>
    <w:rsid w:val="6C3B97E3"/>
    <w:rsid w:val="6C3ECED8"/>
    <w:rsid w:val="6C5009DC"/>
    <w:rsid w:val="6C58136E"/>
    <w:rsid w:val="6C63C212"/>
    <w:rsid w:val="6C6D43A5"/>
    <w:rsid w:val="6C70E038"/>
    <w:rsid w:val="6C74450D"/>
    <w:rsid w:val="6C79B47A"/>
    <w:rsid w:val="6C7CA267"/>
    <w:rsid w:val="6C867D01"/>
    <w:rsid w:val="6C86E3AA"/>
    <w:rsid w:val="6C8D2F7D"/>
    <w:rsid w:val="6C9B3894"/>
    <w:rsid w:val="6C9BAA0F"/>
    <w:rsid w:val="6CA51596"/>
    <w:rsid w:val="6CA58790"/>
    <w:rsid w:val="6CA95584"/>
    <w:rsid w:val="6CA9F48D"/>
    <w:rsid w:val="6CAA4AAD"/>
    <w:rsid w:val="6CB0EA2B"/>
    <w:rsid w:val="6CD07616"/>
    <w:rsid w:val="6CD27DCF"/>
    <w:rsid w:val="6CD3EEF1"/>
    <w:rsid w:val="6CDAD0C3"/>
    <w:rsid w:val="6CE218E9"/>
    <w:rsid w:val="6CE278CF"/>
    <w:rsid w:val="6CE2DCFE"/>
    <w:rsid w:val="6CE9163F"/>
    <w:rsid w:val="6CFAE2A5"/>
    <w:rsid w:val="6D0C9FCF"/>
    <w:rsid w:val="6D135A76"/>
    <w:rsid w:val="6D16680C"/>
    <w:rsid w:val="6D1B3D00"/>
    <w:rsid w:val="6D1FCF4E"/>
    <w:rsid w:val="6D26E0AA"/>
    <w:rsid w:val="6D307AC4"/>
    <w:rsid w:val="6D32920F"/>
    <w:rsid w:val="6D3BE3D7"/>
    <w:rsid w:val="6D43F9EC"/>
    <w:rsid w:val="6D44DC1F"/>
    <w:rsid w:val="6D454960"/>
    <w:rsid w:val="6D55D190"/>
    <w:rsid w:val="6D90EEE4"/>
    <w:rsid w:val="6D9AA7EE"/>
    <w:rsid w:val="6D9EFD6A"/>
    <w:rsid w:val="6DB587DB"/>
    <w:rsid w:val="6DCCD842"/>
    <w:rsid w:val="6DD18AD8"/>
    <w:rsid w:val="6DD69D54"/>
    <w:rsid w:val="6DDEACFD"/>
    <w:rsid w:val="6DE119E8"/>
    <w:rsid w:val="6DE3937F"/>
    <w:rsid w:val="6DED7909"/>
    <w:rsid w:val="6E0275E3"/>
    <w:rsid w:val="6E174560"/>
    <w:rsid w:val="6E24FA14"/>
    <w:rsid w:val="6E2CC697"/>
    <w:rsid w:val="6E343D95"/>
    <w:rsid w:val="6E3A09A1"/>
    <w:rsid w:val="6E3A62E1"/>
    <w:rsid w:val="6E431C9D"/>
    <w:rsid w:val="6E463F15"/>
    <w:rsid w:val="6E4726BD"/>
    <w:rsid w:val="6E550B29"/>
    <w:rsid w:val="6E5B8237"/>
    <w:rsid w:val="6E5BA142"/>
    <w:rsid w:val="6E5C4717"/>
    <w:rsid w:val="6E6FF38D"/>
    <w:rsid w:val="6E75452D"/>
    <w:rsid w:val="6E7A456D"/>
    <w:rsid w:val="6E7E638B"/>
    <w:rsid w:val="6E82E1B6"/>
    <w:rsid w:val="6EA238CB"/>
    <w:rsid w:val="6EA57269"/>
    <w:rsid w:val="6EBEDE44"/>
    <w:rsid w:val="6EBFE5CF"/>
    <w:rsid w:val="6EC5F17F"/>
    <w:rsid w:val="6ED64820"/>
    <w:rsid w:val="6EF79D26"/>
    <w:rsid w:val="6F1D9C90"/>
    <w:rsid w:val="6F2CA34C"/>
    <w:rsid w:val="6F41A1EE"/>
    <w:rsid w:val="6F421D92"/>
    <w:rsid w:val="6F59094B"/>
    <w:rsid w:val="6F65E6C3"/>
    <w:rsid w:val="6F6BCDD0"/>
    <w:rsid w:val="6F73943F"/>
    <w:rsid w:val="6F7B4AF7"/>
    <w:rsid w:val="6F7B77C6"/>
    <w:rsid w:val="6F7BCD08"/>
    <w:rsid w:val="6F94248E"/>
    <w:rsid w:val="6F96C087"/>
    <w:rsid w:val="6F9F295B"/>
    <w:rsid w:val="6FA31D86"/>
    <w:rsid w:val="6FADDABF"/>
    <w:rsid w:val="6FBC2CC4"/>
    <w:rsid w:val="6FCEFCB0"/>
    <w:rsid w:val="6FD223A3"/>
    <w:rsid w:val="6FD23761"/>
    <w:rsid w:val="6FD38532"/>
    <w:rsid w:val="6FDE850C"/>
    <w:rsid w:val="6FDEFE55"/>
    <w:rsid w:val="6FF17E2C"/>
    <w:rsid w:val="6FF4168D"/>
    <w:rsid w:val="6FF6D7F9"/>
    <w:rsid w:val="6FFDEFF7"/>
    <w:rsid w:val="7000653F"/>
    <w:rsid w:val="700E8497"/>
    <w:rsid w:val="7039E8F6"/>
    <w:rsid w:val="703D009D"/>
    <w:rsid w:val="704DE277"/>
    <w:rsid w:val="704DEA35"/>
    <w:rsid w:val="70565939"/>
    <w:rsid w:val="7058D797"/>
    <w:rsid w:val="705E57BF"/>
    <w:rsid w:val="7065A9B7"/>
    <w:rsid w:val="7067117B"/>
    <w:rsid w:val="706FD580"/>
    <w:rsid w:val="7070CF18"/>
    <w:rsid w:val="70757681"/>
    <w:rsid w:val="70847241"/>
    <w:rsid w:val="7089FC1A"/>
    <w:rsid w:val="709C2D56"/>
    <w:rsid w:val="70ACF026"/>
    <w:rsid w:val="70B107F5"/>
    <w:rsid w:val="70B84289"/>
    <w:rsid w:val="70CA6098"/>
    <w:rsid w:val="70D48D8B"/>
    <w:rsid w:val="70E86A3E"/>
    <w:rsid w:val="70E8811D"/>
    <w:rsid w:val="70EA6B47"/>
    <w:rsid w:val="70F881C7"/>
    <w:rsid w:val="70FC36C8"/>
    <w:rsid w:val="7103899E"/>
    <w:rsid w:val="710C03E4"/>
    <w:rsid w:val="712F9D2C"/>
    <w:rsid w:val="71334B6D"/>
    <w:rsid w:val="713832A6"/>
    <w:rsid w:val="713A4A5D"/>
    <w:rsid w:val="715383DF"/>
    <w:rsid w:val="7175A9EC"/>
    <w:rsid w:val="718213F4"/>
    <w:rsid w:val="719F8464"/>
    <w:rsid w:val="71C0412B"/>
    <w:rsid w:val="71C0A492"/>
    <w:rsid w:val="71D69B2A"/>
    <w:rsid w:val="722521F8"/>
    <w:rsid w:val="722B813F"/>
    <w:rsid w:val="72302F53"/>
    <w:rsid w:val="724C71C6"/>
    <w:rsid w:val="72553380"/>
    <w:rsid w:val="72627801"/>
    <w:rsid w:val="72722168"/>
    <w:rsid w:val="7276278F"/>
    <w:rsid w:val="727DF72F"/>
    <w:rsid w:val="727F108E"/>
    <w:rsid w:val="728B6DFE"/>
    <w:rsid w:val="728E5069"/>
    <w:rsid w:val="72A72F97"/>
    <w:rsid w:val="72ACD737"/>
    <w:rsid w:val="72CB797D"/>
    <w:rsid w:val="72D19881"/>
    <w:rsid w:val="72D30190"/>
    <w:rsid w:val="72E06BF2"/>
    <w:rsid w:val="72EC9779"/>
    <w:rsid w:val="72F47307"/>
    <w:rsid w:val="72FACD20"/>
    <w:rsid w:val="7308CC42"/>
    <w:rsid w:val="731346A5"/>
    <w:rsid w:val="7313890F"/>
    <w:rsid w:val="73160F10"/>
    <w:rsid w:val="731A4FE5"/>
    <w:rsid w:val="732AF3C5"/>
    <w:rsid w:val="73300D41"/>
    <w:rsid w:val="734E4B76"/>
    <w:rsid w:val="734F304D"/>
    <w:rsid w:val="7351B492"/>
    <w:rsid w:val="735C83F1"/>
    <w:rsid w:val="735D75DA"/>
    <w:rsid w:val="737B0B65"/>
    <w:rsid w:val="737D92FF"/>
    <w:rsid w:val="737FD92E"/>
    <w:rsid w:val="73866227"/>
    <w:rsid w:val="73942DB6"/>
    <w:rsid w:val="739BD39F"/>
    <w:rsid w:val="739ED613"/>
    <w:rsid w:val="73A1C0D3"/>
    <w:rsid w:val="73A8A383"/>
    <w:rsid w:val="73B751E3"/>
    <w:rsid w:val="73BA2130"/>
    <w:rsid w:val="73BEA022"/>
    <w:rsid w:val="73CAA35C"/>
    <w:rsid w:val="73D0ECA5"/>
    <w:rsid w:val="73DC7FF3"/>
    <w:rsid w:val="73E64C97"/>
    <w:rsid w:val="73EE39D8"/>
    <w:rsid w:val="74069BE8"/>
    <w:rsid w:val="741C33DF"/>
    <w:rsid w:val="74254F33"/>
    <w:rsid w:val="742E0ADE"/>
    <w:rsid w:val="7430EB0C"/>
    <w:rsid w:val="743E2E85"/>
    <w:rsid w:val="744F9C83"/>
    <w:rsid w:val="74582ADF"/>
    <w:rsid w:val="745EB515"/>
    <w:rsid w:val="746ED358"/>
    <w:rsid w:val="7470A86A"/>
    <w:rsid w:val="7472A6DC"/>
    <w:rsid w:val="7485057E"/>
    <w:rsid w:val="748B3913"/>
    <w:rsid w:val="748FC6C4"/>
    <w:rsid w:val="7496FA33"/>
    <w:rsid w:val="7498EC0B"/>
    <w:rsid w:val="7498FA99"/>
    <w:rsid w:val="74B76378"/>
    <w:rsid w:val="74BDBAA2"/>
    <w:rsid w:val="74C0D025"/>
    <w:rsid w:val="74CA4269"/>
    <w:rsid w:val="74DDC41B"/>
    <w:rsid w:val="74F0634E"/>
    <w:rsid w:val="74F6451F"/>
    <w:rsid w:val="74F6E4FB"/>
    <w:rsid w:val="75029C84"/>
    <w:rsid w:val="750A045C"/>
    <w:rsid w:val="752822AB"/>
    <w:rsid w:val="7542C629"/>
    <w:rsid w:val="7545C2E2"/>
    <w:rsid w:val="7545E009"/>
    <w:rsid w:val="75495D0F"/>
    <w:rsid w:val="75508BC4"/>
    <w:rsid w:val="757069AC"/>
    <w:rsid w:val="757431DF"/>
    <w:rsid w:val="75785FFB"/>
    <w:rsid w:val="75884DB2"/>
    <w:rsid w:val="758AB732"/>
    <w:rsid w:val="75940FCA"/>
    <w:rsid w:val="75B16877"/>
    <w:rsid w:val="75BF5646"/>
    <w:rsid w:val="75DAB1D4"/>
    <w:rsid w:val="75E0CD91"/>
    <w:rsid w:val="75FA1746"/>
    <w:rsid w:val="760178EA"/>
    <w:rsid w:val="761422D0"/>
    <w:rsid w:val="76254369"/>
    <w:rsid w:val="764B19FF"/>
    <w:rsid w:val="764DCEEA"/>
    <w:rsid w:val="76512D03"/>
    <w:rsid w:val="76567E24"/>
    <w:rsid w:val="7673BCC3"/>
    <w:rsid w:val="768845F5"/>
    <w:rsid w:val="768D9025"/>
    <w:rsid w:val="7699B36A"/>
    <w:rsid w:val="769B547E"/>
    <w:rsid w:val="769BCAFC"/>
    <w:rsid w:val="76A1DF39"/>
    <w:rsid w:val="76D629D9"/>
    <w:rsid w:val="76ECE5F5"/>
    <w:rsid w:val="76ED0B6B"/>
    <w:rsid w:val="7705F8B8"/>
    <w:rsid w:val="770E0737"/>
    <w:rsid w:val="7710E552"/>
    <w:rsid w:val="771A6699"/>
    <w:rsid w:val="771FD021"/>
    <w:rsid w:val="77214B9E"/>
    <w:rsid w:val="7723552A"/>
    <w:rsid w:val="77238AE0"/>
    <w:rsid w:val="7726B383"/>
    <w:rsid w:val="77277721"/>
    <w:rsid w:val="7729D2E0"/>
    <w:rsid w:val="772E0A13"/>
    <w:rsid w:val="7736CF8C"/>
    <w:rsid w:val="77498D83"/>
    <w:rsid w:val="776C4E8D"/>
    <w:rsid w:val="776E6F41"/>
    <w:rsid w:val="777E766E"/>
    <w:rsid w:val="777FFBD0"/>
    <w:rsid w:val="779505CA"/>
    <w:rsid w:val="779A3E05"/>
    <w:rsid w:val="779DC7E0"/>
    <w:rsid w:val="779DEEFA"/>
    <w:rsid w:val="77AED4B7"/>
    <w:rsid w:val="77B40A66"/>
    <w:rsid w:val="77B4C6B6"/>
    <w:rsid w:val="77B5210B"/>
    <w:rsid w:val="77C6B5CE"/>
    <w:rsid w:val="77CCB8FF"/>
    <w:rsid w:val="77CED552"/>
    <w:rsid w:val="77D1FDE3"/>
    <w:rsid w:val="77D7BA76"/>
    <w:rsid w:val="77DB9A73"/>
    <w:rsid w:val="77DF83B5"/>
    <w:rsid w:val="77E370CE"/>
    <w:rsid w:val="77E6DE3E"/>
    <w:rsid w:val="77F24226"/>
    <w:rsid w:val="77F3747D"/>
    <w:rsid w:val="77FC4C22"/>
    <w:rsid w:val="77FF79A6"/>
    <w:rsid w:val="7821D764"/>
    <w:rsid w:val="782380B3"/>
    <w:rsid w:val="782514DD"/>
    <w:rsid w:val="783204B1"/>
    <w:rsid w:val="784150AE"/>
    <w:rsid w:val="78479D06"/>
    <w:rsid w:val="78535C80"/>
    <w:rsid w:val="787225F6"/>
    <w:rsid w:val="7877B26A"/>
    <w:rsid w:val="787E589E"/>
    <w:rsid w:val="7881A8EE"/>
    <w:rsid w:val="7886EA9D"/>
    <w:rsid w:val="788ABB75"/>
    <w:rsid w:val="788D1CAC"/>
    <w:rsid w:val="78991CEE"/>
    <w:rsid w:val="78AF2A8B"/>
    <w:rsid w:val="78B9D8F5"/>
    <w:rsid w:val="78BF520F"/>
    <w:rsid w:val="78C63DA4"/>
    <w:rsid w:val="78C8B4C7"/>
    <w:rsid w:val="78C9A19F"/>
    <w:rsid w:val="78D0C6B3"/>
    <w:rsid w:val="78D4D62C"/>
    <w:rsid w:val="78DF1ACF"/>
    <w:rsid w:val="78F848AC"/>
    <w:rsid w:val="78FB414A"/>
    <w:rsid w:val="7901F3A3"/>
    <w:rsid w:val="791720A3"/>
    <w:rsid w:val="79254FEC"/>
    <w:rsid w:val="7928D854"/>
    <w:rsid w:val="792B1AA6"/>
    <w:rsid w:val="7930E3F5"/>
    <w:rsid w:val="79441238"/>
    <w:rsid w:val="7948AF2B"/>
    <w:rsid w:val="7949A158"/>
    <w:rsid w:val="794FF2C9"/>
    <w:rsid w:val="79530BE4"/>
    <w:rsid w:val="7953A85A"/>
    <w:rsid w:val="7955750F"/>
    <w:rsid w:val="795705F8"/>
    <w:rsid w:val="7963388A"/>
    <w:rsid w:val="79658BAF"/>
    <w:rsid w:val="7966FB9F"/>
    <w:rsid w:val="796D9F54"/>
    <w:rsid w:val="798404B8"/>
    <w:rsid w:val="798C6FB6"/>
    <w:rsid w:val="79C57B12"/>
    <w:rsid w:val="79CC3FF7"/>
    <w:rsid w:val="79D33323"/>
    <w:rsid w:val="79D80DDC"/>
    <w:rsid w:val="79DC4AA3"/>
    <w:rsid w:val="79DC82BF"/>
    <w:rsid w:val="79DEF650"/>
    <w:rsid w:val="79E6BAC8"/>
    <w:rsid w:val="7A06EA16"/>
    <w:rsid w:val="7A176ACB"/>
    <w:rsid w:val="7A196770"/>
    <w:rsid w:val="7A279391"/>
    <w:rsid w:val="7A3AFAD9"/>
    <w:rsid w:val="7A4B784D"/>
    <w:rsid w:val="7A4E5D37"/>
    <w:rsid w:val="7A51497A"/>
    <w:rsid w:val="7A5172AB"/>
    <w:rsid w:val="7A56389C"/>
    <w:rsid w:val="7A5F8979"/>
    <w:rsid w:val="7A6660D9"/>
    <w:rsid w:val="7A7D6BCB"/>
    <w:rsid w:val="7A927022"/>
    <w:rsid w:val="7AA23C64"/>
    <w:rsid w:val="7AB14FBC"/>
    <w:rsid w:val="7AB9690B"/>
    <w:rsid w:val="7ABBF4D0"/>
    <w:rsid w:val="7ACDADF5"/>
    <w:rsid w:val="7AFD4137"/>
    <w:rsid w:val="7B08A3B5"/>
    <w:rsid w:val="7B179931"/>
    <w:rsid w:val="7B1A50BD"/>
    <w:rsid w:val="7B1AA00F"/>
    <w:rsid w:val="7B27A045"/>
    <w:rsid w:val="7B2C516E"/>
    <w:rsid w:val="7B2E266B"/>
    <w:rsid w:val="7B329D74"/>
    <w:rsid w:val="7B3756AD"/>
    <w:rsid w:val="7B635E56"/>
    <w:rsid w:val="7B63DCB8"/>
    <w:rsid w:val="7B66D6D8"/>
    <w:rsid w:val="7B88AD01"/>
    <w:rsid w:val="7B8A3255"/>
    <w:rsid w:val="7B968448"/>
    <w:rsid w:val="7B982472"/>
    <w:rsid w:val="7B9F9D4D"/>
    <w:rsid w:val="7BA59D9B"/>
    <w:rsid w:val="7BB0A3B5"/>
    <w:rsid w:val="7BDA6223"/>
    <w:rsid w:val="7BDDB9A1"/>
    <w:rsid w:val="7BE00B3A"/>
    <w:rsid w:val="7BE3FA84"/>
    <w:rsid w:val="7BEC0158"/>
    <w:rsid w:val="7BF00CAE"/>
    <w:rsid w:val="7BFB14A2"/>
    <w:rsid w:val="7C001948"/>
    <w:rsid w:val="7C06090E"/>
    <w:rsid w:val="7C081438"/>
    <w:rsid w:val="7C0CF068"/>
    <w:rsid w:val="7C145C48"/>
    <w:rsid w:val="7C1F3B4D"/>
    <w:rsid w:val="7C2C0FCF"/>
    <w:rsid w:val="7C2CAF1C"/>
    <w:rsid w:val="7C2D0E00"/>
    <w:rsid w:val="7C3165DD"/>
    <w:rsid w:val="7C338243"/>
    <w:rsid w:val="7C3DC6D7"/>
    <w:rsid w:val="7C40F8D7"/>
    <w:rsid w:val="7C532823"/>
    <w:rsid w:val="7C55B00C"/>
    <w:rsid w:val="7C5A84EF"/>
    <w:rsid w:val="7C63CF11"/>
    <w:rsid w:val="7C644A0A"/>
    <w:rsid w:val="7C670E6D"/>
    <w:rsid w:val="7C6D8043"/>
    <w:rsid w:val="7C6EB1E5"/>
    <w:rsid w:val="7C7707BA"/>
    <w:rsid w:val="7C7F3629"/>
    <w:rsid w:val="7C81403A"/>
    <w:rsid w:val="7C83A958"/>
    <w:rsid w:val="7CA46BE6"/>
    <w:rsid w:val="7CA986F4"/>
    <w:rsid w:val="7CB2DB50"/>
    <w:rsid w:val="7CBFF07E"/>
    <w:rsid w:val="7CC00736"/>
    <w:rsid w:val="7CC04A8E"/>
    <w:rsid w:val="7CC45E0C"/>
    <w:rsid w:val="7CC79245"/>
    <w:rsid w:val="7CC8948B"/>
    <w:rsid w:val="7CD02CA0"/>
    <w:rsid w:val="7CD44799"/>
    <w:rsid w:val="7CD790A5"/>
    <w:rsid w:val="7CDB00FB"/>
    <w:rsid w:val="7CE72C3D"/>
    <w:rsid w:val="7CE7EDC5"/>
    <w:rsid w:val="7CF1263D"/>
    <w:rsid w:val="7CF9780C"/>
    <w:rsid w:val="7CFA0CAE"/>
    <w:rsid w:val="7D216FF4"/>
    <w:rsid w:val="7D21B8B0"/>
    <w:rsid w:val="7D23D561"/>
    <w:rsid w:val="7D29C122"/>
    <w:rsid w:val="7D33C4C5"/>
    <w:rsid w:val="7D4851A4"/>
    <w:rsid w:val="7D491921"/>
    <w:rsid w:val="7D510D8E"/>
    <w:rsid w:val="7D576D93"/>
    <w:rsid w:val="7D67B109"/>
    <w:rsid w:val="7D69A828"/>
    <w:rsid w:val="7D764E2E"/>
    <w:rsid w:val="7D8D3AED"/>
    <w:rsid w:val="7D8FEB0C"/>
    <w:rsid w:val="7D9CA1EA"/>
    <w:rsid w:val="7DA44187"/>
    <w:rsid w:val="7DB1E30C"/>
    <w:rsid w:val="7DC87DED"/>
    <w:rsid w:val="7DCF162D"/>
    <w:rsid w:val="7DCF33FD"/>
    <w:rsid w:val="7DD9F39F"/>
    <w:rsid w:val="7DDE5569"/>
    <w:rsid w:val="7DEC3C6A"/>
    <w:rsid w:val="7E1A564B"/>
    <w:rsid w:val="7E24DAC2"/>
    <w:rsid w:val="7E275B76"/>
    <w:rsid w:val="7E292FBC"/>
    <w:rsid w:val="7E3E3D56"/>
    <w:rsid w:val="7E418A74"/>
    <w:rsid w:val="7E602E73"/>
    <w:rsid w:val="7E69F059"/>
    <w:rsid w:val="7E6D4201"/>
    <w:rsid w:val="7E7FC96F"/>
    <w:rsid w:val="7E8900E4"/>
    <w:rsid w:val="7E8B99B7"/>
    <w:rsid w:val="7E91E2F3"/>
    <w:rsid w:val="7EB7617A"/>
    <w:rsid w:val="7EDD6147"/>
    <w:rsid w:val="7EDE51AB"/>
    <w:rsid w:val="7EEA3D4B"/>
    <w:rsid w:val="7EECA515"/>
    <w:rsid w:val="7F1EC720"/>
    <w:rsid w:val="7F25A8E0"/>
    <w:rsid w:val="7F285A85"/>
    <w:rsid w:val="7F2956D1"/>
    <w:rsid w:val="7F388B69"/>
    <w:rsid w:val="7F49EE09"/>
    <w:rsid w:val="7F6272D1"/>
    <w:rsid w:val="7F66D09A"/>
    <w:rsid w:val="7F6C70ED"/>
    <w:rsid w:val="7F70EFC0"/>
    <w:rsid w:val="7F8ED521"/>
    <w:rsid w:val="7F9124AF"/>
    <w:rsid w:val="7F946947"/>
    <w:rsid w:val="7F9AF22E"/>
    <w:rsid w:val="7FA24CC0"/>
    <w:rsid w:val="7FA56B57"/>
    <w:rsid w:val="7FA69C28"/>
    <w:rsid w:val="7FAC72BB"/>
    <w:rsid w:val="7FADA4E2"/>
    <w:rsid w:val="7FB2A476"/>
    <w:rsid w:val="7FB6CDD2"/>
    <w:rsid w:val="7FBC426A"/>
    <w:rsid w:val="7FCBE819"/>
    <w:rsid w:val="7FD26D36"/>
    <w:rsid w:val="7FD40BE3"/>
    <w:rsid w:val="7FD69BF6"/>
    <w:rsid w:val="7FEB638D"/>
    <w:rsid w:val="7FFBACA9"/>
    <w:rsid w:val="7FFC0E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273E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0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0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0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0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3E7EA6"/>
    <w:pPr>
      <w:numPr>
        <w:numId w:val="2"/>
      </w:numPr>
      <w:tabs>
        <w:tab w:val="clear" w:pos="1134"/>
        <w:tab w:val="num" w:pos="360"/>
      </w:tabs>
      <w:ind w:left="0" w:firstLine="0"/>
    </w:pPr>
    <w:rPr>
      <w:rFonts w:eastAsia="Times New Roman"/>
      <w:lang w:eastAsia="de-DE"/>
    </w:rPr>
  </w:style>
  <w:style w:type="paragraph" w:styleId="ListNumber">
    <w:name w:val="List Number"/>
    <w:basedOn w:val="Normal"/>
    <w:rsid w:val="003E7EA6"/>
    <w:pPr>
      <w:numPr>
        <w:numId w:val="6"/>
      </w:numPr>
    </w:pPr>
    <w:rPr>
      <w:rFonts w:eastAsia="Times New Roman"/>
      <w:lang w:eastAsia="de-DE"/>
    </w:rPr>
  </w:style>
  <w:style w:type="paragraph" w:customStyle="1" w:styleId="ListBullet1">
    <w:name w:val="List Bullet 1"/>
    <w:basedOn w:val="Normal"/>
    <w:rsid w:val="003E7EA6"/>
    <w:pPr>
      <w:numPr>
        <w:numId w:val="1"/>
      </w:numPr>
    </w:pPr>
    <w:rPr>
      <w:rFonts w:eastAsia="Times New Roman"/>
      <w:lang w:eastAsia="de-DE"/>
    </w:rPr>
  </w:style>
  <w:style w:type="paragraph" w:customStyle="1" w:styleId="ListDash">
    <w:name w:val="List Dash"/>
    <w:basedOn w:val="Normal"/>
    <w:rsid w:val="003E7EA6"/>
    <w:pPr>
      <w:numPr>
        <w:numId w:val="3"/>
      </w:numPr>
    </w:pPr>
    <w:rPr>
      <w:rFonts w:eastAsia="Times New Roman"/>
      <w:lang w:eastAsia="de-DE"/>
    </w:rPr>
  </w:style>
  <w:style w:type="paragraph" w:customStyle="1" w:styleId="ListDash1">
    <w:name w:val="List Dash 1"/>
    <w:basedOn w:val="Normal"/>
    <w:rsid w:val="003E7EA6"/>
    <w:pPr>
      <w:numPr>
        <w:numId w:val="4"/>
      </w:numPr>
    </w:pPr>
    <w:rPr>
      <w:rFonts w:eastAsia="Times New Roman"/>
      <w:lang w:eastAsia="de-DE"/>
    </w:rPr>
  </w:style>
  <w:style w:type="paragraph" w:customStyle="1" w:styleId="ListDash2">
    <w:name w:val="List Dash 2"/>
    <w:basedOn w:val="Normal"/>
    <w:rsid w:val="003E7EA6"/>
    <w:pPr>
      <w:numPr>
        <w:numId w:val="5"/>
      </w:numPr>
    </w:pPr>
    <w:rPr>
      <w:rFonts w:eastAsia="Times New Roman"/>
      <w:lang w:eastAsia="de-DE"/>
    </w:rPr>
  </w:style>
  <w:style w:type="paragraph" w:customStyle="1" w:styleId="ListNumberLevel2">
    <w:name w:val="List Number (Level 2)"/>
    <w:basedOn w:val="Normal"/>
    <w:rsid w:val="003E7EA6"/>
    <w:pPr>
      <w:numPr>
        <w:ilvl w:val="1"/>
        <w:numId w:val="6"/>
      </w:numPr>
    </w:pPr>
    <w:rPr>
      <w:rFonts w:eastAsia="Times New Roman"/>
      <w:lang w:eastAsia="de-DE"/>
    </w:rPr>
  </w:style>
  <w:style w:type="paragraph" w:customStyle="1" w:styleId="ListNumberLevel3">
    <w:name w:val="List Number (Level 3)"/>
    <w:basedOn w:val="Normal"/>
    <w:rsid w:val="003E7EA6"/>
    <w:pPr>
      <w:numPr>
        <w:ilvl w:val="2"/>
        <w:numId w:val="6"/>
      </w:numPr>
    </w:pPr>
    <w:rPr>
      <w:rFonts w:eastAsia="Times New Roman"/>
      <w:lang w:eastAsia="de-DE"/>
    </w:rPr>
  </w:style>
  <w:style w:type="paragraph" w:customStyle="1" w:styleId="ListNumberLevel4">
    <w:name w:val="List Number (Level 4)"/>
    <w:basedOn w:val="Normal"/>
    <w:rsid w:val="003E7EA6"/>
    <w:pPr>
      <w:numPr>
        <w:ilvl w:val="3"/>
        <w:numId w:val="6"/>
      </w:numPr>
    </w:pPr>
    <w:rPr>
      <w:rFonts w:eastAsia="Times New Roman"/>
      <w:lang w:eastAsia="de-DE"/>
    </w:rPr>
  </w:style>
  <w:style w:type="table" w:styleId="TableGrid">
    <w:name w:val="Table Grid"/>
    <w:basedOn w:val="TableNormal"/>
    <w:rsid w:val="003E7EA6"/>
    <w:pPr>
      <w:spacing w:before="120" w:after="120" w:line="240" w:lineRule="auto"/>
      <w:jc w:val="both"/>
    </w:pPr>
    <w:rPr>
      <w:rFonts w:ascii="Times New Roman" w:eastAsia="Times New Roman" w:hAnsi="Times New Roman" w:cs="Times New Roman"/>
      <w:sz w:val="20"/>
      <w:szCs w:val="20"/>
      <w:lang w:val="en-IE" w:eastAsia="en-IE"/>
    </w:rPr>
    <w:tblPr/>
  </w:style>
  <w:style w:type="character" w:styleId="Hyperlink">
    <w:name w:val="Hyperlink"/>
    <w:uiPriority w:val="99"/>
    <w:rsid w:val="003E7EA6"/>
    <w:rPr>
      <w:color w:val="0000FF"/>
      <w:u w:val="single"/>
    </w:rPr>
  </w:style>
  <w:style w:type="paragraph" w:styleId="ListBullet">
    <w:name w:val="List Bullet"/>
    <w:basedOn w:val="Normal"/>
    <w:rsid w:val="003E7EA6"/>
    <w:pPr>
      <w:numPr>
        <w:numId w:val="7"/>
      </w:numPr>
    </w:pPr>
    <w:rPr>
      <w:rFonts w:eastAsia="Times New Roman"/>
      <w:lang w:val="fr-FR" w:eastAsia="en-GB"/>
    </w:rPr>
  </w:style>
  <w:style w:type="paragraph" w:styleId="ListBullet2">
    <w:name w:val="List Bullet 2"/>
    <w:basedOn w:val="Normal"/>
    <w:rsid w:val="003E7EA6"/>
    <w:pPr>
      <w:numPr>
        <w:numId w:val="8"/>
      </w:numPr>
    </w:pPr>
    <w:rPr>
      <w:rFonts w:eastAsia="Times New Roman"/>
      <w:lang w:val="fr-FR" w:eastAsia="en-GB"/>
    </w:rPr>
  </w:style>
  <w:style w:type="paragraph" w:styleId="ListBullet3">
    <w:name w:val="List Bullet 3"/>
    <w:basedOn w:val="Normal"/>
    <w:rsid w:val="003E7EA6"/>
    <w:pPr>
      <w:numPr>
        <w:numId w:val="9"/>
      </w:numPr>
    </w:pPr>
    <w:rPr>
      <w:rFonts w:eastAsia="Times New Roman"/>
      <w:lang w:val="fr-FR" w:eastAsia="en-GB"/>
    </w:rPr>
  </w:style>
  <w:style w:type="paragraph" w:styleId="ListNumber2">
    <w:name w:val="List Number 2"/>
    <w:basedOn w:val="Normal"/>
    <w:rsid w:val="003E7EA6"/>
    <w:pPr>
      <w:numPr>
        <w:numId w:val="13"/>
      </w:numPr>
    </w:pPr>
    <w:rPr>
      <w:rFonts w:eastAsia="Times New Roman"/>
      <w:lang w:val="fr-FR" w:eastAsia="en-GB"/>
    </w:rPr>
  </w:style>
  <w:style w:type="paragraph" w:styleId="ListNumber3">
    <w:name w:val="List Number 3"/>
    <w:basedOn w:val="Normal"/>
    <w:rsid w:val="003E7EA6"/>
    <w:pPr>
      <w:numPr>
        <w:numId w:val="14"/>
      </w:numPr>
    </w:pPr>
    <w:rPr>
      <w:rFonts w:eastAsia="Times New Roman"/>
      <w:lang w:val="fr-FR" w:eastAsia="en-GB"/>
    </w:rPr>
  </w:style>
  <w:style w:type="paragraph" w:styleId="ListNumber4">
    <w:name w:val="List Number 4"/>
    <w:basedOn w:val="Normal"/>
    <w:rsid w:val="003E7EA6"/>
    <w:pPr>
      <w:numPr>
        <w:numId w:val="15"/>
      </w:numPr>
    </w:pPr>
    <w:rPr>
      <w:rFonts w:eastAsia="Times New Roman"/>
      <w:lang w:val="fr-FR" w:eastAsia="en-GB"/>
    </w:rPr>
  </w:style>
  <w:style w:type="paragraph" w:customStyle="1" w:styleId="ListDash3">
    <w:name w:val="List Dash 3"/>
    <w:basedOn w:val="Normal"/>
    <w:rsid w:val="003E7EA6"/>
    <w:pPr>
      <w:numPr>
        <w:numId w:val="10"/>
      </w:numPr>
    </w:pPr>
    <w:rPr>
      <w:rFonts w:eastAsia="Times New Roman"/>
      <w:lang w:val="fr-FR" w:eastAsia="en-GB"/>
    </w:rPr>
  </w:style>
  <w:style w:type="paragraph" w:customStyle="1" w:styleId="ListDash4">
    <w:name w:val="List Dash 4"/>
    <w:basedOn w:val="Normal"/>
    <w:rsid w:val="003E7EA6"/>
    <w:pPr>
      <w:numPr>
        <w:numId w:val="11"/>
      </w:numPr>
    </w:pPr>
    <w:rPr>
      <w:rFonts w:eastAsia="Times New Roman"/>
      <w:lang w:val="fr-FR" w:eastAsia="en-GB"/>
    </w:rPr>
  </w:style>
  <w:style w:type="paragraph" w:customStyle="1" w:styleId="ListNumber1">
    <w:name w:val="List Number 1"/>
    <w:basedOn w:val="Text1"/>
    <w:rsid w:val="003E7EA6"/>
    <w:pPr>
      <w:numPr>
        <w:numId w:val="12"/>
      </w:numPr>
    </w:pPr>
    <w:rPr>
      <w:rFonts w:eastAsia="Times New Roman"/>
      <w:lang w:val="fr-FR" w:eastAsia="en-GB"/>
    </w:rPr>
  </w:style>
  <w:style w:type="paragraph" w:customStyle="1" w:styleId="ListNumber1Level2">
    <w:name w:val="List Number 1 (Level 2)"/>
    <w:basedOn w:val="Text1"/>
    <w:rsid w:val="003E7EA6"/>
    <w:pPr>
      <w:numPr>
        <w:ilvl w:val="1"/>
        <w:numId w:val="12"/>
      </w:numPr>
    </w:pPr>
    <w:rPr>
      <w:rFonts w:eastAsia="Times New Roman"/>
      <w:lang w:val="fr-FR" w:eastAsia="en-GB"/>
    </w:rPr>
  </w:style>
  <w:style w:type="paragraph" w:customStyle="1" w:styleId="ListNumber2Level2">
    <w:name w:val="List Number 2 (Level 2)"/>
    <w:basedOn w:val="Text2"/>
    <w:rsid w:val="003E7EA6"/>
    <w:pPr>
      <w:numPr>
        <w:ilvl w:val="1"/>
        <w:numId w:val="13"/>
      </w:numPr>
    </w:pPr>
    <w:rPr>
      <w:rFonts w:eastAsia="Times New Roman"/>
      <w:lang w:val="fr-FR" w:eastAsia="en-GB"/>
    </w:rPr>
  </w:style>
  <w:style w:type="paragraph" w:customStyle="1" w:styleId="ListNumber3Level2">
    <w:name w:val="List Number 3 (Level 2)"/>
    <w:basedOn w:val="Text3"/>
    <w:rsid w:val="003E7EA6"/>
    <w:pPr>
      <w:numPr>
        <w:ilvl w:val="1"/>
        <w:numId w:val="14"/>
      </w:numPr>
    </w:pPr>
    <w:rPr>
      <w:rFonts w:eastAsia="Times New Roman"/>
      <w:lang w:val="fr-FR" w:eastAsia="en-GB"/>
    </w:rPr>
  </w:style>
  <w:style w:type="paragraph" w:customStyle="1" w:styleId="ListNumber4Level2">
    <w:name w:val="List Number 4 (Level 2)"/>
    <w:basedOn w:val="Text4"/>
    <w:rsid w:val="003E7EA6"/>
    <w:pPr>
      <w:numPr>
        <w:ilvl w:val="1"/>
        <w:numId w:val="15"/>
      </w:numPr>
    </w:pPr>
    <w:rPr>
      <w:rFonts w:eastAsia="Times New Roman"/>
      <w:lang w:val="fr-FR" w:eastAsia="en-GB"/>
    </w:rPr>
  </w:style>
  <w:style w:type="paragraph" w:customStyle="1" w:styleId="ListNumber1Level3">
    <w:name w:val="List Number 1 (Level 3)"/>
    <w:basedOn w:val="Text1"/>
    <w:rsid w:val="003E7EA6"/>
    <w:pPr>
      <w:numPr>
        <w:ilvl w:val="2"/>
        <w:numId w:val="12"/>
      </w:numPr>
    </w:pPr>
    <w:rPr>
      <w:rFonts w:eastAsia="Times New Roman"/>
      <w:lang w:val="fr-FR" w:eastAsia="en-GB"/>
    </w:rPr>
  </w:style>
  <w:style w:type="paragraph" w:customStyle="1" w:styleId="ListNumber2Level3">
    <w:name w:val="List Number 2 (Level 3)"/>
    <w:basedOn w:val="Text2"/>
    <w:rsid w:val="003E7EA6"/>
    <w:pPr>
      <w:numPr>
        <w:ilvl w:val="2"/>
        <w:numId w:val="13"/>
      </w:numPr>
    </w:pPr>
    <w:rPr>
      <w:rFonts w:eastAsia="Times New Roman"/>
      <w:lang w:val="fr-FR" w:eastAsia="en-GB"/>
    </w:rPr>
  </w:style>
  <w:style w:type="paragraph" w:customStyle="1" w:styleId="ListNumber3Level3">
    <w:name w:val="List Number 3 (Level 3)"/>
    <w:basedOn w:val="Text3"/>
    <w:rsid w:val="003E7EA6"/>
    <w:pPr>
      <w:numPr>
        <w:ilvl w:val="2"/>
        <w:numId w:val="14"/>
      </w:numPr>
    </w:pPr>
    <w:rPr>
      <w:rFonts w:eastAsia="Times New Roman"/>
      <w:lang w:val="fr-FR" w:eastAsia="en-GB"/>
    </w:rPr>
  </w:style>
  <w:style w:type="paragraph" w:customStyle="1" w:styleId="ListNumber4Level3">
    <w:name w:val="List Number 4 (Level 3)"/>
    <w:basedOn w:val="Text4"/>
    <w:rsid w:val="003E7EA6"/>
    <w:pPr>
      <w:numPr>
        <w:ilvl w:val="2"/>
        <w:numId w:val="15"/>
      </w:numPr>
    </w:pPr>
    <w:rPr>
      <w:rFonts w:eastAsia="Times New Roman"/>
      <w:lang w:val="fr-FR" w:eastAsia="en-GB"/>
    </w:rPr>
  </w:style>
  <w:style w:type="paragraph" w:customStyle="1" w:styleId="ListNumber1Level4">
    <w:name w:val="List Number 1 (Level 4)"/>
    <w:basedOn w:val="Text1"/>
    <w:rsid w:val="003E7EA6"/>
    <w:pPr>
      <w:numPr>
        <w:ilvl w:val="3"/>
        <w:numId w:val="12"/>
      </w:numPr>
    </w:pPr>
    <w:rPr>
      <w:rFonts w:eastAsia="Times New Roman"/>
      <w:lang w:val="fr-FR" w:eastAsia="en-GB"/>
    </w:rPr>
  </w:style>
  <w:style w:type="paragraph" w:customStyle="1" w:styleId="ListNumber2Level4">
    <w:name w:val="List Number 2 (Level 4)"/>
    <w:basedOn w:val="Text2"/>
    <w:rsid w:val="003E7EA6"/>
    <w:pPr>
      <w:numPr>
        <w:ilvl w:val="3"/>
        <w:numId w:val="13"/>
      </w:numPr>
    </w:pPr>
    <w:rPr>
      <w:rFonts w:eastAsia="Times New Roman"/>
      <w:lang w:val="fr-FR" w:eastAsia="en-GB"/>
    </w:rPr>
  </w:style>
  <w:style w:type="paragraph" w:customStyle="1" w:styleId="ListNumber3Level4">
    <w:name w:val="List Number 3 (Level 4)"/>
    <w:basedOn w:val="Text3"/>
    <w:rsid w:val="003E7EA6"/>
    <w:pPr>
      <w:numPr>
        <w:ilvl w:val="3"/>
        <w:numId w:val="14"/>
      </w:numPr>
    </w:pPr>
    <w:rPr>
      <w:rFonts w:eastAsia="Times New Roman"/>
      <w:lang w:val="fr-FR" w:eastAsia="en-GB"/>
    </w:rPr>
  </w:style>
  <w:style w:type="paragraph" w:customStyle="1" w:styleId="ListNumber4Level4">
    <w:name w:val="List Number 4 (Level 4)"/>
    <w:basedOn w:val="Text4"/>
    <w:rsid w:val="003E7EA6"/>
    <w:pPr>
      <w:numPr>
        <w:ilvl w:val="3"/>
        <w:numId w:val="15"/>
      </w:numPr>
    </w:pPr>
    <w:rPr>
      <w:rFonts w:eastAsia="Times New Roman"/>
      <w:lang w:val="fr-FR" w:eastAsia="en-GB"/>
    </w:rPr>
  </w:style>
  <w:style w:type="paragraph" w:customStyle="1" w:styleId="Annexetitreacte">
    <w:name w:val="Annexe titre (acte)"/>
    <w:basedOn w:val="Normal"/>
    <w:next w:val="Normal"/>
    <w:rsid w:val="003E7EA6"/>
    <w:pPr>
      <w:jc w:val="center"/>
    </w:pPr>
    <w:rPr>
      <w:rFonts w:eastAsia="Times New Roman"/>
      <w:b/>
      <w:u w:val="single"/>
      <w:lang w:val="fr-FR" w:eastAsia="en-GB"/>
    </w:rPr>
  </w:style>
  <w:style w:type="paragraph" w:customStyle="1" w:styleId="Annexetitreexposglobal">
    <w:name w:val="Annexe titre (exposé global)"/>
    <w:basedOn w:val="Normal"/>
    <w:next w:val="Normal"/>
    <w:rsid w:val="003E7EA6"/>
    <w:pPr>
      <w:jc w:val="center"/>
    </w:pPr>
    <w:rPr>
      <w:rFonts w:eastAsia="Times New Roman"/>
      <w:b/>
      <w:u w:val="single"/>
      <w:lang w:val="fr-FR" w:eastAsia="en-GB"/>
    </w:rPr>
  </w:style>
  <w:style w:type="paragraph" w:customStyle="1" w:styleId="Annexetitrefichefinacte">
    <w:name w:val="Annexe titre (fiche fin. acte)"/>
    <w:basedOn w:val="Normal"/>
    <w:next w:val="Normal"/>
    <w:rsid w:val="003E7EA6"/>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3E7EA6"/>
    <w:pPr>
      <w:jc w:val="center"/>
    </w:pPr>
    <w:rPr>
      <w:rFonts w:eastAsia="Times New Roman"/>
      <w:b/>
      <w:u w:val="single"/>
      <w:lang w:val="fr-FR" w:eastAsia="en-GB"/>
    </w:rPr>
  </w:style>
  <w:style w:type="paragraph" w:customStyle="1" w:styleId="Annexetitreglobale">
    <w:name w:val="Annexe titre (globale)"/>
    <w:basedOn w:val="Normal"/>
    <w:next w:val="Normal"/>
    <w:rsid w:val="003E7EA6"/>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3E7EA6"/>
    <w:pPr>
      <w:jc w:val="center"/>
    </w:pPr>
    <w:rPr>
      <w:rFonts w:eastAsia="Times New Roman"/>
      <w:b/>
      <w:u w:val="single"/>
      <w:lang w:val="fr-FR" w:eastAsia="en-GB"/>
    </w:rPr>
  </w:style>
  <w:style w:type="paragraph" w:customStyle="1" w:styleId="Langueoriginale">
    <w:name w:val="Langue originale"/>
    <w:basedOn w:val="Normal"/>
    <w:rsid w:val="003E7EA6"/>
    <w:pPr>
      <w:spacing w:before="360"/>
      <w:jc w:val="center"/>
    </w:pPr>
    <w:rPr>
      <w:rFonts w:eastAsia="Times New Roman"/>
      <w:caps/>
      <w:lang w:val="fr-FR" w:eastAsia="en-GB"/>
    </w:rPr>
  </w:style>
  <w:style w:type="paragraph" w:customStyle="1" w:styleId="Phrasefinale">
    <w:name w:val="Phrase finale"/>
    <w:basedOn w:val="Normal"/>
    <w:next w:val="Normal"/>
    <w:rsid w:val="003E7EA6"/>
    <w:pPr>
      <w:spacing w:before="360" w:after="0"/>
      <w:jc w:val="center"/>
    </w:pPr>
    <w:rPr>
      <w:rFonts w:eastAsia="Times New Roman"/>
      <w:lang w:val="fr-FR" w:eastAsia="en-GB"/>
    </w:rPr>
  </w:style>
  <w:style w:type="paragraph" w:customStyle="1" w:styleId="Prliminairetitre">
    <w:name w:val="Préliminaire titre"/>
    <w:basedOn w:val="Normal"/>
    <w:next w:val="Normal"/>
    <w:rsid w:val="003E7EA6"/>
    <w:pPr>
      <w:spacing w:before="360" w:after="360"/>
      <w:jc w:val="center"/>
    </w:pPr>
    <w:rPr>
      <w:rFonts w:eastAsia="Times New Roman"/>
      <w:b/>
      <w:lang w:val="fr-FR" w:eastAsia="en-GB"/>
    </w:rPr>
  </w:style>
  <w:style w:type="paragraph" w:customStyle="1" w:styleId="Prliminairetype">
    <w:name w:val="Préliminaire type"/>
    <w:basedOn w:val="Normal"/>
    <w:next w:val="Normal"/>
    <w:rsid w:val="003E7EA6"/>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3E7EA6"/>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3E7EA6"/>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3E7EA6"/>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3E7EA6"/>
    <w:pPr>
      <w:spacing w:before="0" w:after="0"/>
      <w:jc w:val="center"/>
    </w:pPr>
    <w:rPr>
      <w:rFonts w:eastAsia="Times New Roman"/>
      <w:b/>
      <w:lang w:val="fr-FR" w:eastAsia="en-GB"/>
    </w:rPr>
  </w:style>
  <w:style w:type="paragraph" w:customStyle="1" w:styleId="Statutprliminaire">
    <w:name w:val="Statut (préliminaire)"/>
    <w:basedOn w:val="Normal"/>
    <w:next w:val="Normal"/>
    <w:rsid w:val="003E7EA6"/>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3E7EA6"/>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3E7EA6"/>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3E7EA6"/>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3E7EA6"/>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3E7EA6"/>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3E7EA6"/>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3E7EA6"/>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3E7EA6"/>
    <w:pPr>
      <w:jc w:val="center"/>
    </w:pPr>
    <w:rPr>
      <w:rFonts w:eastAsia="Times New Roman"/>
      <w:b/>
      <w:u w:val="single"/>
      <w:lang w:val="fr-FR" w:eastAsia="en-GB"/>
    </w:rPr>
  </w:style>
  <w:style w:type="character" w:styleId="CommentReference">
    <w:name w:val="annotation reference"/>
    <w:rsid w:val="003E7EA6"/>
    <w:rPr>
      <w:rFonts w:cs="Times New Roman"/>
      <w:sz w:val="16"/>
      <w:szCs w:val="16"/>
    </w:rPr>
  </w:style>
  <w:style w:type="paragraph" w:styleId="CommentText">
    <w:name w:val="annotation text"/>
    <w:basedOn w:val="Normal"/>
    <w:link w:val="CommentTextChar"/>
    <w:rsid w:val="003E7EA6"/>
    <w:rPr>
      <w:rFonts w:eastAsia="Times New Roman"/>
      <w:sz w:val="20"/>
      <w:szCs w:val="20"/>
      <w:lang w:val="fr-FR" w:eastAsia="en-GB"/>
    </w:rPr>
  </w:style>
  <w:style w:type="character" w:customStyle="1" w:styleId="CommentTextChar">
    <w:name w:val="Comment Text Char"/>
    <w:basedOn w:val="DefaultParagraphFont"/>
    <w:link w:val="CommentText"/>
    <w:rsid w:val="003E7EA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3E7EA6"/>
    <w:rPr>
      <w:b/>
      <w:bCs/>
    </w:rPr>
  </w:style>
  <w:style w:type="character" w:customStyle="1" w:styleId="CommentSubjectChar">
    <w:name w:val="Comment Subject Char"/>
    <w:basedOn w:val="CommentTextChar"/>
    <w:link w:val="CommentSubject"/>
    <w:rsid w:val="003E7EA6"/>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3E7EA6"/>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3E7EA6"/>
    <w:rPr>
      <w:rFonts w:ascii="Tahoma" w:eastAsia="Times New Roman" w:hAnsi="Tahoma" w:cs="Tahoma"/>
      <w:sz w:val="16"/>
      <w:szCs w:val="16"/>
      <w:lang w:val="fr-FR" w:eastAsia="en-GB"/>
    </w:rPr>
  </w:style>
  <w:style w:type="paragraph" w:styleId="Caption">
    <w:name w:val="caption"/>
    <w:basedOn w:val="Normal"/>
    <w:next w:val="Normal"/>
    <w:qFormat/>
    <w:rsid w:val="003E7EA6"/>
    <w:rPr>
      <w:rFonts w:eastAsia="Times New Roman"/>
      <w:b/>
      <w:bCs/>
      <w:sz w:val="20"/>
      <w:szCs w:val="20"/>
      <w:lang w:val="fr-FR" w:eastAsia="en-GB"/>
    </w:rPr>
  </w:style>
  <w:style w:type="paragraph" w:styleId="TableofFigures">
    <w:name w:val="table of figures"/>
    <w:basedOn w:val="Normal"/>
    <w:next w:val="Normal"/>
    <w:rsid w:val="003E7EA6"/>
    <w:rPr>
      <w:rFonts w:eastAsia="Times New Roman"/>
      <w:lang w:val="fr-FR" w:eastAsia="en-GB"/>
    </w:rPr>
  </w:style>
  <w:style w:type="character" w:styleId="PageNumber">
    <w:name w:val="page number"/>
    <w:rsid w:val="003E7EA6"/>
  </w:style>
  <w:style w:type="character" w:customStyle="1" w:styleId="tw4winMark">
    <w:name w:val="tw4winMark"/>
    <w:rsid w:val="003E7EA6"/>
    <w:rPr>
      <w:vanish/>
      <w:color w:val="800080"/>
      <w:vertAlign w:val="subscript"/>
    </w:rPr>
  </w:style>
  <w:style w:type="character" w:styleId="FollowedHyperlink">
    <w:name w:val="FollowedHyperlink"/>
    <w:rsid w:val="003E7EA6"/>
    <w:rPr>
      <w:color w:val="800080"/>
      <w:u w:val="single"/>
    </w:rPr>
  </w:style>
  <w:style w:type="paragraph" w:customStyle="1" w:styleId="Sous-titreobjet">
    <w:name w:val="Sous-titre objet"/>
    <w:basedOn w:val="Normal"/>
    <w:rsid w:val="003E7EA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3E7EA6"/>
  </w:style>
  <w:style w:type="paragraph" w:styleId="Revision">
    <w:name w:val="Revision"/>
    <w:hidden/>
    <w:uiPriority w:val="99"/>
    <w:semiHidden/>
    <w:rsid w:val="003E7EA6"/>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3E7EA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3E7EA6"/>
    <w:rPr>
      <w:rFonts w:ascii="Times New Roman" w:hAnsi="Times New Roman" w:cs="Times New Roman"/>
      <w:b/>
      <w:sz w:val="28"/>
      <w:lang w:val="en-GB"/>
    </w:rPr>
  </w:style>
  <w:style w:type="character" w:customStyle="1" w:styleId="FooterCoverPageChar">
    <w:name w:val="Footer Cover Page Char"/>
    <w:link w:val="FooterCoverPage"/>
    <w:rsid w:val="003E7EA6"/>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3E7EA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3E7EA6"/>
    <w:rPr>
      <w:rFonts w:ascii="Times New Roman" w:eastAsia="Calibri" w:hAnsi="Times New Roman" w:cs="Times New Roman"/>
      <w:sz w:val="24"/>
      <w:lang w:val="en-GB" w:eastAsia="en-GB"/>
    </w:rPr>
  </w:style>
  <w:style w:type="character" w:customStyle="1" w:styleId="FooterSensitivityChar">
    <w:name w:val="Footer Sensitivity Char"/>
    <w:rsid w:val="003E7EA6"/>
    <w:rPr>
      <w:rFonts w:ascii="Times New Roman" w:hAnsi="Times New Roman" w:cs="Times New Roman"/>
      <w:b/>
      <w:sz w:val="32"/>
      <w:lang w:val="en-GB"/>
    </w:rPr>
  </w:style>
  <w:style w:type="character" w:customStyle="1" w:styleId="HeaderSensitivityChar">
    <w:name w:val="Header Sensitivity Char"/>
    <w:rsid w:val="003E7EA6"/>
    <w:rPr>
      <w:rFonts w:ascii="Times New Roman" w:hAnsi="Times New Roman" w:cs="Times New Roman"/>
      <w:b/>
      <w:sz w:val="32"/>
      <w:lang w:val="en-GB"/>
    </w:rPr>
  </w:style>
  <w:style w:type="character" w:customStyle="1" w:styleId="HeaderSensitivityRightChar">
    <w:name w:val="Header Sensitivity Right Char"/>
    <w:rsid w:val="003E7EA6"/>
    <w:rPr>
      <w:rFonts w:ascii="Times New Roman" w:hAnsi="Times New Roman" w:cs="Times New Roman"/>
      <w:sz w:val="28"/>
      <w:lang w:val="en-GB"/>
    </w:rPr>
  </w:style>
  <w:style w:type="paragraph" w:customStyle="1" w:styleId="LegalNumPar">
    <w:name w:val="LegalNumPar"/>
    <w:basedOn w:val="Normal"/>
    <w:rsid w:val="003E7EA6"/>
    <w:pPr>
      <w:numPr>
        <w:numId w:val="16"/>
      </w:numPr>
      <w:spacing w:line="360" w:lineRule="auto"/>
    </w:pPr>
    <w:rPr>
      <w:rFonts w:eastAsia="Times New Roman"/>
      <w:lang w:eastAsia="en-GB"/>
    </w:rPr>
  </w:style>
  <w:style w:type="paragraph" w:customStyle="1" w:styleId="LegalNumPar2">
    <w:name w:val="LegalNumPar2"/>
    <w:basedOn w:val="Normal"/>
    <w:rsid w:val="003E7EA6"/>
    <w:pPr>
      <w:numPr>
        <w:ilvl w:val="1"/>
        <w:numId w:val="16"/>
      </w:numPr>
      <w:spacing w:line="360" w:lineRule="auto"/>
    </w:pPr>
    <w:rPr>
      <w:rFonts w:eastAsia="Times New Roman"/>
      <w:lang w:eastAsia="en-GB"/>
    </w:rPr>
  </w:style>
  <w:style w:type="paragraph" w:customStyle="1" w:styleId="LegalNumPar3">
    <w:name w:val="LegalNumPar3"/>
    <w:basedOn w:val="Normal"/>
    <w:rsid w:val="003E7EA6"/>
    <w:pPr>
      <w:numPr>
        <w:ilvl w:val="2"/>
        <w:numId w:val="16"/>
      </w:numPr>
      <w:spacing w:line="360" w:lineRule="auto"/>
    </w:pPr>
    <w:rPr>
      <w:rFonts w:eastAsia="Times New Roman"/>
      <w:lang w:eastAsia="en-GB"/>
    </w:rPr>
  </w:style>
  <w:style w:type="paragraph" w:styleId="ListParagraph">
    <w:name w:val="List Paragraph"/>
    <w:aliases w:val="List Paragraph_Sections,Paragraphe EI,Paragraphe de liste1,EC,List_Paragraph,Multilevel para_II,List Paragraph1,Akapit z listą BS,Bullet1,Main numbered paragraph,Dot pt,F5 List Paragraph,No Spacing1,List Paragraph Char Char Char"/>
    <w:basedOn w:val="Normal"/>
    <w:link w:val="ListParagraphChar"/>
    <w:uiPriority w:val="34"/>
    <w:qFormat/>
    <w:rsid w:val="003E7EA6"/>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3E7EA6"/>
    <w:rPr>
      <w:color w:val="605E5C"/>
      <w:shd w:val="clear" w:color="auto" w:fill="E1DFDD"/>
    </w:rPr>
  </w:style>
  <w:style w:type="character" w:styleId="Strong">
    <w:name w:val="Strong"/>
    <w:basedOn w:val="DefaultParagraphFont"/>
    <w:qFormat/>
    <w:rsid w:val="003E7EA6"/>
    <w:rPr>
      <w:b/>
      <w:bCs/>
    </w:rPr>
  </w:style>
  <w:style w:type="character" w:styleId="Emphasis">
    <w:name w:val="Emphasis"/>
    <w:basedOn w:val="DefaultParagraphFont"/>
    <w:qFormat/>
    <w:rsid w:val="003E7EA6"/>
    <w:rPr>
      <w:i/>
      <w:iCs/>
    </w:rPr>
  </w:style>
  <w:style w:type="character" w:customStyle="1" w:styleId="Mention">
    <w:name w:val="Mention"/>
    <w:basedOn w:val="DefaultParagraphFont"/>
    <w:uiPriority w:val="99"/>
    <w:unhideWhenUsed/>
    <w:rsid w:val="003E7EA6"/>
    <w:rPr>
      <w:color w:val="2B579A"/>
      <w:shd w:val="clear" w:color="auto" w:fill="E1DFDD"/>
    </w:rPr>
  </w:style>
  <w:style w:type="character" w:customStyle="1" w:styleId="normaltextrun">
    <w:name w:val="normaltextrun"/>
    <w:basedOn w:val="DefaultParagraphFont"/>
    <w:rsid w:val="003E7EA6"/>
  </w:style>
  <w:style w:type="character" w:customStyle="1" w:styleId="eop">
    <w:name w:val="eop"/>
    <w:basedOn w:val="DefaultParagraphFont"/>
    <w:rsid w:val="003E7EA6"/>
  </w:style>
  <w:style w:type="character" w:customStyle="1" w:styleId="Bodytext1">
    <w:name w:val="Body text|1_"/>
    <w:basedOn w:val="DefaultParagraphFont"/>
    <w:link w:val="Bodytext10"/>
    <w:rsid w:val="00135EA2"/>
    <w:rPr>
      <w:sz w:val="19"/>
      <w:szCs w:val="19"/>
    </w:rPr>
  </w:style>
  <w:style w:type="paragraph" w:customStyle="1" w:styleId="Bodytext10">
    <w:name w:val="Body text|1"/>
    <w:basedOn w:val="Normal"/>
    <w:link w:val="Bodytext1"/>
    <w:rsid w:val="00135EA2"/>
    <w:pPr>
      <w:widowControl w:val="0"/>
      <w:spacing w:before="0" w:after="460"/>
      <w:jc w:val="left"/>
    </w:pPr>
    <w:rPr>
      <w:rFonts w:asciiTheme="minorHAnsi" w:hAnsiTheme="minorHAnsi" w:cstheme="minorBidi"/>
      <w:sz w:val="19"/>
      <w:szCs w:val="19"/>
      <w:lang w:val="en-US"/>
    </w:rPr>
  </w:style>
  <w:style w:type="paragraph" w:customStyle="1" w:styleId="paragraph">
    <w:name w:val="paragraph"/>
    <w:basedOn w:val="Normal"/>
    <w:rsid w:val="00C8505B"/>
    <w:pPr>
      <w:spacing w:before="100" w:beforeAutospacing="1" w:after="100" w:afterAutospacing="1"/>
      <w:jc w:val="left"/>
    </w:pPr>
    <w:rPr>
      <w:rFonts w:ascii="Aptos" w:hAnsi="Aptos" w:cs="Aptos"/>
      <w:szCs w:val="24"/>
      <w:lang w:val="en-IE" w:eastAsia="en-IE"/>
    </w:rPr>
  </w:style>
  <w:style w:type="character" w:customStyle="1" w:styleId="Bodytext2">
    <w:name w:val="Body text|2_"/>
    <w:basedOn w:val="DefaultParagraphFont"/>
    <w:link w:val="Bodytext20"/>
    <w:rsid w:val="00902426"/>
    <w:rPr>
      <w:sz w:val="17"/>
      <w:szCs w:val="17"/>
    </w:rPr>
  </w:style>
  <w:style w:type="paragraph" w:customStyle="1" w:styleId="Bodytext20">
    <w:name w:val="Body text|2"/>
    <w:basedOn w:val="Normal"/>
    <w:link w:val="Bodytext2"/>
    <w:rsid w:val="00902426"/>
    <w:pPr>
      <w:widowControl w:val="0"/>
      <w:spacing w:before="0" w:after="580"/>
      <w:ind w:left="1280" w:hanging="380"/>
      <w:jc w:val="left"/>
    </w:pPr>
    <w:rPr>
      <w:rFonts w:asciiTheme="minorHAnsi" w:hAnsiTheme="minorHAnsi" w:cstheme="minorBidi"/>
      <w:sz w:val="17"/>
      <w:szCs w:val="17"/>
      <w:lang w:val="en-US"/>
    </w:rPr>
  </w:style>
  <w:style w:type="paragraph" w:customStyle="1" w:styleId="CharCharChar1">
    <w:name w:val="Char Char Char1"/>
    <w:basedOn w:val="Normal"/>
    <w:link w:val="FootnoteReference"/>
    <w:uiPriority w:val="21"/>
    <w:rsid w:val="00333138"/>
    <w:pPr>
      <w:spacing w:before="0" w:after="160" w:line="240" w:lineRule="exact"/>
    </w:pPr>
    <w:rPr>
      <w:rFonts w:asciiTheme="minorHAnsi" w:hAnsiTheme="minorHAnsi" w:cstheme="minorBidi"/>
      <w:sz w:val="22"/>
      <w:vertAlign w:val="superscript"/>
      <w:lang w:val="en-US"/>
    </w:rPr>
  </w:style>
  <w:style w:type="paragraph" w:customStyle="1" w:styleId="TextRMC">
    <w:name w:val="Text (RMC)"/>
    <w:link w:val="TextRMCChar"/>
    <w:qFormat/>
    <w:rsid w:val="00333138"/>
    <w:pPr>
      <w:spacing w:before="120" w:after="120" w:line="288" w:lineRule="auto"/>
      <w:jc w:val="both"/>
    </w:pPr>
    <w:rPr>
      <w:rFonts w:ascii="Verdana" w:hAnsi="Verdana"/>
      <w:sz w:val="18"/>
      <w:szCs w:val="18"/>
      <w:lang w:val="en-GB"/>
    </w:rPr>
  </w:style>
  <w:style w:type="character" w:customStyle="1" w:styleId="TextRMCChar">
    <w:name w:val="Text (RMC) Char"/>
    <w:basedOn w:val="DefaultParagraphFont"/>
    <w:link w:val="TextRMC"/>
    <w:qFormat/>
    <w:rsid w:val="00333138"/>
    <w:rPr>
      <w:rFonts w:ascii="Verdana" w:hAnsi="Verdana"/>
      <w:sz w:val="18"/>
      <w:szCs w:val="18"/>
      <w:lang w:val="en-GB"/>
    </w:rPr>
  </w:style>
  <w:style w:type="character" w:customStyle="1" w:styleId="ListParagraphChar">
    <w:name w:val="List Paragraph Char"/>
    <w:aliases w:val="List Paragraph_Sections Char,Paragraphe EI Char,Paragraphe de liste1 Char,EC Char,List_Paragraph Char,Multilevel para_II Char,List Paragraph1 Char,Akapit z listą BS Char,Bullet1 Char,Main numbered paragraph Char,Dot pt Char"/>
    <w:basedOn w:val="DefaultParagraphFont"/>
    <w:link w:val="ListParagraph"/>
    <w:uiPriority w:val="34"/>
    <w:qFormat/>
    <w:locked/>
    <w:rsid w:val="00333138"/>
    <w:rPr>
      <w:rFonts w:ascii="Times New Roman" w:eastAsia="Times New Roman" w:hAnsi="Times New Roman" w:cs="Times New Roman"/>
      <w:sz w:val="24"/>
      <w:lang w:val="en-GB" w:eastAsia="en-GB"/>
    </w:rPr>
  </w:style>
  <w:style w:type="paragraph" w:styleId="NormalWeb">
    <w:name w:val="Normal (Web)"/>
    <w:basedOn w:val="Normal"/>
    <w:uiPriority w:val="99"/>
    <w:semiHidden/>
    <w:unhideWhenUsed/>
    <w:rsid w:val="00A02BC4"/>
    <w:pPr>
      <w:spacing w:before="100" w:beforeAutospacing="1" w:after="100" w:afterAutospacing="1"/>
      <w:jc w:val="left"/>
    </w:pPr>
    <w:rPr>
      <w:rFonts w:eastAsia="Times New Roman"/>
      <w:szCs w:val="24"/>
      <w:lang w:eastAsia="en-GB"/>
    </w:rPr>
  </w:style>
  <w:style w:type="paragraph" w:customStyle="1" w:styleId="con">
    <w:name w:val="con"/>
    <w:basedOn w:val="Considrant"/>
    <w:rsid w:val="00B80625"/>
  </w:style>
  <w:style w:type="character" w:customStyle="1" w:styleId="Marker10">
    <w:name w:val="Marker10"/>
    <w:basedOn w:val="DefaultParagraphFont"/>
    <w:rsid w:val="00A31528"/>
    <w:rPr>
      <w:color w:val="008000"/>
      <w:shd w:val="clear" w:color="auto" w:fill="auto"/>
    </w:rPr>
  </w:style>
  <w:style w:type="character" w:customStyle="1" w:styleId="Marker100">
    <w:name w:val="Marker100"/>
    <w:basedOn w:val="DefaultParagraphFont"/>
    <w:rsid w:val="00ED2FCE"/>
    <w:rPr>
      <w:color w:val="008000"/>
      <w:shd w:val="clear" w:color="auto" w:fill="auto"/>
    </w:rPr>
  </w:style>
  <w:style w:type="character" w:customStyle="1" w:styleId="Marker1000">
    <w:name w:val="Marker1000"/>
    <w:basedOn w:val="DefaultParagraphFont"/>
    <w:rsid w:val="008F2B88"/>
    <w:rPr>
      <w:color w:val="008000"/>
      <w:shd w:val="clear" w:color="auto" w:fill="auto"/>
    </w:rPr>
  </w:style>
  <w:style w:type="character" w:customStyle="1" w:styleId="Marker10000">
    <w:name w:val="Marker10000"/>
    <w:basedOn w:val="DefaultParagraphFont"/>
    <w:rsid w:val="00A32F0C"/>
    <w:rPr>
      <w:color w:val="008000"/>
      <w:shd w:val="clear" w:color="auto" w:fill="auto"/>
    </w:rPr>
  </w:style>
  <w:style w:type="character" w:customStyle="1" w:styleId="Marker11">
    <w:name w:val="Marker11"/>
    <w:basedOn w:val="DefaultParagraphFont"/>
    <w:rsid w:val="000B50E7"/>
    <w:rPr>
      <w:color w:val="008000"/>
      <w:shd w:val="clear" w:color="auto" w:fill="auto"/>
    </w:rPr>
  </w:style>
  <w:style w:type="character" w:customStyle="1" w:styleId="Marker110">
    <w:name w:val="Marker110"/>
    <w:basedOn w:val="DefaultParagraphFont"/>
    <w:rsid w:val="000A0DDB"/>
    <w:rPr>
      <w:color w:val="008000"/>
      <w:shd w:val="clear" w:color="auto" w:fill="auto"/>
    </w:rPr>
  </w:style>
  <w:style w:type="character" w:customStyle="1" w:styleId="Marker1100">
    <w:name w:val="Marker1100"/>
    <w:basedOn w:val="DefaultParagraphFont"/>
    <w:rsid w:val="007E681C"/>
    <w:rPr>
      <w:color w:val="008000"/>
      <w:shd w:val="clear" w:color="auto" w:fill="auto"/>
    </w:rPr>
  </w:style>
  <w:style w:type="character" w:customStyle="1" w:styleId="Marker11000">
    <w:name w:val="Marker11000"/>
    <w:basedOn w:val="DefaultParagraphFont"/>
    <w:rsid w:val="0015149A"/>
    <w:rPr>
      <w:color w:val="008000"/>
      <w:shd w:val="clear" w:color="auto" w:fill="auto"/>
    </w:rPr>
  </w:style>
  <w:style w:type="character" w:customStyle="1" w:styleId="Marker110000">
    <w:name w:val="Marker110000"/>
    <w:basedOn w:val="DefaultParagraphFont"/>
    <w:rsid w:val="00E66204"/>
    <w:rPr>
      <w:color w:val="008000"/>
      <w:shd w:val="clear" w:color="auto" w:fill="auto"/>
    </w:rPr>
  </w:style>
  <w:style w:type="character" w:customStyle="1" w:styleId="Marker1100000">
    <w:name w:val="Marker1100000"/>
    <w:basedOn w:val="DefaultParagraphFont"/>
    <w:rsid w:val="00F954ED"/>
    <w:rPr>
      <w:color w:val="008000"/>
      <w:shd w:val="clear" w:color="auto" w:fill="auto"/>
    </w:rPr>
  </w:style>
  <w:style w:type="character" w:customStyle="1" w:styleId="Marker11000000">
    <w:name w:val="Marker11000000"/>
    <w:basedOn w:val="DefaultParagraphFont"/>
    <w:rsid w:val="00A55C2A"/>
    <w:rPr>
      <w:color w:val="008000"/>
      <w:shd w:val="clear" w:color="auto" w:fill="auto"/>
    </w:rPr>
  </w:style>
  <w:style w:type="character" w:customStyle="1" w:styleId="Marker110000000">
    <w:name w:val="Marker110000000"/>
    <w:basedOn w:val="DefaultParagraphFont"/>
    <w:rsid w:val="00FC4B0C"/>
    <w:rPr>
      <w:color w:val="008000"/>
      <w:shd w:val="clear" w:color="auto" w:fill="auto"/>
    </w:rPr>
  </w:style>
  <w:style w:type="character" w:customStyle="1" w:styleId="Marker1100000000">
    <w:name w:val="Marker1100000000"/>
    <w:basedOn w:val="DefaultParagraphFont"/>
    <w:rsid w:val="00682F1D"/>
    <w:rPr>
      <w:color w:val="008000"/>
      <w:shd w:val="clear" w:color="auto" w:fill="auto"/>
    </w:rPr>
  </w:style>
  <w:style w:type="character" w:customStyle="1" w:styleId="Marker11000000000">
    <w:name w:val="Marker11000000000"/>
    <w:basedOn w:val="DefaultParagraphFont"/>
    <w:rsid w:val="00CE4A32"/>
    <w:rPr>
      <w:color w:val="008000"/>
      <w:shd w:val="clear" w:color="auto" w:fill="auto"/>
    </w:rPr>
  </w:style>
  <w:style w:type="character" w:customStyle="1" w:styleId="Marker110000000000">
    <w:name w:val="Marker110000000000"/>
    <w:basedOn w:val="DefaultParagraphFont"/>
    <w:rsid w:val="00D470F0"/>
    <w:rPr>
      <w:color w:val="008000"/>
      <w:shd w:val="clear" w:color="auto" w:fill="auto"/>
    </w:rPr>
  </w:style>
  <w:style w:type="character" w:customStyle="1" w:styleId="Marker1100000000000">
    <w:name w:val="Marker1100000000000"/>
    <w:basedOn w:val="DefaultParagraphFont"/>
    <w:rsid w:val="00C901BE"/>
    <w:rPr>
      <w:color w:val="008000"/>
      <w:shd w:val="clear" w:color="auto" w:fill="auto"/>
    </w:rPr>
  </w:style>
  <w:style w:type="character" w:customStyle="1" w:styleId="Marker11000000000000">
    <w:name w:val="Marker11000000000000"/>
    <w:basedOn w:val="DefaultParagraphFont"/>
    <w:rsid w:val="00754EE1"/>
    <w:rPr>
      <w:color w:val="008000"/>
      <w:shd w:val="clear" w:color="auto" w:fill="auto"/>
    </w:rPr>
  </w:style>
  <w:style w:type="character" w:customStyle="1" w:styleId="Marker110000000000000">
    <w:name w:val="Marker110000000000000"/>
    <w:basedOn w:val="DefaultParagraphFont"/>
    <w:rsid w:val="00ED48E4"/>
    <w:rPr>
      <w:color w:val="008000"/>
      <w:shd w:val="clear" w:color="auto" w:fill="auto"/>
    </w:rPr>
  </w:style>
  <w:style w:type="character" w:customStyle="1" w:styleId="Marker1100000000000000">
    <w:name w:val="Marker1100000000000000"/>
    <w:basedOn w:val="DefaultParagraphFont"/>
    <w:rsid w:val="00100486"/>
    <w:rPr>
      <w:color w:val="008000"/>
      <w:shd w:val="clear" w:color="auto" w:fill="auto"/>
    </w:rPr>
  </w:style>
  <w:style w:type="character" w:customStyle="1" w:styleId="Marker11000000000000000">
    <w:name w:val="Marker11000000000000000"/>
    <w:basedOn w:val="DefaultParagraphFont"/>
    <w:rsid w:val="00F6574D"/>
    <w:rPr>
      <w:color w:val="008000"/>
      <w:shd w:val="clear" w:color="auto" w:fill="auto"/>
    </w:rPr>
  </w:style>
  <w:style w:type="character" w:customStyle="1" w:styleId="Marker110000000000000000">
    <w:name w:val="Marker110000000000000000"/>
    <w:basedOn w:val="DefaultParagraphFont"/>
    <w:rsid w:val="00F115F1"/>
    <w:rPr>
      <w:color w:val="008000"/>
      <w:shd w:val="clear" w:color="auto" w:fill="auto"/>
    </w:rPr>
  </w:style>
  <w:style w:type="character" w:customStyle="1" w:styleId="Marker1100000000000000000">
    <w:name w:val="Marker1100000000000000000"/>
    <w:basedOn w:val="DefaultParagraphFont"/>
    <w:rsid w:val="00AA3A78"/>
    <w:rPr>
      <w:color w:val="008000"/>
      <w:shd w:val="clear" w:color="auto" w:fill="auto"/>
    </w:rPr>
  </w:style>
  <w:style w:type="character" w:customStyle="1" w:styleId="Marker11000000000000000000">
    <w:name w:val="Marker11000000000000000000"/>
    <w:basedOn w:val="DefaultParagraphFont"/>
    <w:rsid w:val="00E50C78"/>
    <w:rPr>
      <w:color w:val="008000"/>
      <w:shd w:val="clear" w:color="auto" w:fill="auto"/>
    </w:rPr>
  </w:style>
  <w:style w:type="character" w:customStyle="1" w:styleId="Marker110000000000000000000">
    <w:name w:val="Marker110000000000000000000"/>
    <w:basedOn w:val="DefaultParagraphFont"/>
    <w:rsid w:val="008E4731"/>
    <w:rPr>
      <w:color w:val="008000"/>
      <w:shd w:val="clear" w:color="auto" w:fill="auto"/>
    </w:rPr>
  </w:style>
  <w:style w:type="character" w:customStyle="1" w:styleId="Marker1100000000000000000000">
    <w:name w:val="Marker1100000000000000000000"/>
    <w:basedOn w:val="DefaultParagraphFont"/>
    <w:rsid w:val="00A0520B"/>
    <w:rPr>
      <w:color w:val="008000"/>
      <w:shd w:val="clear" w:color="auto" w:fill="auto"/>
    </w:rPr>
  </w:style>
  <w:style w:type="character" w:customStyle="1" w:styleId="Marker11000000000000000000000">
    <w:name w:val="Marker11000000000000000000000"/>
    <w:basedOn w:val="DefaultParagraphFont"/>
    <w:rsid w:val="00867019"/>
    <w:rPr>
      <w:color w:val="008000"/>
      <w:shd w:val="clear" w:color="auto" w:fill="auto"/>
    </w:rPr>
  </w:style>
  <w:style w:type="character" w:customStyle="1" w:styleId="Marker110000000000000000000000">
    <w:name w:val="Marker110000000000000000000000"/>
    <w:basedOn w:val="DefaultParagraphFont"/>
    <w:rsid w:val="007A6412"/>
    <w:rPr>
      <w:color w:val="008000"/>
      <w:shd w:val="clear" w:color="auto" w:fill="auto"/>
    </w:rPr>
  </w:style>
  <w:style w:type="character" w:customStyle="1" w:styleId="Marker1100000000000000000000000">
    <w:name w:val="Marker1100000000000000000000000"/>
    <w:basedOn w:val="DefaultParagraphFont"/>
    <w:rsid w:val="00B61096"/>
    <w:rPr>
      <w:color w:val="008000"/>
      <w:shd w:val="clear" w:color="auto" w:fill="auto"/>
    </w:rPr>
  </w:style>
  <w:style w:type="character" w:customStyle="1" w:styleId="Marker11000000000000000000000000">
    <w:name w:val="Marker11000000000000000000000000"/>
    <w:basedOn w:val="DefaultParagraphFont"/>
    <w:rsid w:val="0035748A"/>
    <w:rPr>
      <w:color w:val="008000"/>
      <w:shd w:val="clear" w:color="auto" w:fill="auto"/>
    </w:rPr>
  </w:style>
  <w:style w:type="character" w:customStyle="1" w:styleId="Marker110000000000000000000000000">
    <w:name w:val="Marker110000000000000000000000000"/>
    <w:basedOn w:val="DefaultParagraphFont"/>
    <w:rsid w:val="00B922C2"/>
    <w:rPr>
      <w:color w:val="008000"/>
      <w:shd w:val="clear" w:color="auto" w:fill="auto"/>
    </w:rPr>
  </w:style>
  <w:style w:type="character" w:customStyle="1" w:styleId="Marker1100000000000000000000000000">
    <w:name w:val="Marker1100000000000000000000000000"/>
    <w:basedOn w:val="DefaultParagraphFont"/>
    <w:rsid w:val="00995245"/>
    <w:rPr>
      <w:color w:val="008000"/>
      <w:shd w:val="clear" w:color="auto" w:fill="auto"/>
    </w:rPr>
  </w:style>
  <w:style w:type="character" w:customStyle="1" w:styleId="Marker11000000000000000000000000000">
    <w:name w:val="Marker11000000000000000000000000000"/>
    <w:basedOn w:val="DefaultParagraphFont"/>
    <w:rsid w:val="007B25CD"/>
    <w:rPr>
      <w:color w:val="008000"/>
      <w:shd w:val="clear" w:color="auto" w:fill="auto"/>
    </w:rPr>
  </w:style>
  <w:style w:type="character" w:customStyle="1" w:styleId="Marker110000000000000000000000000000">
    <w:name w:val="Marker110000000000000000000000000000"/>
    <w:basedOn w:val="DefaultParagraphFont"/>
    <w:rsid w:val="000E4F0B"/>
    <w:rPr>
      <w:color w:val="008000"/>
      <w:shd w:val="clear" w:color="auto" w:fill="auto"/>
    </w:rPr>
  </w:style>
  <w:style w:type="character" w:customStyle="1" w:styleId="Marker1100000000000000000000000000000">
    <w:name w:val="Marker1100000000000000000000000000000"/>
    <w:basedOn w:val="DefaultParagraphFont"/>
    <w:rsid w:val="0066653F"/>
    <w:rPr>
      <w:color w:val="008000"/>
      <w:shd w:val="clear" w:color="auto" w:fill="auto"/>
    </w:rPr>
  </w:style>
  <w:style w:type="character" w:customStyle="1" w:styleId="Marker11000000000000000000000000000000">
    <w:name w:val="Marker11000000000000000000000000000000"/>
    <w:basedOn w:val="DefaultParagraphFont"/>
    <w:rsid w:val="00EB21BA"/>
    <w:rPr>
      <w:color w:val="008000"/>
      <w:shd w:val="clear" w:color="auto" w:fill="auto"/>
    </w:rPr>
  </w:style>
  <w:style w:type="character" w:customStyle="1" w:styleId="Marker110000000000000000000000000000000">
    <w:name w:val="Marker110000000000000000000000000000000"/>
    <w:basedOn w:val="DefaultParagraphFont"/>
    <w:rsid w:val="0053166F"/>
    <w:rPr>
      <w:color w:val="008000"/>
      <w:shd w:val="clear" w:color="auto" w:fill="auto"/>
    </w:rPr>
  </w:style>
  <w:style w:type="character" w:customStyle="1" w:styleId="Marker1100000000000000000000000000000000">
    <w:name w:val="Marker1100000000000000000000000000000000"/>
    <w:basedOn w:val="DefaultParagraphFont"/>
    <w:rsid w:val="00786A5F"/>
    <w:rPr>
      <w:color w:val="008000"/>
      <w:shd w:val="clear" w:color="auto" w:fill="auto"/>
    </w:rPr>
  </w:style>
  <w:style w:type="character" w:customStyle="1" w:styleId="Marker11000000000000000000000000000000000">
    <w:name w:val="Marker11000000000000000000000000000000000"/>
    <w:basedOn w:val="DefaultParagraphFont"/>
    <w:rsid w:val="002D38F6"/>
    <w:rPr>
      <w:color w:val="008000"/>
      <w:shd w:val="clear" w:color="auto" w:fill="auto"/>
    </w:rPr>
  </w:style>
  <w:style w:type="character" w:customStyle="1" w:styleId="Marker110000000000000000000000000000000000">
    <w:name w:val="Marker110000000000000000000000000000000000"/>
    <w:basedOn w:val="DefaultParagraphFont"/>
    <w:rsid w:val="005C55BA"/>
    <w:rPr>
      <w:color w:val="008000"/>
      <w:shd w:val="clear" w:color="auto" w:fill="auto"/>
    </w:rPr>
  </w:style>
  <w:style w:type="character" w:customStyle="1" w:styleId="Marker1100000000000000000000000000000000000">
    <w:name w:val="Marker1100000000000000000000000000000000000"/>
    <w:basedOn w:val="DefaultParagraphFont"/>
    <w:rsid w:val="000B7144"/>
    <w:rPr>
      <w:color w:val="008000"/>
      <w:shd w:val="clear" w:color="auto" w:fill="auto"/>
    </w:rPr>
  </w:style>
  <w:style w:type="character" w:customStyle="1" w:styleId="Marker11000000000000000000000000000000000000">
    <w:name w:val="Marker11000000000000000000000000000000000000"/>
    <w:basedOn w:val="DefaultParagraphFont"/>
    <w:rsid w:val="002006B0"/>
    <w:rPr>
      <w:color w:val="008000"/>
      <w:shd w:val="clear" w:color="auto" w:fill="auto"/>
    </w:rPr>
  </w:style>
  <w:style w:type="character" w:customStyle="1" w:styleId="Marker110000000000000000000000000000000000000">
    <w:name w:val="Marker110000000000000000000000000000000000000"/>
    <w:basedOn w:val="DefaultParagraphFont"/>
    <w:rsid w:val="006512F6"/>
    <w:rPr>
      <w:color w:val="008000"/>
      <w:shd w:val="clear" w:color="auto" w:fill="auto"/>
    </w:rPr>
  </w:style>
  <w:style w:type="character" w:customStyle="1" w:styleId="Marker1100000000000000000000000000000000000000">
    <w:name w:val="Marker1100000000000000000000000000000000000000"/>
    <w:basedOn w:val="DefaultParagraphFont"/>
    <w:rsid w:val="003356FC"/>
    <w:rPr>
      <w:color w:val="008000"/>
      <w:shd w:val="clear" w:color="auto" w:fill="auto"/>
    </w:rPr>
  </w:style>
  <w:style w:type="character" w:customStyle="1" w:styleId="Marker12">
    <w:name w:val="Marker12"/>
    <w:basedOn w:val="DefaultParagraphFont"/>
    <w:rPr>
      <w:color w:val="008000"/>
      <w:shd w:val="clear" w:color="auto" w:fill="auto"/>
    </w:rPr>
  </w:style>
  <w:style w:type="character" w:customStyle="1" w:styleId="Marker13">
    <w:name w:val="Marker13"/>
    <w:basedOn w:val="DefaultParagraphFont"/>
    <w:rPr>
      <w:color w:val="008000"/>
      <w:shd w:val="clear" w:color="auto" w:fill="auto"/>
    </w:rPr>
  </w:style>
  <w:style w:type="character" w:customStyle="1" w:styleId="HeaderChar">
    <w:name w:val="Header Char"/>
    <w:basedOn w:val="DefaultParagraphFont"/>
    <w:link w:val="Header"/>
    <w:uiPriority w:val="99"/>
    <w:rsid w:val="005C1364"/>
    <w:rPr>
      <w:rFonts w:ascii="Times New Roman" w:hAnsi="Times New Roman" w:cs="Times New Roman"/>
      <w:sz w:val="24"/>
      <w:lang w:val="en-GB"/>
    </w:rPr>
  </w:style>
  <w:style w:type="character" w:customStyle="1" w:styleId="FooterChar">
    <w:name w:val="Footer Char"/>
    <w:basedOn w:val="DefaultParagraphFont"/>
    <w:link w:val="Footer"/>
    <w:uiPriority w:val="99"/>
    <w:rsid w:val="005C1364"/>
    <w:rPr>
      <w:rFonts w:ascii="Times New Roman" w:hAnsi="Times New Roman" w:cs="Times New Roman"/>
      <w:sz w:val="24"/>
      <w:lang w:val="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before="0" w:after="0"/>
      <w:ind w:left="720" w:hanging="720"/>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Pr>
      <w:shd w:val="clear" w:color="auto" w:fill="auto"/>
      <w:vertAlign w:val="superscript"/>
    </w:rPr>
  </w:style>
  <w:style w:type="paragraph" w:customStyle="1" w:styleId="HeaderSensitivity">
    <w:name w:val="Header Sensitivity"/>
    <w:basedOn w:val="Normal"/>
    <w:rsid w:val="005C136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C1364"/>
    <w:pPr>
      <w:spacing w:before="0"/>
      <w:jc w:val="right"/>
    </w:pPr>
    <w:rPr>
      <w:sz w:val="28"/>
    </w:rPr>
  </w:style>
  <w:style w:type="paragraph" w:customStyle="1" w:styleId="FooterSensitivity">
    <w:name w:val="Footer Sensitivity"/>
    <w:basedOn w:val="Normal"/>
    <w:rsid w:val="005C136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4"/>
      </w:numPr>
    </w:pPr>
  </w:style>
  <w:style w:type="paragraph" w:customStyle="1" w:styleId="Tiret1">
    <w:name w:val="Tiret 1"/>
    <w:basedOn w:val="Point1"/>
    <w:pPr>
      <w:numPr>
        <w:numId w:val="95"/>
      </w:numPr>
    </w:pPr>
  </w:style>
  <w:style w:type="paragraph" w:customStyle="1" w:styleId="Tiret2">
    <w:name w:val="Tiret 2"/>
    <w:basedOn w:val="Point2"/>
    <w:pPr>
      <w:numPr>
        <w:numId w:val="96"/>
      </w:numPr>
    </w:pPr>
  </w:style>
  <w:style w:type="paragraph" w:customStyle="1" w:styleId="Tiret3">
    <w:name w:val="Tiret 3"/>
    <w:basedOn w:val="Point3"/>
    <w:pPr>
      <w:numPr>
        <w:numId w:val="97"/>
      </w:numPr>
    </w:pPr>
  </w:style>
  <w:style w:type="paragraph" w:customStyle="1" w:styleId="Tiret4">
    <w:name w:val="Tiret 4"/>
    <w:basedOn w:val="Point4"/>
    <w:pPr>
      <w:numPr>
        <w:numId w:val="98"/>
      </w:numPr>
    </w:pPr>
  </w:style>
  <w:style w:type="paragraph" w:customStyle="1" w:styleId="Tiret5">
    <w:name w:val="Tiret 5"/>
    <w:basedOn w:val="Point5"/>
    <w:pPr>
      <w:numPr>
        <w:numId w:val="9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0"/>
      </w:numPr>
    </w:pPr>
  </w:style>
  <w:style w:type="paragraph" w:customStyle="1" w:styleId="NumPar2">
    <w:name w:val="NumPar 2"/>
    <w:basedOn w:val="Normal"/>
    <w:next w:val="Text1"/>
    <w:pPr>
      <w:numPr>
        <w:ilvl w:val="1"/>
        <w:numId w:val="100"/>
      </w:numPr>
    </w:pPr>
  </w:style>
  <w:style w:type="paragraph" w:customStyle="1" w:styleId="NumPar3">
    <w:name w:val="NumPar 3"/>
    <w:basedOn w:val="Normal"/>
    <w:next w:val="Text1"/>
    <w:pPr>
      <w:numPr>
        <w:ilvl w:val="2"/>
        <w:numId w:val="100"/>
      </w:numPr>
    </w:pPr>
  </w:style>
  <w:style w:type="paragraph" w:customStyle="1" w:styleId="NumPar4">
    <w:name w:val="NumPar 4"/>
    <w:basedOn w:val="Normal"/>
    <w:next w:val="Text1"/>
    <w:pPr>
      <w:numPr>
        <w:ilvl w:val="3"/>
        <w:numId w:val="100"/>
      </w:numPr>
    </w:pPr>
  </w:style>
  <w:style w:type="paragraph" w:customStyle="1" w:styleId="NumPar5">
    <w:name w:val="NumPar 5"/>
    <w:basedOn w:val="Normal"/>
    <w:next w:val="Text2"/>
    <w:pPr>
      <w:numPr>
        <w:ilvl w:val="4"/>
        <w:numId w:val="100"/>
      </w:numPr>
    </w:pPr>
  </w:style>
  <w:style w:type="paragraph" w:customStyle="1" w:styleId="NumPar6">
    <w:name w:val="NumPar 6"/>
    <w:basedOn w:val="Normal"/>
    <w:next w:val="Text2"/>
    <w:pPr>
      <w:numPr>
        <w:ilvl w:val="5"/>
        <w:numId w:val="100"/>
      </w:numPr>
    </w:pPr>
  </w:style>
  <w:style w:type="paragraph" w:customStyle="1" w:styleId="NumPar7">
    <w:name w:val="NumPar 7"/>
    <w:basedOn w:val="Normal"/>
    <w:next w:val="Text2"/>
    <w:pPr>
      <w:numPr>
        <w:ilvl w:val="6"/>
        <w:numId w:val="10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2"/>
      </w:numPr>
    </w:pPr>
  </w:style>
  <w:style w:type="paragraph" w:customStyle="1" w:styleId="Point1number">
    <w:name w:val="Point 1 (number)"/>
    <w:basedOn w:val="Normal"/>
    <w:pPr>
      <w:numPr>
        <w:ilvl w:val="2"/>
        <w:numId w:val="102"/>
      </w:numPr>
    </w:pPr>
  </w:style>
  <w:style w:type="paragraph" w:customStyle="1" w:styleId="Point2number">
    <w:name w:val="Point 2 (number)"/>
    <w:basedOn w:val="Normal"/>
    <w:pPr>
      <w:numPr>
        <w:ilvl w:val="4"/>
        <w:numId w:val="102"/>
      </w:numPr>
    </w:pPr>
  </w:style>
  <w:style w:type="paragraph" w:customStyle="1" w:styleId="Point3number">
    <w:name w:val="Point 3 (number)"/>
    <w:basedOn w:val="Normal"/>
    <w:pPr>
      <w:numPr>
        <w:ilvl w:val="6"/>
        <w:numId w:val="102"/>
      </w:numPr>
    </w:pPr>
  </w:style>
  <w:style w:type="paragraph" w:customStyle="1" w:styleId="Point0letter">
    <w:name w:val="Point 0 (letter)"/>
    <w:basedOn w:val="Normal"/>
    <w:pPr>
      <w:numPr>
        <w:ilvl w:val="1"/>
        <w:numId w:val="102"/>
      </w:numPr>
    </w:pPr>
  </w:style>
  <w:style w:type="paragraph" w:customStyle="1" w:styleId="Point1letter">
    <w:name w:val="Point 1 (letter)"/>
    <w:basedOn w:val="Normal"/>
    <w:pPr>
      <w:numPr>
        <w:ilvl w:val="3"/>
        <w:numId w:val="102"/>
      </w:numPr>
    </w:pPr>
  </w:style>
  <w:style w:type="paragraph" w:customStyle="1" w:styleId="Point2letter">
    <w:name w:val="Point 2 (letter)"/>
    <w:basedOn w:val="Normal"/>
    <w:pPr>
      <w:numPr>
        <w:ilvl w:val="5"/>
        <w:numId w:val="102"/>
      </w:numPr>
    </w:pPr>
  </w:style>
  <w:style w:type="paragraph" w:customStyle="1" w:styleId="Point3letter">
    <w:name w:val="Point 3 (letter)"/>
    <w:basedOn w:val="Normal"/>
    <w:pPr>
      <w:numPr>
        <w:ilvl w:val="7"/>
        <w:numId w:val="102"/>
      </w:numPr>
    </w:pPr>
  </w:style>
  <w:style w:type="paragraph" w:customStyle="1" w:styleId="Point4letter">
    <w:name w:val="Point 4 (letter)"/>
    <w:basedOn w:val="Normal"/>
    <w:pPr>
      <w:numPr>
        <w:ilvl w:val="8"/>
        <w:numId w:val="102"/>
      </w:numPr>
    </w:pPr>
  </w:style>
  <w:style w:type="paragraph" w:customStyle="1" w:styleId="Bullet0">
    <w:name w:val="Bullet 0"/>
    <w:basedOn w:val="Normal"/>
    <w:pPr>
      <w:numPr>
        <w:numId w:val="103"/>
      </w:numPr>
    </w:pPr>
  </w:style>
  <w:style w:type="paragraph" w:customStyle="1" w:styleId="Bullet1">
    <w:name w:val="Bullet 1"/>
    <w:basedOn w:val="Normal"/>
    <w:pPr>
      <w:numPr>
        <w:numId w:val="104"/>
      </w:numPr>
    </w:pPr>
  </w:style>
  <w:style w:type="paragraph" w:customStyle="1" w:styleId="Bullet2">
    <w:name w:val="Bullet 2"/>
    <w:basedOn w:val="Normal"/>
    <w:pPr>
      <w:numPr>
        <w:numId w:val="105"/>
      </w:numPr>
    </w:pPr>
  </w:style>
  <w:style w:type="paragraph" w:customStyle="1" w:styleId="Bullet3">
    <w:name w:val="Bullet 3"/>
    <w:basedOn w:val="Normal"/>
    <w:pPr>
      <w:numPr>
        <w:numId w:val="106"/>
      </w:numPr>
    </w:pPr>
  </w:style>
  <w:style w:type="paragraph" w:customStyle="1" w:styleId="Bullet4">
    <w:name w:val="Bullet 4"/>
    <w:basedOn w:val="Normal"/>
    <w:pPr>
      <w:numPr>
        <w:numId w:val="10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5C1364"/>
    <w:pPr>
      <w:tabs>
        <w:tab w:val="center" w:pos="4535"/>
        <w:tab w:val="right" w:pos="9071"/>
      </w:tabs>
      <w:spacing w:before="0"/>
    </w:pPr>
  </w:style>
  <w:style w:type="paragraph" w:customStyle="1" w:styleId="HeaderLandscape">
    <w:name w:val="HeaderLandscape"/>
    <w:basedOn w:val="Normal"/>
    <w:rsid w:val="005C1364"/>
    <w:pPr>
      <w:tabs>
        <w:tab w:val="center" w:pos="7285"/>
        <w:tab w:val="right" w:pos="14003"/>
      </w:tabs>
      <w:spacing w:before="0"/>
    </w:pPr>
  </w:style>
  <w:style w:type="paragraph" w:styleId="Footer">
    <w:name w:val="footer"/>
    <w:basedOn w:val="Normal"/>
    <w:link w:val="FooterChar"/>
    <w:uiPriority w:val="99"/>
    <w:unhideWhenUsed/>
    <w:rsid w:val="005C136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C136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936">
      <w:bodyDiv w:val="1"/>
      <w:marLeft w:val="0"/>
      <w:marRight w:val="0"/>
      <w:marTop w:val="0"/>
      <w:marBottom w:val="0"/>
      <w:divBdr>
        <w:top w:val="none" w:sz="0" w:space="0" w:color="auto"/>
        <w:left w:val="none" w:sz="0" w:space="0" w:color="auto"/>
        <w:bottom w:val="none" w:sz="0" w:space="0" w:color="auto"/>
        <w:right w:val="none" w:sz="0" w:space="0" w:color="auto"/>
      </w:divBdr>
    </w:div>
    <w:div w:id="38672699">
      <w:bodyDiv w:val="1"/>
      <w:marLeft w:val="0"/>
      <w:marRight w:val="0"/>
      <w:marTop w:val="0"/>
      <w:marBottom w:val="0"/>
      <w:divBdr>
        <w:top w:val="none" w:sz="0" w:space="0" w:color="auto"/>
        <w:left w:val="none" w:sz="0" w:space="0" w:color="auto"/>
        <w:bottom w:val="none" w:sz="0" w:space="0" w:color="auto"/>
        <w:right w:val="none" w:sz="0" w:space="0" w:color="auto"/>
      </w:divBdr>
    </w:div>
    <w:div w:id="112293299">
      <w:bodyDiv w:val="1"/>
      <w:marLeft w:val="0"/>
      <w:marRight w:val="0"/>
      <w:marTop w:val="0"/>
      <w:marBottom w:val="0"/>
      <w:divBdr>
        <w:top w:val="none" w:sz="0" w:space="0" w:color="auto"/>
        <w:left w:val="none" w:sz="0" w:space="0" w:color="auto"/>
        <w:bottom w:val="none" w:sz="0" w:space="0" w:color="auto"/>
        <w:right w:val="none" w:sz="0" w:space="0" w:color="auto"/>
      </w:divBdr>
    </w:div>
    <w:div w:id="144202177">
      <w:bodyDiv w:val="1"/>
      <w:marLeft w:val="0"/>
      <w:marRight w:val="0"/>
      <w:marTop w:val="0"/>
      <w:marBottom w:val="0"/>
      <w:divBdr>
        <w:top w:val="none" w:sz="0" w:space="0" w:color="auto"/>
        <w:left w:val="none" w:sz="0" w:space="0" w:color="auto"/>
        <w:bottom w:val="none" w:sz="0" w:space="0" w:color="auto"/>
        <w:right w:val="none" w:sz="0" w:space="0" w:color="auto"/>
      </w:divBdr>
    </w:div>
    <w:div w:id="165216609">
      <w:bodyDiv w:val="1"/>
      <w:marLeft w:val="0"/>
      <w:marRight w:val="0"/>
      <w:marTop w:val="0"/>
      <w:marBottom w:val="0"/>
      <w:divBdr>
        <w:top w:val="none" w:sz="0" w:space="0" w:color="auto"/>
        <w:left w:val="none" w:sz="0" w:space="0" w:color="auto"/>
        <w:bottom w:val="none" w:sz="0" w:space="0" w:color="auto"/>
        <w:right w:val="none" w:sz="0" w:space="0" w:color="auto"/>
      </w:divBdr>
    </w:div>
    <w:div w:id="200871327">
      <w:bodyDiv w:val="1"/>
      <w:marLeft w:val="0"/>
      <w:marRight w:val="0"/>
      <w:marTop w:val="0"/>
      <w:marBottom w:val="0"/>
      <w:divBdr>
        <w:top w:val="none" w:sz="0" w:space="0" w:color="auto"/>
        <w:left w:val="none" w:sz="0" w:space="0" w:color="auto"/>
        <w:bottom w:val="none" w:sz="0" w:space="0" w:color="auto"/>
        <w:right w:val="none" w:sz="0" w:space="0" w:color="auto"/>
      </w:divBdr>
    </w:div>
    <w:div w:id="322009709">
      <w:bodyDiv w:val="1"/>
      <w:marLeft w:val="0"/>
      <w:marRight w:val="0"/>
      <w:marTop w:val="0"/>
      <w:marBottom w:val="0"/>
      <w:divBdr>
        <w:top w:val="none" w:sz="0" w:space="0" w:color="auto"/>
        <w:left w:val="none" w:sz="0" w:space="0" w:color="auto"/>
        <w:bottom w:val="none" w:sz="0" w:space="0" w:color="auto"/>
        <w:right w:val="none" w:sz="0" w:space="0" w:color="auto"/>
      </w:divBdr>
    </w:div>
    <w:div w:id="356349861">
      <w:bodyDiv w:val="1"/>
      <w:marLeft w:val="0"/>
      <w:marRight w:val="0"/>
      <w:marTop w:val="0"/>
      <w:marBottom w:val="0"/>
      <w:divBdr>
        <w:top w:val="none" w:sz="0" w:space="0" w:color="auto"/>
        <w:left w:val="none" w:sz="0" w:space="0" w:color="auto"/>
        <w:bottom w:val="none" w:sz="0" w:space="0" w:color="auto"/>
        <w:right w:val="none" w:sz="0" w:space="0" w:color="auto"/>
      </w:divBdr>
    </w:div>
    <w:div w:id="359361223">
      <w:bodyDiv w:val="1"/>
      <w:marLeft w:val="0"/>
      <w:marRight w:val="0"/>
      <w:marTop w:val="0"/>
      <w:marBottom w:val="0"/>
      <w:divBdr>
        <w:top w:val="none" w:sz="0" w:space="0" w:color="auto"/>
        <w:left w:val="none" w:sz="0" w:space="0" w:color="auto"/>
        <w:bottom w:val="none" w:sz="0" w:space="0" w:color="auto"/>
        <w:right w:val="none" w:sz="0" w:space="0" w:color="auto"/>
      </w:divBdr>
    </w:div>
    <w:div w:id="369646027">
      <w:bodyDiv w:val="1"/>
      <w:marLeft w:val="0"/>
      <w:marRight w:val="0"/>
      <w:marTop w:val="0"/>
      <w:marBottom w:val="0"/>
      <w:divBdr>
        <w:top w:val="none" w:sz="0" w:space="0" w:color="auto"/>
        <w:left w:val="none" w:sz="0" w:space="0" w:color="auto"/>
        <w:bottom w:val="none" w:sz="0" w:space="0" w:color="auto"/>
        <w:right w:val="none" w:sz="0" w:space="0" w:color="auto"/>
      </w:divBdr>
    </w:div>
    <w:div w:id="385103016">
      <w:bodyDiv w:val="1"/>
      <w:marLeft w:val="0"/>
      <w:marRight w:val="0"/>
      <w:marTop w:val="0"/>
      <w:marBottom w:val="0"/>
      <w:divBdr>
        <w:top w:val="none" w:sz="0" w:space="0" w:color="auto"/>
        <w:left w:val="none" w:sz="0" w:space="0" w:color="auto"/>
        <w:bottom w:val="none" w:sz="0" w:space="0" w:color="auto"/>
        <w:right w:val="none" w:sz="0" w:space="0" w:color="auto"/>
      </w:divBdr>
    </w:div>
    <w:div w:id="557589726">
      <w:bodyDiv w:val="1"/>
      <w:marLeft w:val="0"/>
      <w:marRight w:val="0"/>
      <w:marTop w:val="0"/>
      <w:marBottom w:val="0"/>
      <w:divBdr>
        <w:top w:val="none" w:sz="0" w:space="0" w:color="auto"/>
        <w:left w:val="none" w:sz="0" w:space="0" w:color="auto"/>
        <w:bottom w:val="none" w:sz="0" w:space="0" w:color="auto"/>
        <w:right w:val="none" w:sz="0" w:space="0" w:color="auto"/>
      </w:divBdr>
    </w:div>
    <w:div w:id="619528522">
      <w:bodyDiv w:val="1"/>
      <w:marLeft w:val="0"/>
      <w:marRight w:val="0"/>
      <w:marTop w:val="0"/>
      <w:marBottom w:val="0"/>
      <w:divBdr>
        <w:top w:val="none" w:sz="0" w:space="0" w:color="auto"/>
        <w:left w:val="none" w:sz="0" w:space="0" w:color="auto"/>
        <w:bottom w:val="none" w:sz="0" w:space="0" w:color="auto"/>
        <w:right w:val="none" w:sz="0" w:space="0" w:color="auto"/>
      </w:divBdr>
    </w:div>
    <w:div w:id="721367139">
      <w:bodyDiv w:val="1"/>
      <w:marLeft w:val="0"/>
      <w:marRight w:val="0"/>
      <w:marTop w:val="0"/>
      <w:marBottom w:val="0"/>
      <w:divBdr>
        <w:top w:val="none" w:sz="0" w:space="0" w:color="auto"/>
        <w:left w:val="none" w:sz="0" w:space="0" w:color="auto"/>
        <w:bottom w:val="none" w:sz="0" w:space="0" w:color="auto"/>
        <w:right w:val="none" w:sz="0" w:space="0" w:color="auto"/>
      </w:divBdr>
      <w:divsChild>
        <w:div w:id="42757751">
          <w:marLeft w:val="0"/>
          <w:marRight w:val="0"/>
          <w:marTop w:val="0"/>
          <w:marBottom w:val="0"/>
          <w:divBdr>
            <w:top w:val="none" w:sz="0" w:space="0" w:color="auto"/>
            <w:left w:val="none" w:sz="0" w:space="0" w:color="auto"/>
            <w:bottom w:val="none" w:sz="0" w:space="0" w:color="auto"/>
            <w:right w:val="none" w:sz="0" w:space="0" w:color="auto"/>
          </w:divBdr>
          <w:divsChild>
            <w:div w:id="12378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27075">
      <w:bodyDiv w:val="1"/>
      <w:marLeft w:val="0"/>
      <w:marRight w:val="0"/>
      <w:marTop w:val="0"/>
      <w:marBottom w:val="0"/>
      <w:divBdr>
        <w:top w:val="none" w:sz="0" w:space="0" w:color="auto"/>
        <w:left w:val="none" w:sz="0" w:space="0" w:color="auto"/>
        <w:bottom w:val="none" w:sz="0" w:space="0" w:color="auto"/>
        <w:right w:val="none" w:sz="0" w:space="0" w:color="auto"/>
      </w:divBdr>
    </w:div>
    <w:div w:id="821389999">
      <w:bodyDiv w:val="1"/>
      <w:marLeft w:val="0"/>
      <w:marRight w:val="0"/>
      <w:marTop w:val="0"/>
      <w:marBottom w:val="0"/>
      <w:divBdr>
        <w:top w:val="none" w:sz="0" w:space="0" w:color="auto"/>
        <w:left w:val="none" w:sz="0" w:space="0" w:color="auto"/>
        <w:bottom w:val="none" w:sz="0" w:space="0" w:color="auto"/>
        <w:right w:val="none" w:sz="0" w:space="0" w:color="auto"/>
      </w:divBdr>
    </w:div>
    <w:div w:id="922958438">
      <w:bodyDiv w:val="1"/>
      <w:marLeft w:val="0"/>
      <w:marRight w:val="0"/>
      <w:marTop w:val="0"/>
      <w:marBottom w:val="0"/>
      <w:divBdr>
        <w:top w:val="none" w:sz="0" w:space="0" w:color="auto"/>
        <w:left w:val="none" w:sz="0" w:space="0" w:color="auto"/>
        <w:bottom w:val="none" w:sz="0" w:space="0" w:color="auto"/>
        <w:right w:val="none" w:sz="0" w:space="0" w:color="auto"/>
      </w:divBdr>
    </w:div>
    <w:div w:id="940062935">
      <w:bodyDiv w:val="1"/>
      <w:marLeft w:val="0"/>
      <w:marRight w:val="0"/>
      <w:marTop w:val="0"/>
      <w:marBottom w:val="0"/>
      <w:divBdr>
        <w:top w:val="none" w:sz="0" w:space="0" w:color="auto"/>
        <w:left w:val="none" w:sz="0" w:space="0" w:color="auto"/>
        <w:bottom w:val="none" w:sz="0" w:space="0" w:color="auto"/>
        <w:right w:val="none" w:sz="0" w:space="0" w:color="auto"/>
      </w:divBdr>
    </w:div>
    <w:div w:id="1063483219">
      <w:bodyDiv w:val="1"/>
      <w:marLeft w:val="0"/>
      <w:marRight w:val="0"/>
      <w:marTop w:val="0"/>
      <w:marBottom w:val="0"/>
      <w:divBdr>
        <w:top w:val="none" w:sz="0" w:space="0" w:color="auto"/>
        <w:left w:val="none" w:sz="0" w:space="0" w:color="auto"/>
        <w:bottom w:val="none" w:sz="0" w:space="0" w:color="auto"/>
        <w:right w:val="none" w:sz="0" w:space="0" w:color="auto"/>
      </w:divBdr>
    </w:div>
    <w:div w:id="1066413004">
      <w:bodyDiv w:val="1"/>
      <w:marLeft w:val="0"/>
      <w:marRight w:val="0"/>
      <w:marTop w:val="0"/>
      <w:marBottom w:val="0"/>
      <w:divBdr>
        <w:top w:val="none" w:sz="0" w:space="0" w:color="auto"/>
        <w:left w:val="none" w:sz="0" w:space="0" w:color="auto"/>
        <w:bottom w:val="none" w:sz="0" w:space="0" w:color="auto"/>
        <w:right w:val="none" w:sz="0" w:space="0" w:color="auto"/>
      </w:divBdr>
    </w:div>
    <w:div w:id="1069839106">
      <w:bodyDiv w:val="1"/>
      <w:marLeft w:val="0"/>
      <w:marRight w:val="0"/>
      <w:marTop w:val="0"/>
      <w:marBottom w:val="0"/>
      <w:divBdr>
        <w:top w:val="none" w:sz="0" w:space="0" w:color="auto"/>
        <w:left w:val="none" w:sz="0" w:space="0" w:color="auto"/>
        <w:bottom w:val="none" w:sz="0" w:space="0" w:color="auto"/>
        <w:right w:val="none" w:sz="0" w:space="0" w:color="auto"/>
      </w:divBdr>
    </w:div>
    <w:div w:id="1168137154">
      <w:bodyDiv w:val="1"/>
      <w:marLeft w:val="0"/>
      <w:marRight w:val="0"/>
      <w:marTop w:val="0"/>
      <w:marBottom w:val="0"/>
      <w:divBdr>
        <w:top w:val="none" w:sz="0" w:space="0" w:color="auto"/>
        <w:left w:val="none" w:sz="0" w:space="0" w:color="auto"/>
        <w:bottom w:val="none" w:sz="0" w:space="0" w:color="auto"/>
        <w:right w:val="none" w:sz="0" w:space="0" w:color="auto"/>
      </w:divBdr>
    </w:div>
    <w:div w:id="1222905063">
      <w:bodyDiv w:val="1"/>
      <w:marLeft w:val="0"/>
      <w:marRight w:val="0"/>
      <w:marTop w:val="0"/>
      <w:marBottom w:val="0"/>
      <w:divBdr>
        <w:top w:val="none" w:sz="0" w:space="0" w:color="auto"/>
        <w:left w:val="none" w:sz="0" w:space="0" w:color="auto"/>
        <w:bottom w:val="none" w:sz="0" w:space="0" w:color="auto"/>
        <w:right w:val="none" w:sz="0" w:space="0" w:color="auto"/>
      </w:divBdr>
    </w:div>
    <w:div w:id="1258177239">
      <w:bodyDiv w:val="1"/>
      <w:marLeft w:val="0"/>
      <w:marRight w:val="0"/>
      <w:marTop w:val="0"/>
      <w:marBottom w:val="0"/>
      <w:divBdr>
        <w:top w:val="none" w:sz="0" w:space="0" w:color="auto"/>
        <w:left w:val="none" w:sz="0" w:space="0" w:color="auto"/>
        <w:bottom w:val="none" w:sz="0" w:space="0" w:color="auto"/>
        <w:right w:val="none" w:sz="0" w:space="0" w:color="auto"/>
      </w:divBdr>
      <w:divsChild>
        <w:div w:id="1853884116">
          <w:marLeft w:val="0"/>
          <w:marRight w:val="0"/>
          <w:marTop w:val="0"/>
          <w:marBottom w:val="0"/>
          <w:divBdr>
            <w:top w:val="none" w:sz="0" w:space="0" w:color="auto"/>
            <w:left w:val="none" w:sz="0" w:space="0" w:color="auto"/>
            <w:bottom w:val="none" w:sz="0" w:space="0" w:color="auto"/>
            <w:right w:val="none" w:sz="0" w:space="0" w:color="auto"/>
          </w:divBdr>
          <w:divsChild>
            <w:div w:id="193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81037">
      <w:bodyDiv w:val="1"/>
      <w:marLeft w:val="0"/>
      <w:marRight w:val="0"/>
      <w:marTop w:val="0"/>
      <w:marBottom w:val="0"/>
      <w:divBdr>
        <w:top w:val="none" w:sz="0" w:space="0" w:color="auto"/>
        <w:left w:val="none" w:sz="0" w:space="0" w:color="auto"/>
        <w:bottom w:val="none" w:sz="0" w:space="0" w:color="auto"/>
        <w:right w:val="none" w:sz="0" w:space="0" w:color="auto"/>
      </w:divBdr>
    </w:div>
    <w:div w:id="1306155445">
      <w:bodyDiv w:val="1"/>
      <w:marLeft w:val="0"/>
      <w:marRight w:val="0"/>
      <w:marTop w:val="0"/>
      <w:marBottom w:val="0"/>
      <w:divBdr>
        <w:top w:val="none" w:sz="0" w:space="0" w:color="auto"/>
        <w:left w:val="none" w:sz="0" w:space="0" w:color="auto"/>
        <w:bottom w:val="none" w:sz="0" w:space="0" w:color="auto"/>
        <w:right w:val="none" w:sz="0" w:space="0" w:color="auto"/>
      </w:divBdr>
      <w:divsChild>
        <w:div w:id="844441506">
          <w:marLeft w:val="0"/>
          <w:marRight w:val="0"/>
          <w:marTop w:val="0"/>
          <w:marBottom w:val="0"/>
          <w:divBdr>
            <w:top w:val="none" w:sz="0" w:space="0" w:color="auto"/>
            <w:left w:val="none" w:sz="0" w:space="0" w:color="auto"/>
            <w:bottom w:val="none" w:sz="0" w:space="0" w:color="auto"/>
            <w:right w:val="none" w:sz="0" w:space="0" w:color="auto"/>
          </w:divBdr>
          <w:divsChild>
            <w:div w:id="4413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4516">
      <w:bodyDiv w:val="1"/>
      <w:marLeft w:val="0"/>
      <w:marRight w:val="0"/>
      <w:marTop w:val="0"/>
      <w:marBottom w:val="0"/>
      <w:divBdr>
        <w:top w:val="none" w:sz="0" w:space="0" w:color="auto"/>
        <w:left w:val="none" w:sz="0" w:space="0" w:color="auto"/>
        <w:bottom w:val="none" w:sz="0" w:space="0" w:color="auto"/>
        <w:right w:val="none" w:sz="0" w:space="0" w:color="auto"/>
      </w:divBdr>
    </w:div>
    <w:div w:id="1509557643">
      <w:bodyDiv w:val="1"/>
      <w:marLeft w:val="0"/>
      <w:marRight w:val="0"/>
      <w:marTop w:val="0"/>
      <w:marBottom w:val="0"/>
      <w:divBdr>
        <w:top w:val="none" w:sz="0" w:space="0" w:color="auto"/>
        <w:left w:val="none" w:sz="0" w:space="0" w:color="auto"/>
        <w:bottom w:val="none" w:sz="0" w:space="0" w:color="auto"/>
        <w:right w:val="none" w:sz="0" w:space="0" w:color="auto"/>
      </w:divBdr>
    </w:div>
    <w:div w:id="1553810786">
      <w:bodyDiv w:val="1"/>
      <w:marLeft w:val="0"/>
      <w:marRight w:val="0"/>
      <w:marTop w:val="0"/>
      <w:marBottom w:val="0"/>
      <w:divBdr>
        <w:top w:val="none" w:sz="0" w:space="0" w:color="auto"/>
        <w:left w:val="none" w:sz="0" w:space="0" w:color="auto"/>
        <w:bottom w:val="none" w:sz="0" w:space="0" w:color="auto"/>
        <w:right w:val="none" w:sz="0" w:space="0" w:color="auto"/>
      </w:divBdr>
    </w:div>
    <w:div w:id="1616402636">
      <w:bodyDiv w:val="1"/>
      <w:marLeft w:val="0"/>
      <w:marRight w:val="0"/>
      <w:marTop w:val="0"/>
      <w:marBottom w:val="0"/>
      <w:divBdr>
        <w:top w:val="none" w:sz="0" w:space="0" w:color="auto"/>
        <w:left w:val="none" w:sz="0" w:space="0" w:color="auto"/>
        <w:bottom w:val="none" w:sz="0" w:space="0" w:color="auto"/>
        <w:right w:val="none" w:sz="0" w:space="0" w:color="auto"/>
      </w:divBdr>
    </w:div>
    <w:div w:id="1637024752">
      <w:bodyDiv w:val="1"/>
      <w:marLeft w:val="0"/>
      <w:marRight w:val="0"/>
      <w:marTop w:val="0"/>
      <w:marBottom w:val="0"/>
      <w:divBdr>
        <w:top w:val="none" w:sz="0" w:space="0" w:color="auto"/>
        <w:left w:val="none" w:sz="0" w:space="0" w:color="auto"/>
        <w:bottom w:val="none" w:sz="0" w:space="0" w:color="auto"/>
        <w:right w:val="none" w:sz="0" w:space="0" w:color="auto"/>
      </w:divBdr>
    </w:div>
    <w:div w:id="1653561314">
      <w:bodyDiv w:val="1"/>
      <w:marLeft w:val="0"/>
      <w:marRight w:val="0"/>
      <w:marTop w:val="0"/>
      <w:marBottom w:val="0"/>
      <w:divBdr>
        <w:top w:val="none" w:sz="0" w:space="0" w:color="auto"/>
        <w:left w:val="none" w:sz="0" w:space="0" w:color="auto"/>
        <w:bottom w:val="none" w:sz="0" w:space="0" w:color="auto"/>
        <w:right w:val="none" w:sz="0" w:space="0" w:color="auto"/>
      </w:divBdr>
    </w:div>
    <w:div w:id="1687558471">
      <w:bodyDiv w:val="1"/>
      <w:marLeft w:val="0"/>
      <w:marRight w:val="0"/>
      <w:marTop w:val="0"/>
      <w:marBottom w:val="0"/>
      <w:divBdr>
        <w:top w:val="none" w:sz="0" w:space="0" w:color="auto"/>
        <w:left w:val="none" w:sz="0" w:space="0" w:color="auto"/>
        <w:bottom w:val="none" w:sz="0" w:space="0" w:color="auto"/>
        <w:right w:val="none" w:sz="0" w:space="0" w:color="auto"/>
      </w:divBdr>
    </w:div>
    <w:div w:id="1788423051">
      <w:bodyDiv w:val="1"/>
      <w:marLeft w:val="0"/>
      <w:marRight w:val="0"/>
      <w:marTop w:val="0"/>
      <w:marBottom w:val="0"/>
      <w:divBdr>
        <w:top w:val="none" w:sz="0" w:space="0" w:color="auto"/>
        <w:left w:val="none" w:sz="0" w:space="0" w:color="auto"/>
        <w:bottom w:val="none" w:sz="0" w:space="0" w:color="auto"/>
        <w:right w:val="none" w:sz="0" w:space="0" w:color="auto"/>
      </w:divBdr>
    </w:div>
    <w:div w:id="1812019218">
      <w:bodyDiv w:val="1"/>
      <w:marLeft w:val="0"/>
      <w:marRight w:val="0"/>
      <w:marTop w:val="0"/>
      <w:marBottom w:val="0"/>
      <w:divBdr>
        <w:top w:val="none" w:sz="0" w:space="0" w:color="auto"/>
        <w:left w:val="none" w:sz="0" w:space="0" w:color="auto"/>
        <w:bottom w:val="none" w:sz="0" w:space="0" w:color="auto"/>
        <w:right w:val="none" w:sz="0" w:space="0" w:color="auto"/>
      </w:divBdr>
      <w:divsChild>
        <w:div w:id="415248767">
          <w:marLeft w:val="0"/>
          <w:marRight w:val="0"/>
          <w:marTop w:val="0"/>
          <w:marBottom w:val="0"/>
          <w:divBdr>
            <w:top w:val="none" w:sz="0" w:space="0" w:color="auto"/>
            <w:left w:val="none" w:sz="0" w:space="0" w:color="auto"/>
            <w:bottom w:val="none" w:sz="0" w:space="0" w:color="auto"/>
            <w:right w:val="none" w:sz="0" w:space="0" w:color="auto"/>
          </w:divBdr>
          <w:divsChild>
            <w:div w:id="12462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2252">
      <w:bodyDiv w:val="1"/>
      <w:marLeft w:val="0"/>
      <w:marRight w:val="0"/>
      <w:marTop w:val="0"/>
      <w:marBottom w:val="0"/>
      <w:divBdr>
        <w:top w:val="none" w:sz="0" w:space="0" w:color="auto"/>
        <w:left w:val="none" w:sz="0" w:space="0" w:color="auto"/>
        <w:bottom w:val="none" w:sz="0" w:space="0" w:color="auto"/>
        <w:right w:val="none" w:sz="0" w:space="0" w:color="auto"/>
      </w:divBdr>
    </w:div>
    <w:div w:id="1860267391">
      <w:bodyDiv w:val="1"/>
      <w:marLeft w:val="0"/>
      <w:marRight w:val="0"/>
      <w:marTop w:val="0"/>
      <w:marBottom w:val="0"/>
      <w:divBdr>
        <w:top w:val="none" w:sz="0" w:space="0" w:color="auto"/>
        <w:left w:val="none" w:sz="0" w:space="0" w:color="auto"/>
        <w:bottom w:val="none" w:sz="0" w:space="0" w:color="auto"/>
        <w:right w:val="none" w:sz="0" w:space="0" w:color="auto"/>
      </w:divBdr>
    </w:div>
    <w:div w:id="2022778217">
      <w:bodyDiv w:val="1"/>
      <w:marLeft w:val="0"/>
      <w:marRight w:val="0"/>
      <w:marTop w:val="0"/>
      <w:marBottom w:val="0"/>
      <w:divBdr>
        <w:top w:val="none" w:sz="0" w:space="0" w:color="auto"/>
        <w:left w:val="none" w:sz="0" w:space="0" w:color="auto"/>
        <w:bottom w:val="none" w:sz="0" w:space="0" w:color="auto"/>
        <w:right w:val="none" w:sz="0" w:space="0" w:color="auto"/>
      </w:divBdr>
    </w:div>
    <w:div w:id="2023313809">
      <w:bodyDiv w:val="1"/>
      <w:marLeft w:val="0"/>
      <w:marRight w:val="0"/>
      <w:marTop w:val="0"/>
      <w:marBottom w:val="0"/>
      <w:divBdr>
        <w:top w:val="none" w:sz="0" w:space="0" w:color="auto"/>
        <w:left w:val="none" w:sz="0" w:space="0" w:color="auto"/>
        <w:bottom w:val="none" w:sz="0" w:space="0" w:color="auto"/>
        <w:right w:val="none" w:sz="0" w:space="0" w:color="auto"/>
      </w:divBdr>
    </w:div>
    <w:div w:id="20893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22/869/oj" TargetMode="External"/><Relationship Id="rId13" Type="http://schemas.openxmlformats.org/officeDocument/2006/relationships/hyperlink" Target="http://data.europa.eu/eli/reg/2024/1789/oj" TargetMode="External"/><Relationship Id="rId18" Type="http://schemas.openxmlformats.org/officeDocument/2006/relationships/hyperlink" Target="http://data.europa.eu/eli/dir/2011/92/oj" TargetMode="External"/><Relationship Id="rId26" Type="http://schemas.openxmlformats.org/officeDocument/2006/relationships/hyperlink" Target="http://data.europa.eu/eli/reg/2009/714/oj" TargetMode="External"/><Relationship Id="rId3" Type="http://schemas.openxmlformats.org/officeDocument/2006/relationships/hyperlink" Target="https://www.europarl.europa.eu/doceo/document/TA-10-2025-0090_EN.html" TargetMode="External"/><Relationship Id="rId21" Type="http://schemas.openxmlformats.org/officeDocument/2006/relationships/hyperlink" Target="http://data.europa.eu/eli/dir/2014/89/oj" TargetMode="External"/><Relationship Id="rId7" Type="http://schemas.openxmlformats.org/officeDocument/2006/relationships/hyperlink" Target="http://data.europa.eu/eli/dir/2023/1791/oj" TargetMode="External"/><Relationship Id="rId12" Type="http://schemas.openxmlformats.org/officeDocument/2006/relationships/hyperlink" Target="http://data.europa.eu/eli/reg/2019/452/oj" TargetMode="External"/><Relationship Id="rId17" Type="http://schemas.openxmlformats.org/officeDocument/2006/relationships/hyperlink" Target="http://data.europa.eu/eli/dir/2019/944/oj" TargetMode="External"/><Relationship Id="rId25" Type="http://schemas.openxmlformats.org/officeDocument/2006/relationships/hyperlink" Target="http://data.europa.eu/eli/agree_interinstit/2016/512/oj" TargetMode="External"/><Relationship Id="rId2" Type="http://schemas.openxmlformats.org/officeDocument/2006/relationships/hyperlink" Target="https://energy.ec.europa.eu/news/member-states-agree-new-ambition-expanding-offshore-renewable-energy-2024-12-18_en" TargetMode="External"/><Relationship Id="rId16" Type="http://schemas.openxmlformats.org/officeDocument/2006/relationships/hyperlink" Target="http://data.europa.eu/eli/reg/2020/852/oj" TargetMode="External"/><Relationship Id="rId20" Type="http://schemas.openxmlformats.org/officeDocument/2006/relationships/hyperlink" Target="http://data.europa.eu/eli/dir/2001/42/oj" TargetMode="External"/><Relationship Id="rId1" Type="http://schemas.openxmlformats.org/officeDocument/2006/relationships/hyperlink" Target="https://data.europa.eu/doi/10.2833/8232521" TargetMode="External"/><Relationship Id="rId6" Type="http://schemas.openxmlformats.org/officeDocument/2006/relationships/hyperlink" Target="http://data.europa.eu/eli/dir/2023/2413/oj" TargetMode="External"/><Relationship Id="rId11" Type="http://schemas.openxmlformats.org/officeDocument/2006/relationships/hyperlink" Target="http://data.europa.eu/eli/reg/2019/941/oj" TargetMode="External"/><Relationship Id="rId24" Type="http://schemas.openxmlformats.org/officeDocument/2006/relationships/hyperlink" Target="http://data.europa.eu/eli/reg/2024/2509/oj" TargetMode="External"/><Relationship Id="rId5" Type="http://schemas.openxmlformats.org/officeDocument/2006/relationships/hyperlink" Target="http://data.europa.eu/eli/reg/2021/1119/oj" TargetMode="External"/><Relationship Id="rId15" Type="http://schemas.openxmlformats.org/officeDocument/2006/relationships/hyperlink" Target="http://data.europa.eu/eli/dir/2022/2555/oj" TargetMode="External"/><Relationship Id="rId23" Type="http://schemas.openxmlformats.org/officeDocument/2006/relationships/hyperlink" Target="http://data.europa.eu/eli/reg_impl/2020/1294/oj" TargetMode="External"/><Relationship Id="rId10" Type="http://schemas.openxmlformats.org/officeDocument/2006/relationships/hyperlink" Target="http://data.europa.eu/eli/reg/2019/943/oj" TargetMode="External"/><Relationship Id="rId19" Type="http://schemas.openxmlformats.org/officeDocument/2006/relationships/hyperlink" Target="http://data.europa.eu/eli/dir/2011/93/oj" TargetMode="External"/><Relationship Id="rId4" Type="http://schemas.openxmlformats.org/officeDocument/2006/relationships/hyperlink" Target="https://data.europa.eu/doi/10.2833/154438" TargetMode="External"/><Relationship Id="rId9" Type="http://schemas.openxmlformats.org/officeDocument/2006/relationships/hyperlink" Target="http://data.europa.eu/eli/dir/2022/2557/oj" TargetMode="External"/><Relationship Id="rId14" Type="http://schemas.openxmlformats.org/officeDocument/2006/relationships/hyperlink" Target="http://data.europa.eu/eli/dir/2024/1788/oj" TargetMode="External"/><Relationship Id="rId22" Type="http://schemas.openxmlformats.org/officeDocument/2006/relationships/hyperlink" Target="http://data.europa.eu/eli/reg/2021/1153/oj" TargetMode="External"/><Relationship Id="rId27" Type="http://schemas.openxmlformats.org/officeDocument/2006/relationships/hyperlink" Target="http://data.europa.eu/eli/reg/2013/131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C9767-F2C3-4999-9A97-0B6A8399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16</Pages>
  <Words>49125</Words>
  <Characters>280014</Characters>
  <Application>Microsoft Office Word</Application>
  <DocSecurity>0</DocSecurity>
  <Lines>2333</Lines>
  <Paragraphs>656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2025-12-09T19:38:00Z</dcterms:created>
  <dcterms:modified xsi:type="dcterms:W3CDTF">2025-12-09T20:20:00Z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2025-12-07T23:57:04Z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4950fbfd-4559-49dd-aebf-d8e04e2a4a0b</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DQCStatus">
    <vt:lpwstr>Yellow (DQC version 03)</vt:lpwstr>
  </property>
</Properties>
</file>