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55485" w14:textId="13552FDF" w:rsidR="00387FF4" w:rsidRPr="005A46D9" w:rsidRDefault="00DC55EB" w:rsidP="00DC55EB">
      <w:pPr>
        <w:pStyle w:val="Pagedecouverture"/>
        <w:rPr>
          <w:noProof/>
        </w:rPr>
      </w:pPr>
      <w:bookmarkStart w:id="0" w:name="LW_BM_COVERPAGE"/>
      <w:r>
        <w:rPr>
          <w:noProof/>
        </w:rPr>
        <w:pict w14:anchorId="7EB389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BD4143D-EE43-4F67-93E4-27B9E0AA6142" style="width:455.25pt;height:271.5pt">
            <v:imagedata r:id="rId8" o:title=""/>
          </v:shape>
        </w:pict>
      </w:r>
    </w:p>
    <w:bookmarkEnd w:id="0"/>
    <w:p w14:paraId="52765022" w14:textId="77777777" w:rsidR="00387FF4" w:rsidRPr="005A46D9" w:rsidRDefault="00387FF4" w:rsidP="00387FF4">
      <w:pPr>
        <w:rPr>
          <w:noProof/>
        </w:rPr>
        <w:sectPr w:rsidR="00387FF4" w:rsidRPr="005A46D9" w:rsidSect="00DC55EB">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12786086" w14:textId="2F1BC142" w:rsidR="00466452" w:rsidRPr="00466452" w:rsidRDefault="00466452" w:rsidP="00466452">
      <w:pPr>
        <w:pStyle w:val="Typedudocument"/>
        <w:rPr>
          <w:noProof/>
        </w:rPr>
      </w:pPr>
      <w:bookmarkStart w:id="1" w:name="_GoBack"/>
      <w:bookmarkEnd w:id="1"/>
      <w:r w:rsidRPr="00466452">
        <w:rPr>
          <w:noProof/>
        </w:rPr>
        <w:lastRenderedPageBreak/>
        <w:t>KOMISIJOS ATASKAITA EUROPOS PARLAMENTUI IR TARYBAI</w:t>
      </w:r>
    </w:p>
    <w:p w14:paraId="3C0A83F8" w14:textId="7A758FB1" w:rsidR="00466452" w:rsidRPr="00466452" w:rsidRDefault="00466452" w:rsidP="00466452">
      <w:pPr>
        <w:pStyle w:val="Titreobjet"/>
        <w:rPr>
          <w:noProof/>
        </w:rPr>
      </w:pPr>
      <w:r w:rsidRPr="00466452">
        <w:rPr>
          <w:noProof/>
        </w:rPr>
        <w:t>dėl TFAS fondo, EFRAG ir PIOB veiklos 2024 m.</w:t>
      </w:r>
    </w:p>
    <w:p w14:paraId="7C15A138" w14:textId="26EBB84F" w:rsidR="005C5409" w:rsidRPr="005A46D9" w:rsidRDefault="005C5409" w:rsidP="005C5409">
      <w:pPr>
        <w:pStyle w:val="ManualHeading1"/>
        <w:spacing w:after="240"/>
        <w:rPr>
          <w:noProof/>
        </w:rPr>
      </w:pPr>
      <w:r>
        <w:rPr>
          <w:noProof/>
        </w:rPr>
        <w:t>1.</w:t>
      </w:r>
      <w:r>
        <w:rPr>
          <w:noProof/>
        </w:rPr>
        <w:tab/>
        <w:t>Įvadas</w:t>
      </w:r>
    </w:p>
    <w:p w14:paraId="64D6DCC0" w14:textId="41D268A7" w:rsidR="005C5409" w:rsidRPr="005A46D9" w:rsidRDefault="005C5409" w:rsidP="005C5409">
      <w:pPr>
        <w:spacing w:before="120" w:after="120"/>
        <w:jc w:val="both"/>
        <w:rPr>
          <w:rFonts w:ascii="Times New Roman" w:hAnsi="Times New Roman"/>
          <w:noProof/>
          <w:sz w:val="24"/>
          <w:szCs w:val="24"/>
        </w:rPr>
      </w:pPr>
      <w:r>
        <w:rPr>
          <w:rFonts w:ascii="Times New Roman" w:hAnsi="Times New Roman"/>
          <w:noProof/>
          <w:sz w:val="24"/>
        </w:rPr>
        <w:t>2021 m. balandžio 28 d. Europos Sąjunga priėmė Bendrosios rinkos programą</w:t>
      </w:r>
      <w:r>
        <w:rPr>
          <w:rStyle w:val="FootnoteReference"/>
          <w:noProof/>
          <w:lang w:eastAsia="en-GB"/>
        </w:rPr>
        <w:footnoteReference w:id="1"/>
      </w:r>
      <w:r>
        <w:rPr>
          <w:rFonts w:ascii="Times New Roman" w:hAnsi="Times New Roman"/>
          <w:noProof/>
          <w:sz w:val="24"/>
        </w:rPr>
        <w:t>, kuri skirta bendrosios rinkos valdymui remti ir stiprinti ir kuriai 2021–2027 m. laikotarpiu skirtas 4,21 mlrd. EUR bendras biudžetas. Bendrosios rinkos programos reglamente standartizavimo procesams buvo numatytas 220,5 mln. EUR biudžetas, iš jo 10,0 mln. EUR buvo skirta 2024 m.</w:t>
      </w:r>
      <w:r>
        <w:rPr>
          <w:rStyle w:val="FootnoteReference"/>
          <w:rFonts w:ascii="Times New Roman" w:hAnsi="Times New Roman"/>
          <w:noProof/>
          <w:sz w:val="24"/>
          <w:szCs w:val="24"/>
        </w:rPr>
        <w:footnoteReference w:id="2"/>
      </w:r>
      <w:r>
        <w:rPr>
          <w:rFonts w:ascii="Times New Roman" w:hAnsi="Times New Roman"/>
          <w:noProof/>
          <w:sz w:val="24"/>
        </w:rPr>
        <w:t xml:space="preserve"> tarptautinių finansinės ir nefinansinės atskaitomybės bei audito standartų rengimui ir jų integravimui į ES teisę palengvinti.</w:t>
      </w:r>
    </w:p>
    <w:p w14:paraId="18EC66AB" w14:textId="314DB7B4" w:rsidR="005C5409" w:rsidRPr="005A46D9" w:rsidRDefault="005C5409" w:rsidP="005C5409">
      <w:pPr>
        <w:spacing w:before="120" w:after="120"/>
        <w:jc w:val="both"/>
        <w:rPr>
          <w:rFonts w:ascii="Times New Roman" w:hAnsi="Times New Roman"/>
          <w:noProof/>
          <w:sz w:val="24"/>
          <w:szCs w:val="24"/>
        </w:rPr>
      </w:pPr>
      <w:r>
        <w:rPr>
          <w:rFonts w:ascii="Times New Roman" w:hAnsi="Times New Roman"/>
          <w:noProof/>
          <w:sz w:val="24"/>
        </w:rPr>
        <w:t>Pagal Bendrosios rinkos programą Komisija teikia metinę dotaciją Tarptautinių finansinės atskaitomybės standartų fondui (TFAS fondui) tarptautiniams finansinės atskaitomybės standartams (TFAS apskaitos standartams) rengti, Europos finansinės atskaitomybės patariamajai grupei (EFRAG) ir Viešojo intereso priežiūros tarybai (PIOB).</w:t>
      </w:r>
      <w:r>
        <w:rPr>
          <w:rFonts w:ascii="Times New Roman" w:hAnsi="Times New Roman"/>
          <w:noProof/>
        </w:rPr>
        <w:t xml:space="preserve"> </w:t>
      </w:r>
      <w:r>
        <w:rPr>
          <w:rFonts w:ascii="Times New Roman" w:hAnsi="Times New Roman"/>
          <w:noProof/>
          <w:sz w:val="24"/>
        </w:rPr>
        <w:t>Šios organizacijos, rengdamos tarptautinius finansinės ir nefinansinės atskaitomybės bei audito standartus, atlieka svarbų vaidmenį užtikrinant finansinės informacijos ir informacijos apie tvarumą kokybę, patikimumą bei pateikimą įmonių ataskaitose. Šioje ataskaitoje apibendrinama jų veikla 2024 m., išskyrus TFAS fondo veiklą tvarumo atskaitomybės srityje, nes ji nėra bendrai finansuojama ES dotacijos lėšomis.</w:t>
      </w:r>
    </w:p>
    <w:p w14:paraId="402B6040" w14:textId="77777777" w:rsidR="005C5409" w:rsidRPr="005A46D9" w:rsidRDefault="005C5409" w:rsidP="005C5409">
      <w:pPr>
        <w:pStyle w:val="ManualHeading1"/>
        <w:rPr>
          <w:noProof/>
        </w:rPr>
      </w:pPr>
      <w:r>
        <w:rPr>
          <w:noProof/>
        </w:rPr>
        <w:t>2.</w:t>
      </w:r>
      <w:r>
        <w:rPr>
          <w:noProof/>
        </w:rPr>
        <w:tab/>
        <w:t>TFAS fondas</w:t>
      </w:r>
    </w:p>
    <w:p w14:paraId="5B183E95" w14:textId="1582C938" w:rsidR="005C5409" w:rsidRPr="005A46D9" w:rsidRDefault="005C5409" w:rsidP="005C5409">
      <w:pPr>
        <w:pStyle w:val="ManualHeading1"/>
        <w:rPr>
          <w:noProof/>
        </w:rPr>
      </w:pPr>
      <w:r>
        <w:rPr>
          <w:noProof/>
        </w:rPr>
        <w:t>2.1.</w:t>
      </w:r>
      <w:r>
        <w:rPr>
          <w:noProof/>
        </w:rPr>
        <w:tab/>
        <w:t>Valdymas</w:t>
      </w:r>
    </w:p>
    <w:p w14:paraId="4C25B0F8" w14:textId="0985713E" w:rsidR="005C5409" w:rsidRPr="005A46D9" w:rsidRDefault="005C5409" w:rsidP="005C5409">
      <w:pPr>
        <w:spacing w:before="120" w:after="120"/>
        <w:jc w:val="both"/>
        <w:rPr>
          <w:rFonts w:ascii="Times New Roman" w:hAnsi="Times New Roman"/>
          <w:noProof/>
          <w:sz w:val="24"/>
          <w:szCs w:val="24"/>
        </w:rPr>
      </w:pPr>
      <w:r>
        <w:rPr>
          <w:rFonts w:ascii="Times New Roman" w:hAnsi="Times New Roman"/>
          <w:noProof/>
          <w:sz w:val="24"/>
        </w:rPr>
        <w:t>TFAS fondas yra ne pelno organizacija, įsteigta siekiant parengti bendrą aukštos kokybės, suprantamų, įgyvendinamų ir visuotinai pripažįstamų apskaitos ir informacijos apie tvarumą atskleidimo standartų rinkinį, taip pat skatinti ir palengvinti šių standartų naudojimą.</w:t>
      </w:r>
    </w:p>
    <w:p w14:paraId="3DE40AF9" w14:textId="236EBB69" w:rsidR="004A0129" w:rsidRPr="005A46D9" w:rsidRDefault="004A0129" w:rsidP="00416513">
      <w:pPr>
        <w:pStyle w:val="NormalWeb"/>
        <w:shd w:val="clear" w:color="auto" w:fill="FFFFFF"/>
        <w:jc w:val="both"/>
        <w:rPr>
          <w:noProof/>
        </w:rPr>
      </w:pPr>
      <w:bookmarkStart w:id="2" w:name="_Hlk210646291"/>
      <w:r>
        <w:rPr>
          <w:noProof/>
        </w:rPr>
        <w:t>TFAS fondą</w:t>
      </w:r>
      <w:bookmarkEnd w:id="2"/>
      <w:r>
        <w:rPr>
          <w:noProof/>
        </w:rPr>
        <w:t xml:space="preserve"> valdo 22 patikėtinių taryba, kolektyviai atsakinga už TFAS fondo valdymo ir organizacinės strategijos priežiūrą, </w:t>
      </w:r>
      <w:hyperlink r:id="rId15" w:tgtFrame="_blank" w:history="1">
        <w:r>
          <w:rPr>
            <w:noProof/>
          </w:rPr>
          <w:t>tinkamo proceso</w:t>
        </w:r>
      </w:hyperlink>
      <w:r>
        <w:rPr>
          <w:noProof/>
        </w:rPr>
        <w:t xml:space="preserve"> priežiūrą, TFAS fondo </w:t>
      </w:r>
      <w:r>
        <w:rPr>
          <w:i/>
          <w:noProof/>
        </w:rPr>
        <w:t>Įstatų</w:t>
      </w:r>
      <w:r>
        <w:rPr>
          <w:noProof/>
        </w:rPr>
        <w:t xml:space="preserve"> ir </w:t>
      </w:r>
      <w:r>
        <w:rPr>
          <w:i/>
          <w:noProof/>
        </w:rPr>
        <w:t>Tinkamo proceso vadovo</w:t>
      </w:r>
      <w:r>
        <w:rPr>
          <w:noProof/>
        </w:rPr>
        <w:t xml:space="preserve"> priežiūrą, Tarptautinių apskaitos standartų valdybos (TASV), Tarptautinių tvarumo standartų valdybos (TTSV), TFAS aiškinimo komiteto ir įvairių patariamųjų organų narių skyrimą bei TFAS fondo finansavimo užtikrinimą. 2024 m. </w:t>
      </w:r>
      <w:r>
        <w:rPr>
          <w:noProof/>
          <w:shd w:val="clear" w:color="auto" w:fill="FFFFFF"/>
        </w:rPr>
        <w:t>Patikėtinių tarybos pirmininko pareigas ėjo Erkkis Liikanenas.</w:t>
      </w:r>
    </w:p>
    <w:p w14:paraId="7C2513CB" w14:textId="6A187194" w:rsidR="00EB585F" w:rsidRPr="005A46D9" w:rsidRDefault="004A0129" w:rsidP="005C5409">
      <w:pPr>
        <w:jc w:val="both"/>
        <w:rPr>
          <w:rFonts w:ascii="Times New Roman" w:hAnsi="Times New Roman" w:cs="Times New Roman"/>
          <w:noProof/>
          <w:sz w:val="24"/>
          <w:szCs w:val="24"/>
        </w:rPr>
      </w:pPr>
      <w:r>
        <w:rPr>
          <w:rFonts w:ascii="Times New Roman" w:hAnsi="Times New Roman"/>
          <w:noProof/>
          <w:sz w:val="24"/>
        </w:rPr>
        <w:t>Patikėtiniai yra atskaitingi Stebėsenos valdybai. Stebėsenos valdyba, kurios narė yra Komisija, sustiprina TFAS fondo viešojo intereso priežiūros funkciją, skatina rengti aukštos kokybės standartus ir skiria patikėtinius.</w:t>
      </w:r>
    </w:p>
    <w:p w14:paraId="00EEF7DA" w14:textId="2D4C07E3" w:rsidR="0001487E" w:rsidRPr="005A46D9" w:rsidRDefault="0001487E" w:rsidP="0001487E">
      <w:pPr>
        <w:spacing w:before="120" w:after="120"/>
        <w:jc w:val="both"/>
        <w:rPr>
          <w:rFonts w:ascii="Times New Roman" w:hAnsi="Times New Roman" w:cs="Times New Roman"/>
          <w:noProof/>
          <w:sz w:val="24"/>
          <w:szCs w:val="24"/>
        </w:rPr>
      </w:pPr>
      <w:r>
        <w:rPr>
          <w:rFonts w:ascii="Times New Roman" w:hAnsi="Times New Roman"/>
          <w:noProof/>
          <w:sz w:val="24"/>
        </w:rPr>
        <w:t>TFAS fondo struktūroje veikia Tarptautinių apskaitos standartų valdyba (TASV), atsakinga už TFAS apskaitos standartų rengimą, ir Tarptautinių tvarumo standartų valdyba (TTSV), atsakinga už TFAS informacijos apie tvarumą atskleidimo standartų rengimą. TASV ir TTSV sudaro po 14 narių. Jie skiriami penkerių metų kadencijai, kuri gali būti pratęsta vieną kartą. 2024 m. TASV pirmininkavo Andreasas Barckow, TTSV – Emmanuelis Faberas.</w:t>
      </w:r>
    </w:p>
    <w:p w14:paraId="585466F7" w14:textId="7120D498" w:rsidR="005C5409" w:rsidRPr="005A46D9" w:rsidRDefault="005C5409" w:rsidP="005C5409">
      <w:pPr>
        <w:jc w:val="both"/>
        <w:rPr>
          <w:rFonts w:ascii="Times New Roman" w:hAnsi="Times New Roman"/>
          <w:noProof/>
          <w:sz w:val="24"/>
          <w:szCs w:val="24"/>
        </w:rPr>
      </w:pPr>
      <w:r>
        <w:rPr>
          <w:rFonts w:ascii="Times New Roman" w:hAnsi="Times New Roman"/>
          <w:noProof/>
          <w:sz w:val="24"/>
        </w:rPr>
        <w:t xml:space="preserve">Pagal TAS </w:t>
      </w:r>
      <w:bookmarkStart w:id="3" w:name="_Hlk203055499"/>
      <w:r>
        <w:rPr>
          <w:rFonts w:ascii="Times New Roman" w:hAnsi="Times New Roman"/>
          <w:noProof/>
          <w:sz w:val="24"/>
        </w:rPr>
        <w:t>reglamentą</w:t>
      </w:r>
      <w:r>
        <w:rPr>
          <w:rStyle w:val="FootnoteReference"/>
          <w:rFonts w:ascii="Times New Roman" w:hAnsi="Times New Roman"/>
          <w:noProof/>
          <w:sz w:val="24"/>
          <w:szCs w:val="24"/>
          <w:lang w:eastAsia="en-GB"/>
        </w:rPr>
        <w:footnoteReference w:id="3"/>
      </w:r>
      <w:bookmarkEnd w:id="3"/>
      <w:r>
        <w:rPr>
          <w:rFonts w:ascii="Times New Roman" w:hAnsi="Times New Roman"/>
          <w:noProof/>
          <w:sz w:val="24"/>
        </w:rPr>
        <w:t xml:space="preserve"> Komisija gali tvirtinti naujus arba iš dalies pakeistus TFAS apskaitos standartus, atsižvelgdama į EFRAG nuomones dėl tvirtinimo. Atsižvelgdama į TFAS apskaitos standartų ekonominę svarbą, Komisija teikia finansinę paramą TFAS fondui TFAS apskaitos standartams rengti. Komisija neturi teisinių įgaliojimų tvirtinti (arba priimti) pasaulinių informacijos apie tvarumą atskleidimo standartų, tačiau Komisija ir EFRAG skatina Europos tvarumo atskaitomybės standartų (ETAS) sąveikumą su TFAS informacijos apie tvarumą atskleidimo standartais ir kitais pasauliniais standartais, pavyzdžiui, Pasaulinės atsiskaitymo iniciatyvos (GRI) standartais.</w:t>
      </w:r>
    </w:p>
    <w:p w14:paraId="351E73D4" w14:textId="77777777" w:rsidR="005C5409" w:rsidRPr="005A46D9" w:rsidRDefault="005C5409" w:rsidP="005C5409">
      <w:pPr>
        <w:pStyle w:val="ManualHeading1"/>
        <w:rPr>
          <w:noProof/>
        </w:rPr>
      </w:pPr>
      <w:r>
        <w:rPr>
          <w:noProof/>
        </w:rPr>
        <w:t>2.2.</w:t>
      </w:r>
      <w:r>
        <w:rPr>
          <w:noProof/>
        </w:rPr>
        <w:tab/>
        <w:t>Veikla</w:t>
      </w:r>
    </w:p>
    <w:p w14:paraId="6C4E4B7A" w14:textId="7FC8D8CF" w:rsidR="005C5409" w:rsidRPr="005A46D9" w:rsidRDefault="005C5409" w:rsidP="005C5409">
      <w:pPr>
        <w:pStyle w:val="ManualHeading1"/>
        <w:rPr>
          <w:noProof/>
        </w:rPr>
      </w:pPr>
      <w:r>
        <w:rPr>
          <w:noProof/>
        </w:rPr>
        <w:t>2.2.1.</w:t>
      </w:r>
      <w:r>
        <w:rPr>
          <w:noProof/>
        </w:rPr>
        <w:tab/>
        <w:t>Nauji ir iš dalies pakeisti standartai</w:t>
      </w:r>
    </w:p>
    <w:p w14:paraId="11EF4980" w14:textId="6986CECA" w:rsidR="00A47FE5" w:rsidRPr="005A46D9" w:rsidRDefault="00AE51A9" w:rsidP="00FD5501">
      <w:pPr>
        <w:jc w:val="both"/>
        <w:rPr>
          <w:rFonts w:ascii="Times New Roman" w:hAnsi="Times New Roman"/>
          <w:noProof/>
          <w:sz w:val="24"/>
          <w:szCs w:val="24"/>
        </w:rPr>
      </w:pPr>
      <w:r>
        <w:rPr>
          <w:rFonts w:ascii="Times New Roman" w:hAnsi="Times New Roman"/>
          <w:noProof/>
          <w:sz w:val="24"/>
        </w:rPr>
        <w:t>2024 m. balandžio mėn. TASV paskelbė naują 18-ąjį TFAS „Pateikimas ir atskleidimas finansinėse ataskaitose“, kuriuo siekiama užtikrinti, kad finansinėse ataskaitose pateikti finansiniai rezultatai būtų skaidresni ir labiau palyginami visame pasaulyje. Savo ruožtu tai padės investuotojams priimti geresnius investavimo sprendimus. Įsigaliojęs 18-asis TFAS pakeis dabartinį 1-ąjį TAS „Finansinių ataskaitų pateikimas“.</w:t>
      </w:r>
    </w:p>
    <w:p w14:paraId="71722CC8" w14:textId="7C689C57" w:rsidR="00AE51A9" w:rsidRPr="005A46D9" w:rsidRDefault="00AE51A9" w:rsidP="00FD5501">
      <w:pPr>
        <w:jc w:val="both"/>
        <w:rPr>
          <w:rFonts w:ascii="Times New Roman" w:hAnsi="Times New Roman"/>
          <w:noProof/>
          <w:sz w:val="24"/>
          <w:szCs w:val="24"/>
        </w:rPr>
      </w:pPr>
      <w:r>
        <w:rPr>
          <w:rFonts w:ascii="Times New Roman" w:hAnsi="Times New Roman"/>
          <w:noProof/>
          <w:sz w:val="24"/>
        </w:rPr>
        <w:t>Gegužės mėn. TASV paskelbė naują 19-ąjį TFAS „Viešai neatskaitingos patronuojamosios įmonės.</w:t>
      </w:r>
      <w:r>
        <w:rPr>
          <w:rFonts w:ascii="Times New Roman" w:hAnsi="Times New Roman"/>
          <w:i/>
          <w:noProof/>
          <w:sz w:val="24"/>
        </w:rPr>
        <w:t xml:space="preserve"> </w:t>
      </w:r>
      <w:r>
        <w:rPr>
          <w:rFonts w:ascii="Times New Roman" w:hAnsi="Times New Roman"/>
          <w:noProof/>
          <w:sz w:val="24"/>
        </w:rPr>
        <w:t>Atskleidimas“, pagal kurį patronuojamosioms įmonėms, kurios neturi pareigos teikti viešas ataskaitas, tačiau turi TFAS apskaitos standartų besilaikančią patronuojančiąją įmonę, suteikiama galimybė savo individualiose finansinėse ataskaitose taikyti švelnesnius informacijos atskleidimo reikalavimus. Šio savanoriškai taikytino standarto paskirtis – padėti sutaupyti lėšų sušvelninant informacijos teikimo prievoles, bet kartu užtikrinti, kad finansinėse ataskaitose esminiai duomenys būtų pateikiami, o naudojai juos galėtų palyginti.</w:t>
      </w:r>
    </w:p>
    <w:p w14:paraId="5C47C16A" w14:textId="5F373ECF" w:rsidR="00AE51A9" w:rsidRPr="005A46D9" w:rsidRDefault="00AE51A9" w:rsidP="00FD5501">
      <w:pPr>
        <w:jc w:val="both"/>
        <w:rPr>
          <w:rFonts w:ascii="Times New Roman" w:hAnsi="Times New Roman"/>
          <w:noProof/>
          <w:sz w:val="24"/>
          <w:szCs w:val="24"/>
        </w:rPr>
      </w:pPr>
      <w:r>
        <w:rPr>
          <w:rFonts w:ascii="Times New Roman" w:hAnsi="Times New Roman"/>
          <w:noProof/>
          <w:sz w:val="24"/>
        </w:rPr>
        <w:t>Gegužės mėn. TASV taip pat paskelbė nedidelius 9-ojo TFAS „Finansinės priemonės“ ir 7-ojo TFAS „Finansinės priemonės.</w:t>
      </w:r>
      <w:r>
        <w:rPr>
          <w:rFonts w:ascii="Times New Roman" w:hAnsi="Times New Roman"/>
          <w:i/>
          <w:noProof/>
          <w:sz w:val="24"/>
        </w:rPr>
        <w:t xml:space="preserve"> </w:t>
      </w:r>
      <w:r>
        <w:rPr>
          <w:rFonts w:ascii="Times New Roman" w:hAnsi="Times New Roman"/>
          <w:noProof/>
          <w:sz w:val="24"/>
        </w:rPr>
        <w:t>Atskleidimas“ taikymo srities pakeitimus („Finansinių priemonių klasifikavimo ir vertinimo pataisos“), atsižvelgdama į 9-ajame TFAS nustatytų klasifikavimo ir vertinimo reikalavimų peržiūros po įgyvendinimo rezultatus.</w:t>
      </w:r>
    </w:p>
    <w:p w14:paraId="060A8576" w14:textId="710B06F9" w:rsidR="00AE51A9" w:rsidRPr="005A46D9" w:rsidRDefault="00AE51A9" w:rsidP="00FD5501">
      <w:pPr>
        <w:jc w:val="both"/>
        <w:rPr>
          <w:rFonts w:ascii="Times New Roman" w:hAnsi="Times New Roman"/>
          <w:noProof/>
          <w:sz w:val="24"/>
          <w:szCs w:val="24"/>
        </w:rPr>
      </w:pPr>
      <w:r>
        <w:rPr>
          <w:rFonts w:ascii="Times New Roman" w:hAnsi="Times New Roman"/>
          <w:noProof/>
          <w:sz w:val="24"/>
        </w:rPr>
        <w:t>Liepos mėn. TASV paskelbė dokumentą „TFAS apskaitos standartų metiniai patobulinimai. 11 tomas“, kuriuo siekta patikslinti įvairių TFAS apskaitos standartų formuluotes arba ištaisyti nedidelius netyčinius su TFAS apskaitos standartų reikalavimais susijusius trūkumus, praleidimus ar prieštaravimus.</w:t>
      </w:r>
    </w:p>
    <w:p w14:paraId="48D44404" w14:textId="3415E13B" w:rsidR="00AE51A9" w:rsidRPr="005A46D9" w:rsidRDefault="00220DA3" w:rsidP="00FD5501">
      <w:pPr>
        <w:jc w:val="both"/>
        <w:rPr>
          <w:rFonts w:ascii="Times New Roman" w:hAnsi="Times New Roman"/>
          <w:noProof/>
          <w:sz w:val="24"/>
          <w:szCs w:val="24"/>
        </w:rPr>
      </w:pPr>
      <w:r>
        <w:rPr>
          <w:rFonts w:ascii="Times New Roman" w:hAnsi="Times New Roman"/>
          <w:noProof/>
          <w:sz w:val="24"/>
        </w:rPr>
        <w:t>Gruodžio mėn. TASV paskelbė 9-ojo TFAS ir 7-ojo TFAS pataisas („Sutartys, susietos su elektros energija, kurios gamyba priklauso nuo gamtos sąlygų“), kad būtų labiau atsižvelgta į elektros energijos pirkimo sutarčių poveikį finansinėms ataskaitoms, atsižvelgiant į tai, kad įmonės vis dažniau sudaro sutartis dėl atsinaujinančiųjų išteklių energijos pirkimo. Energijos pirkimo sutartys padeda įmonėms švelninti klimato kaitos poveikį ir mažinti jų gamybos procesų ir produktų priklausomybę nuo iškastinio kuro.</w:t>
      </w:r>
    </w:p>
    <w:p w14:paraId="0493B618" w14:textId="466E7684" w:rsidR="005C5409" w:rsidRPr="005A46D9" w:rsidRDefault="005C5409" w:rsidP="005C5409">
      <w:pPr>
        <w:jc w:val="both"/>
        <w:rPr>
          <w:rFonts w:ascii="Times New Roman" w:hAnsi="Times New Roman"/>
          <w:noProof/>
          <w:sz w:val="24"/>
          <w:szCs w:val="24"/>
        </w:rPr>
      </w:pPr>
      <w:r>
        <w:rPr>
          <w:rFonts w:ascii="Times New Roman" w:hAnsi="Times New Roman"/>
          <w:noProof/>
          <w:sz w:val="24"/>
        </w:rPr>
        <w:t>Galiausiai pažymėtina, kad TFAS fondas atnaujino TFAS taksonomiją, kad būtų atsižvelgta į naujų standartų ir pataisų poveikį</w:t>
      </w:r>
      <w:r>
        <w:rPr>
          <w:rStyle w:val="FootnoteReference"/>
          <w:rFonts w:ascii="Times New Roman" w:hAnsi="Times New Roman"/>
          <w:noProof/>
          <w:sz w:val="24"/>
          <w:szCs w:val="24"/>
          <w:lang w:eastAsia="en-GB"/>
        </w:rPr>
        <w:footnoteReference w:id="4"/>
      </w:r>
      <w:r>
        <w:rPr>
          <w:rFonts w:ascii="Times New Roman" w:hAnsi="Times New Roman"/>
          <w:noProof/>
          <w:sz w:val="24"/>
        </w:rPr>
        <w:t>.</w:t>
      </w:r>
    </w:p>
    <w:p w14:paraId="498BDE40" w14:textId="46730BE7" w:rsidR="005C5409" w:rsidRPr="005A46D9" w:rsidRDefault="005C5409" w:rsidP="005C5409">
      <w:pPr>
        <w:pStyle w:val="ManualHeading1"/>
        <w:rPr>
          <w:noProof/>
        </w:rPr>
      </w:pPr>
      <w:r>
        <w:rPr>
          <w:noProof/>
        </w:rPr>
        <w:t>2.2.2.</w:t>
      </w:r>
      <w:r>
        <w:rPr>
          <w:noProof/>
        </w:rPr>
        <w:tab/>
        <w:t>Projektai</w:t>
      </w:r>
    </w:p>
    <w:p w14:paraId="3CDD455A" w14:textId="306E4FCF" w:rsidR="002B7AD3" w:rsidRPr="005A46D9" w:rsidRDefault="002B7AD3" w:rsidP="002B7AD3">
      <w:pPr>
        <w:jc w:val="both"/>
        <w:rPr>
          <w:rFonts w:ascii="Times New Roman" w:hAnsi="Times New Roman"/>
          <w:noProof/>
          <w:sz w:val="24"/>
          <w:szCs w:val="24"/>
        </w:rPr>
      </w:pPr>
      <w:r>
        <w:rPr>
          <w:rFonts w:ascii="Times New Roman" w:hAnsi="Times New Roman"/>
          <w:noProof/>
          <w:sz w:val="24"/>
        </w:rPr>
        <w:t>2024 m. kovo mėn. TASV paskelbė parengiamąjį projektą „Verslo jungimai. Atskleidimas, prestižas ir vertės sumažėjimas“, siekdama patobulinti įmonių atskleidžiamą informaciją apie verslo jungimų rezultatus ir iš dalies pakeisti pinigus uždirbančių vienetų, turinčių prestižo, nuvertėjimo patikrinimo kriterijus.</w:t>
      </w:r>
    </w:p>
    <w:p w14:paraId="7E3A23DE" w14:textId="00183386" w:rsidR="00EF12D5" w:rsidRPr="005A46D9" w:rsidRDefault="007C469F" w:rsidP="002B7AD3">
      <w:pPr>
        <w:jc w:val="both"/>
        <w:rPr>
          <w:rFonts w:ascii="Times New Roman" w:hAnsi="Times New Roman"/>
          <w:noProof/>
          <w:sz w:val="24"/>
          <w:szCs w:val="24"/>
        </w:rPr>
      </w:pPr>
      <w:r>
        <w:rPr>
          <w:rFonts w:ascii="Times New Roman" w:hAnsi="Times New Roman"/>
          <w:noProof/>
          <w:sz w:val="24"/>
        </w:rPr>
        <w:t>Liepos mėn. TASV paskelbė parengiamąjį projektą „Su klimatu susijęs ir kitas neapibrėžtumas finansinėse ataskaitose“, kuriame pateikti aštuoni pavyzdžiai, kaip subjektas turėtų taikyti TFAS apskaitos standartus savo finansinėse ataskaitose nurodydamas su klimatu susijusio ir kito neapibrėžtumo poveikį.</w:t>
      </w:r>
    </w:p>
    <w:p w14:paraId="36E635DB" w14:textId="2EC9F9D9" w:rsidR="007B5DF2" w:rsidRPr="005A46D9" w:rsidRDefault="007B5DF2" w:rsidP="002B7AD3">
      <w:pPr>
        <w:jc w:val="both"/>
        <w:rPr>
          <w:rFonts w:ascii="Times New Roman" w:hAnsi="Times New Roman"/>
          <w:noProof/>
          <w:sz w:val="24"/>
          <w:szCs w:val="24"/>
        </w:rPr>
      </w:pPr>
      <w:r>
        <w:rPr>
          <w:rFonts w:ascii="Times New Roman" w:hAnsi="Times New Roman"/>
          <w:noProof/>
          <w:sz w:val="24"/>
        </w:rPr>
        <w:t>Liepos mėn. TASV taip pat paskelbė parengiamąjį projektą „19-ojo TFAS „Viešai neatskaitingos patronuojamosios įmonės.</w:t>
      </w:r>
      <w:r>
        <w:rPr>
          <w:rFonts w:ascii="Times New Roman" w:hAnsi="Times New Roman"/>
          <w:i/>
          <w:noProof/>
          <w:sz w:val="24"/>
        </w:rPr>
        <w:t xml:space="preserve"> </w:t>
      </w:r>
      <w:r>
        <w:rPr>
          <w:rFonts w:ascii="Times New Roman" w:hAnsi="Times New Roman"/>
          <w:noProof/>
          <w:sz w:val="24"/>
        </w:rPr>
        <w:t>Atskleidimas“ pataisos“, kuriame siekta 19-ąjį TFAS suderinti su naujais ir iš dalies pakeistais TFAS, paskelbtais nuo 2021 m. vasario mėn. iki 2024 m. gegužės mėn.</w:t>
      </w:r>
    </w:p>
    <w:p w14:paraId="1A8E2B3E" w14:textId="48DD0B45" w:rsidR="000F655B" w:rsidRPr="005A46D9" w:rsidRDefault="000F655B" w:rsidP="000F655B">
      <w:pPr>
        <w:jc w:val="both"/>
        <w:rPr>
          <w:rFonts w:ascii="Times New Roman" w:hAnsi="Times New Roman"/>
          <w:noProof/>
          <w:sz w:val="24"/>
          <w:szCs w:val="24"/>
        </w:rPr>
      </w:pPr>
      <w:r>
        <w:rPr>
          <w:rFonts w:ascii="Times New Roman" w:hAnsi="Times New Roman"/>
          <w:noProof/>
          <w:sz w:val="24"/>
        </w:rPr>
        <w:t>Liepos ir rugsėjo mėn. TASV užbaigė atitinkamai 9-ojo TFAS „Finansinės priemonės“ vertės sumažėjimo reikalavimų ir 15-ojo TFAS „Pajamos pagal sutartis su klientais“ įgyvendinimo peržiūras. Ji padarė išvadą, kad abiejų standartų reikalavimai veikia, kaip numatyta.</w:t>
      </w:r>
    </w:p>
    <w:p w14:paraId="222CC78A" w14:textId="63063D17" w:rsidR="00752D49" w:rsidRPr="005A46D9" w:rsidRDefault="00752D49" w:rsidP="00752D49">
      <w:pPr>
        <w:jc w:val="both"/>
        <w:rPr>
          <w:rFonts w:ascii="Times New Roman" w:hAnsi="Times New Roman"/>
          <w:noProof/>
          <w:sz w:val="24"/>
          <w:szCs w:val="24"/>
        </w:rPr>
      </w:pPr>
      <w:r>
        <w:rPr>
          <w:rFonts w:ascii="Times New Roman" w:hAnsi="Times New Roman"/>
          <w:noProof/>
          <w:sz w:val="24"/>
        </w:rPr>
        <w:t>Siekdama papildyti ir patikslinti nuosavybės metodo taikymą, rugsėjo mėn. TASV paskelbė parengiamąjį projektą „Apskaitos nuosavybės metodas. 28-asis TAS „Investicijos į asocijuotąsias įmones ir bendrąsias įmones“ (persvarstytas 202x)“.</w:t>
      </w:r>
    </w:p>
    <w:p w14:paraId="2B74EC2E" w14:textId="3B688ED2" w:rsidR="00F018BD" w:rsidRPr="005A46D9" w:rsidRDefault="00F018BD" w:rsidP="008F283E">
      <w:pPr>
        <w:jc w:val="both"/>
        <w:rPr>
          <w:noProof/>
        </w:rPr>
      </w:pPr>
      <w:r>
        <w:rPr>
          <w:rFonts w:ascii="Times New Roman" w:hAnsi="Times New Roman"/>
          <w:noProof/>
          <w:sz w:val="24"/>
        </w:rPr>
        <w:t>Lapkričio mėn. TASV paskelbė parengiamąjį projektą „Atidėjiniai. Tiksliniai patobulinimai“.</w:t>
      </w:r>
      <w:r>
        <w:rPr>
          <w:rFonts w:ascii="Times New Roman" w:hAnsi="Times New Roman"/>
          <w:i/>
          <w:noProof/>
          <w:sz w:val="24"/>
        </w:rPr>
        <w:t xml:space="preserve"> </w:t>
      </w:r>
      <w:r>
        <w:rPr>
          <w:rFonts w:ascii="Times New Roman" w:hAnsi="Times New Roman"/>
          <w:noProof/>
          <w:sz w:val="24"/>
        </w:rPr>
        <w:t>Jame išdėstyti pasiūlymai dėl trijų 37-ojo TAS „Atidėjiniai, neapibrėžtieji įsipareigojimai ir neapibrėžtasis turtas“ patobulinimų.</w:t>
      </w:r>
    </w:p>
    <w:p w14:paraId="046B4731" w14:textId="283B9A5C" w:rsidR="005619C6" w:rsidRPr="005A46D9" w:rsidRDefault="00881619" w:rsidP="00313B89">
      <w:pPr>
        <w:jc w:val="both"/>
        <w:rPr>
          <w:rFonts w:ascii="Times New Roman" w:hAnsi="Times New Roman"/>
          <w:noProof/>
          <w:sz w:val="24"/>
          <w:szCs w:val="24"/>
        </w:rPr>
      </w:pPr>
      <w:r>
        <w:rPr>
          <w:rFonts w:ascii="Times New Roman" w:hAnsi="Times New Roman"/>
          <w:noProof/>
          <w:sz w:val="24"/>
        </w:rPr>
        <w:t>Per 2024 m. TASV taip pat baigė svarstyti projektą dėl veiklos, kuriai taikomi reguliuojami tarifai, ir tęsė darbą, susijusį su parengiamuoju projektu „Dinamiškas rizikos valdymas“, rengdama reikalavimus dėl palūkanų normos rizikos makrolygio apsidraudimo bankinėje knygoje.</w:t>
      </w:r>
    </w:p>
    <w:p w14:paraId="5A8308D1" w14:textId="55F1B8F4" w:rsidR="005C5409" w:rsidRPr="005A46D9" w:rsidRDefault="005C5409" w:rsidP="005C5409">
      <w:pPr>
        <w:jc w:val="both"/>
        <w:rPr>
          <w:rFonts w:ascii="Times New Roman" w:hAnsi="Times New Roman"/>
          <w:noProof/>
          <w:sz w:val="24"/>
          <w:szCs w:val="24"/>
        </w:rPr>
      </w:pPr>
      <w:r>
        <w:rPr>
          <w:rFonts w:ascii="Times New Roman" w:hAnsi="Times New Roman"/>
          <w:noProof/>
          <w:sz w:val="24"/>
        </w:rPr>
        <w:t>Visos veiklos ir projektų apžvalga pateikiama TFAS fondo interneto svetainėje</w:t>
      </w:r>
      <w:r>
        <w:rPr>
          <w:rStyle w:val="FootnoteReference"/>
          <w:rFonts w:ascii="Times New Roman" w:hAnsi="Times New Roman"/>
          <w:noProof/>
          <w:sz w:val="24"/>
          <w:szCs w:val="24"/>
          <w:lang w:eastAsia="en-GB"/>
        </w:rPr>
        <w:footnoteReference w:id="5"/>
      </w:r>
      <w:r>
        <w:rPr>
          <w:rFonts w:ascii="Times New Roman" w:hAnsi="Times New Roman"/>
          <w:noProof/>
          <w:sz w:val="24"/>
        </w:rPr>
        <w:t>.</w:t>
      </w:r>
    </w:p>
    <w:p w14:paraId="7411B9FD" w14:textId="0E363934" w:rsidR="005C5409" w:rsidRPr="005A46D9" w:rsidRDefault="005C5409" w:rsidP="009C695E">
      <w:pPr>
        <w:pStyle w:val="ManualHeading1"/>
        <w:rPr>
          <w:noProof/>
        </w:rPr>
      </w:pPr>
      <w:r>
        <w:rPr>
          <w:noProof/>
        </w:rPr>
        <w:t>2.3.</w:t>
      </w:r>
      <w:r>
        <w:rPr>
          <w:noProof/>
        </w:rPr>
        <w:tab/>
        <w:t>Finansavimas</w:t>
      </w:r>
    </w:p>
    <w:p w14:paraId="67191179" w14:textId="1B758AD1" w:rsidR="005C5409" w:rsidRPr="005A46D9" w:rsidRDefault="005C5409" w:rsidP="005C5409">
      <w:pPr>
        <w:spacing w:before="120" w:after="120"/>
        <w:jc w:val="both"/>
        <w:rPr>
          <w:rFonts w:ascii="Times New Roman" w:hAnsi="Times New Roman"/>
          <w:noProof/>
          <w:sz w:val="24"/>
          <w:szCs w:val="24"/>
        </w:rPr>
      </w:pPr>
      <w:r>
        <w:rPr>
          <w:rFonts w:ascii="Times New Roman" w:hAnsi="Times New Roman"/>
          <w:noProof/>
          <w:sz w:val="24"/>
        </w:rPr>
        <w:t>2024 m. TFAS fondas su TASV susijusiai veiklai iš Komisijos gavo 3,05 mln. EUR dotaciją, kuri sudarė 17 proc. visų šiai veiklai TFAS fondo gautų finansavimo įnašų. Didžiausią finansavimo dalį vis dar skyrė Komisija, taikiusi didžiausią 20 proc. tinkamų finansuoti išlaidų bendro finansavimo normą.</w:t>
      </w:r>
    </w:p>
    <w:p w14:paraId="47C044D2" w14:textId="60EAFF93" w:rsidR="005C5409" w:rsidRPr="005A46D9" w:rsidRDefault="005C5409" w:rsidP="005C5409">
      <w:pPr>
        <w:spacing w:before="120" w:after="120"/>
        <w:jc w:val="both"/>
        <w:rPr>
          <w:rFonts w:ascii="Times New Roman" w:hAnsi="Times New Roman"/>
          <w:noProof/>
          <w:sz w:val="24"/>
          <w:szCs w:val="24"/>
        </w:rPr>
      </w:pPr>
      <w:r>
        <w:rPr>
          <w:rFonts w:ascii="Times New Roman" w:hAnsi="Times New Roman"/>
          <w:noProof/>
          <w:sz w:val="24"/>
        </w:rPr>
        <w:t>Įvertinus, kaip su TASV susijusiai veiklai skirtas finansavimas pasiskirsto pagal pagrindinius geografinius regionus ir tarptautinius apskaitos tinklus, matyti, kad 2024 m. ES ir jos valstybės narės skyrė 32,8 proc. visų įnašų, Azija ir Okeanija – 34,8 proc., tarptautiniai apskaitos tinklai – 14,7 proc., Šiaurės ir Pietų Amerika – 5,5 proc., Afrika – 0,9 proc., kiti – 11,3 proc. Palyginti su 2023 m., santykinė Komisijos ir valstybių narių skirto finansavimo dalis padidėjo (nuo 32,0 iki 32,8 proc.).</w:t>
      </w:r>
    </w:p>
    <w:p w14:paraId="5E6E936B" w14:textId="77777777" w:rsidR="005C5409" w:rsidRPr="005A46D9" w:rsidRDefault="005C5409" w:rsidP="005C5409">
      <w:pPr>
        <w:pStyle w:val="ManualHeading1"/>
        <w:rPr>
          <w:noProof/>
        </w:rPr>
      </w:pPr>
      <w:r>
        <w:rPr>
          <w:noProof/>
        </w:rPr>
        <w:t>3.</w:t>
      </w:r>
      <w:r>
        <w:rPr>
          <w:noProof/>
        </w:rPr>
        <w:tab/>
        <w:t>EFRAG</w:t>
      </w:r>
    </w:p>
    <w:p w14:paraId="531A5540" w14:textId="77777777" w:rsidR="005C5409" w:rsidRPr="005A46D9" w:rsidRDefault="005C5409" w:rsidP="005C5409">
      <w:pPr>
        <w:pStyle w:val="ManualHeading1"/>
        <w:spacing w:after="240"/>
        <w:rPr>
          <w:noProof/>
        </w:rPr>
      </w:pPr>
      <w:r>
        <w:rPr>
          <w:noProof/>
        </w:rPr>
        <w:t>3.1.</w:t>
      </w:r>
      <w:r>
        <w:rPr>
          <w:noProof/>
        </w:rPr>
        <w:tab/>
        <w:t>Valdymas</w:t>
      </w:r>
    </w:p>
    <w:p w14:paraId="344548E0" w14:textId="0CC7E394" w:rsidR="005C5409" w:rsidRPr="005A46D9" w:rsidRDefault="005C5409" w:rsidP="005C5409">
      <w:pPr>
        <w:jc w:val="both"/>
        <w:rPr>
          <w:rFonts w:ascii="Times New Roman" w:hAnsi="Times New Roman"/>
          <w:noProof/>
          <w:sz w:val="24"/>
        </w:rPr>
      </w:pPr>
      <w:r>
        <w:rPr>
          <w:rFonts w:ascii="Times New Roman" w:hAnsi="Times New Roman"/>
          <w:noProof/>
          <w:sz w:val="24"/>
        </w:rPr>
        <w:t>EFRAG yra viešai ir privačiai finansuojama Europos viešojo intereso labui veikianti organizacija, kurios juridinis statusas yra AISBL (pagal Belgijos teisę – tarptautinė ne pelno organizacija). Jos veiklą sudaro dvi sritys: finansinės atskaitomybės ir tvarumo atskaitomybės.</w:t>
      </w:r>
    </w:p>
    <w:p w14:paraId="61097DEF" w14:textId="2617126B" w:rsidR="005C5409" w:rsidRPr="005A46D9" w:rsidRDefault="005C5409" w:rsidP="005C5409">
      <w:pPr>
        <w:jc w:val="both"/>
        <w:rPr>
          <w:rFonts w:ascii="Times New Roman" w:hAnsi="Times New Roman"/>
          <w:noProof/>
          <w:sz w:val="24"/>
          <w:szCs w:val="24"/>
        </w:rPr>
      </w:pPr>
      <w:r>
        <w:rPr>
          <w:rFonts w:ascii="Times New Roman" w:hAnsi="Times New Roman"/>
          <w:noProof/>
          <w:sz w:val="24"/>
        </w:rPr>
        <w:t>Finansinės atskaitomybės srityje EFRAG uždavinys yra tarnauti Europos viešojo intereso labui plėtojant Europos poziciją finansinės atskaitomybės srityje, skatinant jos laikytis ir užtikrinant, kad per TASV standartų nustatymo procesą ir susijusias tarptautines diskusijas į šią poziciją būtų tinkamai atsižvelgiama. EFRAG teikia Komisijai rekomendacijas, ar ES turėtų patvirtinti naujus (arba persvarstytus) TFAS apskaitos standartus. EFRAG taip pat vykdo proaktyvius apskaitos tyrimus.</w:t>
      </w:r>
    </w:p>
    <w:p w14:paraId="2BF4FFB2" w14:textId="000E0476" w:rsidR="00226AA8" w:rsidRPr="005A46D9" w:rsidRDefault="00EA3ADE" w:rsidP="00226AA8">
      <w:pPr>
        <w:jc w:val="both"/>
        <w:rPr>
          <w:rFonts w:ascii="Times New Roman" w:hAnsi="Times New Roman"/>
          <w:noProof/>
          <w:sz w:val="24"/>
        </w:rPr>
      </w:pPr>
      <w:r>
        <w:rPr>
          <w:rFonts w:ascii="Times New Roman" w:hAnsi="Times New Roman"/>
          <w:noProof/>
          <w:sz w:val="24"/>
        </w:rPr>
        <w:t>Tvarumo atskaitomybės srityje pagal Įmonių informacijos apie tvarumą teikimo direktyvą (ĮITTD)</w:t>
      </w:r>
      <w:r>
        <w:rPr>
          <w:rStyle w:val="FootnoteReference"/>
          <w:rFonts w:ascii="Times New Roman" w:hAnsi="Times New Roman"/>
          <w:noProof/>
          <w:sz w:val="24"/>
          <w:szCs w:val="24"/>
        </w:rPr>
        <w:footnoteReference w:id="6"/>
      </w:r>
      <w:r>
        <w:rPr>
          <w:rFonts w:ascii="Times New Roman" w:hAnsi="Times New Roman"/>
          <w:noProof/>
          <w:sz w:val="24"/>
        </w:rPr>
        <w:t xml:space="preserve"> EFRAG teikia Komisijai technines rekomendacijas – Europos tvarumo atskaitomybės standartų (ETAS) projektus, parengtus taikant patikimą tinkamą procesą. Ji taip pat padeda veiksmingai įgyvendinti ETAS.</w:t>
      </w:r>
    </w:p>
    <w:p w14:paraId="31EFCCA0" w14:textId="6411DB2C" w:rsidR="005C5409" w:rsidRPr="005A46D9" w:rsidRDefault="000D278B" w:rsidP="005C5409">
      <w:pPr>
        <w:jc w:val="both"/>
        <w:rPr>
          <w:rFonts w:ascii="Times New Roman" w:hAnsi="Times New Roman"/>
          <w:noProof/>
          <w:sz w:val="24"/>
          <w:szCs w:val="24"/>
        </w:rPr>
      </w:pPr>
      <w:r>
        <w:rPr>
          <w:rFonts w:ascii="Times New Roman" w:hAnsi="Times New Roman"/>
          <w:noProof/>
          <w:sz w:val="24"/>
        </w:rPr>
        <w:t>EFRAG administracinė valdyba yra atsakinga už visų techninių įstaigų tinkamo proceso priežiūrą. Šiame darbe jai talkina Tinkamo proceso komitetas. 2024 m. EFRAG finansinės atskaitomybės valdybos pirmininko pareigas ėjo Wolfas Klinzas, EFRAG tvarumo atskaitomybės valdybos pirmininko pareigas – Patrickas de Cambourgas. Iki 2024 m. birželio mėn. EFRAG direktorių valdybai pirmininkavo Hansas Buyssė, nuo 2024 m. liepos mėn. – Benoit Jasparas.</w:t>
      </w:r>
    </w:p>
    <w:p w14:paraId="2E1D3C01" w14:textId="3AA1ADC2" w:rsidR="00AE0F47" w:rsidRPr="005A46D9" w:rsidRDefault="005C5409" w:rsidP="00AE0F47">
      <w:pPr>
        <w:pStyle w:val="ManualHeading1"/>
        <w:rPr>
          <w:noProof/>
        </w:rPr>
      </w:pPr>
      <w:r>
        <w:rPr>
          <w:noProof/>
        </w:rPr>
        <w:t>3.2.</w:t>
      </w:r>
      <w:r>
        <w:rPr>
          <w:noProof/>
        </w:rPr>
        <w:tab/>
        <w:t>Finansinės atskaitomybės sritis</w:t>
      </w:r>
    </w:p>
    <w:p w14:paraId="26524536" w14:textId="2F97FE04" w:rsidR="005C5409" w:rsidRPr="005A46D9" w:rsidRDefault="005C5409" w:rsidP="005C5409">
      <w:pPr>
        <w:jc w:val="both"/>
        <w:rPr>
          <w:rFonts w:ascii="Times New Roman" w:hAnsi="Times New Roman"/>
          <w:noProof/>
          <w:sz w:val="24"/>
          <w:szCs w:val="24"/>
        </w:rPr>
      </w:pPr>
      <w:r>
        <w:rPr>
          <w:rFonts w:ascii="Times New Roman" w:hAnsi="Times New Roman"/>
          <w:noProof/>
          <w:sz w:val="24"/>
        </w:rPr>
        <w:t>2024 m. EFRAG darbas finansinės atskaitomybės srityje daugiausia tebebuvo susijęs su TASV, TFAS aiškinimo komiteto ir TFAS fondo darbo programa.</w:t>
      </w:r>
    </w:p>
    <w:p w14:paraId="5C866FDC" w14:textId="3E7C0543" w:rsidR="00D55609" w:rsidRPr="005A46D9" w:rsidRDefault="00D55609" w:rsidP="00D55609">
      <w:pPr>
        <w:jc w:val="both"/>
        <w:rPr>
          <w:rFonts w:ascii="Times New Roman" w:hAnsi="Times New Roman"/>
          <w:noProof/>
          <w:sz w:val="24"/>
          <w:szCs w:val="24"/>
        </w:rPr>
      </w:pPr>
      <w:r>
        <w:rPr>
          <w:rFonts w:ascii="Times New Roman" w:hAnsi="Times New Roman"/>
          <w:noProof/>
          <w:sz w:val="24"/>
        </w:rPr>
        <w:t>Ji paskelbė nuomonę dėl 21-ojo TAS „Užsienio valiutos kurso pasikeitimo įtaka“ pataisų („Valiutos nekeičiamumas“), 9-ojo TFAS „Finansinės priemonės“ ir 7-ojo TFAS „Finansinės priemonės.</w:t>
      </w:r>
      <w:r>
        <w:rPr>
          <w:rFonts w:ascii="Times New Roman" w:hAnsi="Times New Roman"/>
          <w:i/>
          <w:noProof/>
          <w:sz w:val="24"/>
        </w:rPr>
        <w:t xml:space="preserve"> </w:t>
      </w:r>
      <w:r>
        <w:rPr>
          <w:rFonts w:ascii="Times New Roman" w:hAnsi="Times New Roman"/>
          <w:noProof/>
          <w:sz w:val="24"/>
        </w:rPr>
        <w:t>Atskleidimas“ pataisų („Finansinių priemonių klasifikavimo ir vertinimo pataisos“), taip pat dėl dokumento „TFAS apskaitos standartų metiniai patobulinimai. 11 tomas“ tvirtinimo.</w:t>
      </w:r>
    </w:p>
    <w:p w14:paraId="27049A93" w14:textId="36E2A25F" w:rsidR="00962CD1" w:rsidRPr="005A46D9" w:rsidRDefault="00962CD1" w:rsidP="005C5409">
      <w:pPr>
        <w:jc w:val="both"/>
        <w:rPr>
          <w:rFonts w:ascii="Times New Roman" w:hAnsi="Times New Roman"/>
          <w:noProof/>
          <w:sz w:val="24"/>
          <w:szCs w:val="24"/>
        </w:rPr>
      </w:pPr>
      <w:r>
        <w:rPr>
          <w:rFonts w:ascii="Times New Roman" w:hAnsi="Times New Roman"/>
          <w:noProof/>
          <w:sz w:val="24"/>
        </w:rPr>
        <w:t>EFRAG parengė nuomones dėl 18-ojo TFAS „Pateikimas ir atskleidimas finansinėse ataskaitose“ ir 19-ojo TFAS „Viešai neatskaitingos patronuojamosios įmonės.</w:t>
      </w:r>
      <w:r>
        <w:rPr>
          <w:rFonts w:ascii="Times New Roman" w:hAnsi="Times New Roman"/>
          <w:i/>
          <w:noProof/>
          <w:sz w:val="24"/>
        </w:rPr>
        <w:t xml:space="preserve"> </w:t>
      </w:r>
      <w:r>
        <w:rPr>
          <w:rFonts w:ascii="Times New Roman" w:hAnsi="Times New Roman"/>
          <w:noProof/>
          <w:sz w:val="24"/>
        </w:rPr>
        <w:t>Atskleidimas“ tvirtinimo.</w:t>
      </w:r>
    </w:p>
    <w:p w14:paraId="193F4CB6" w14:textId="2F7BF7D8" w:rsidR="005C5409" w:rsidRPr="005A46D9" w:rsidRDefault="005C5409" w:rsidP="005C5409">
      <w:pPr>
        <w:jc w:val="both"/>
        <w:rPr>
          <w:rFonts w:ascii="Times New Roman" w:hAnsi="Times New Roman" w:cs="Times New Roman"/>
          <w:noProof/>
          <w:sz w:val="24"/>
          <w:szCs w:val="24"/>
        </w:rPr>
      </w:pPr>
      <w:r>
        <w:rPr>
          <w:rFonts w:ascii="Times New Roman" w:hAnsi="Times New Roman"/>
          <w:noProof/>
          <w:sz w:val="24"/>
        </w:rPr>
        <w:t>EFRAG taip pat paskelbė šešis raštus su pastabomis ir du atsiliepimus, taip pat paskelbė tyrimo dokumentą dėl finansinės atskaitomybės ir tvarumo atskaitomybės sąsajų.</w:t>
      </w:r>
    </w:p>
    <w:p w14:paraId="2C6E9033" w14:textId="7FA7496E" w:rsidR="005C5409" w:rsidRPr="005A46D9" w:rsidRDefault="005C5409" w:rsidP="005C5409">
      <w:pPr>
        <w:jc w:val="both"/>
        <w:rPr>
          <w:rFonts w:ascii="Times New Roman" w:hAnsi="Times New Roman"/>
          <w:noProof/>
          <w:sz w:val="24"/>
          <w:szCs w:val="24"/>
        </w:rPr>
      </w:pPr>
      <w:r>
        <w:rPr>
          <w:rFonts w:ascii="Times New Roman" w:hAnsi="Times New Roman"/>
          <w:noProof/>
          <w:sz w:val="24"/>
        </w:rPr>
        <w:t xml:space="preserve">Be to, EFRAG atidžiai stebėjo svarbius TASV vykdomus projektus, pagal kuriuos TASV turėtų parengti standartus, kuriuos artimiausiu metu reikės patvirtinti ES. Šie projektai – tai „Veikla, kuriai taikomi reguliuojami tarifai“, </w:t>
      </w:r>
      <w:hyperlink r:id="rId16" w:history="1">
        <w:r>
          <w:rPr>
            <w:rFonts w:ascii="Times New Roman" w:hAnsi="Times New Roman"/>
            <w:noProof/>
            <w:sz w:val="24"/>
          </w:rPr>
          <w:t>„Finansinės priemonės, turinčios nuosavybės ypatybių“</w:t>
        </w:r>
      </w:hyperlink>
      <w:r>
        <w:rPr>
          <w:rFonts w:ascii="Times New Roman" w:hAnsi="Times New Roman"/>
          <w:noProof/>
          <w:sz w:val="24"/>
        </w:rPr>
        <w:t xml:space="preserve"> ir „Dinamiškas rizikos valdymas“. 2024 m. EFRAG organizavo informavimo veiklą ir apskritojo stalo diskusijas siekdama nustatyti, ar ir kokia apimtimi TASV pasiūlyta apskaitos tvarka būtų naudinga Europos suinteresuotiesiems subjektams, ar kiltų sunkumų ją taikyti. Vėliau EFRAG informavo TASV, kokių problemų gali kilti Europos suinteresuotiesiems subjektams.</w:t>
      </w:r>
    </w:p>
    <w:p w14:paraId="6DB37116" w14:textId="77777777" w:rsidR="005C5409" w:rsidRPr="005A46D9" w:rsidRDefault="005C5409" w:rsidP="005C5409">
      <w:pPr>
        <w:pStyle w:val="NormalWeb"/>
        <w:spacing w:line="276" w:lineRule="auto"/>
        <w:jc w:val="both"/>
        <w:rPr>
          <w:noProof/>
        </w:rPr>
      </w:pPr>
      <w:r>
        <w:rPr>
          <w:noProof/>
        </w:rPr>
        <w:t>Pasitelkdama savo akademinę komisiją ir akademinį tinklą EFRAG stiprino bendradarbiavimą su akademinės bendruomenės nariais.</w:t>
      </w:r>
    </w:p>
    <w:p w14:paraId="180658F9" w14:textId="5EA18DD8" w:rsidR="005C5409" w:rsidRPr="005A46D9" w:rsidRDefault="00AE0F47" w:rsidP="005C5409">
      <w:pPr>
        <w:pStyle w:val="ManualHeading1"/>
        <w:rPr>
          <w:noProof/>
        </w:rPr>
      </w:pPr>
      <w:r>
        <w:rPr>
          <w:noProof/>
        </w:rPr>
        <w:t>3.3.</w:t>
      </w:r>
      <w:r>
        <w:rPr>
          <w:noProof/>
        </w:rPr>
        <w:tab/>
        <w:t>Tvarumo atskaitomybės sritis</w:t>
      </w:r>
    </w:p>
    <w:p w14:paraId="29CD3962" w14:textId="6A914E92" w:rsidR="002F4F3E" w:rsidRPr="005A46D9" w:rsidRDefault="007B6C77" w:rsidP="002F4F3E">
      <w:pPr>
        <w:jc w:val="both"/>
        <w:rPr>
          <w:rFonts w:ascii="Times New Roman" w:hAnsi="Times New Roman"/>
          <w:noProof/>
          <w:sz w:val="24"/>
          <w:szCs w:val="24"/>
        </w:rPr>
      </w:pPr>
      <w:r>
        <w:rPr>
          <w:rFonts w:ascii="Times New Roman" w:hAnsi="Times New Roman"/>
          <w:noProof/>
          <w:sz w:val="24"/>
        </w:rPr>
        <w:t>2024 m. EFRAG daugiausia teikė su įgyvendinimu susijusią pagalbą (rengė atsakymus į klausimus ir įgyvendinimo gaires) didelėms įmonėms, kurioms taikomi ETAS, ir rengė MVĮ skirtus supaprastintus atskaitomybės standartus.</w:t>
      </w:r>
    </w:p>
    <w:p w14:paraId="27C02F88" w14:textId="1AA12BB2" w:rsidR="0018111E" w:rsidRPr="005A46D9" w:rsidRDefault="007F5ACA" w:rsidP="002F4F3E">
      <w:pPr>
        <w:jc w:val="both"/>
        <w:rPr>
          <w:rFonts w:ascii="Times New Roman" w:hAnsi="Times New Roman"/>
          <w:noProof/>
          <w:sz w:val="24"/>
          <w:szCs w:val="24"/>
        </w:rPr>
      </w:pPr>
      <w:r>
        <w:rPr>
          <w:rFonts w:ascii="Times New Roman" w:hAnsi="Times New Roman"/>
          <w:noProof/>
          <w:sz w:val="24"/>
        </w:rPr>
        <w:t>Sausio mėn. EFRAG surengė viešas konsultacijas dėl dviejų MVĮ skirtų standartų rengimo, t. y. dėl supaprastinto standarto, kuriuo siekiama sumažinti biržinėms MVĮ tenkančią atskaitomybės naštą, (toliau – biržinių MVĮ standartas) ir dėl savanoriškai taikytino standarto, kuriuo siekiama padėti nebiržinėms MVĮ teikti informaciją bankams arba didesnėms grupėms, kurių vertės grandinėse jos dalyvauja, (toliau – savanoriškas MVĮ standartas).</w:t>
      </w:r>
    </w:p>
    <w:p w14:paraId="6F669B6E" w14:textId="1E7509DD" w:rsidR="00F00B5D" w:rsidRPr="005A46D9" w:rsidRDefault="00F00B5D" w:rsidP="002F4F3E">
      <w:pPr>
        <w:jc w:val="both"/>
        <w:rPr>
          <w:rFonts w:ascii="Times New Roman" w:hAnsi="Times New Roman" w:cs="Times New Roman"/>
          <w:noProof/>
          <w:sz w:val="24"/>
          <w:szCs w:val="24"/>
          <w:shd w:val="clear" w:color="auto" w:fill="FFFFFF"/>
        </w:rPr>
      </w:pPr>
      <w:r>
        <w:rPr>
          <w:rFonts w:ascii="Times New Roman" w:hAnsi="Times New Roman"/>
          <w:noProof/>
          <w:sz w:val="24"/>
        </w:rPr>
        <w:t xml:space="preserve">Gegužės 2 d. EFRAG ir TFAS fondas paskelbė sąveikumo gaires, kuriose aprašomas pasiektas labai aukštas ETAS ir TTSV standartų suderinimo lygis </w:t>
      </w:r>
      <w:r>
        <w:rPr>
          <w:rFonts w:ascii="Times New Roman" w:hAnsi="Times New Roman"/>
          <w:noProof/>
          <w:sz w:val="24"/>
          <w:shd w:val="clear" w:color="auto" w:fill="FFFFFF"/>
        </w:rPr>
        <w:t>ir paaiškinama, kaip įmonės gali taikyti abu standartų rinkinius</w:t>
      </w:r>
      <w:r>
        <w:rPr>
          <w:rFonts w:ascii="Times New Roman" w:hAnsi="Times New Roman"/>
          <w:noProof/>
          <w:sz w:val="24"/>
        </w:rPr>
        <w:t>.</w:t>
      </w:r>
      <w:r>
        <w:rPr>
          <w:rFonts w:ascii="Times New Roman" w:hAnsi="Times New Roman"/>
          <w:noProof/>
          <w:sz w:val="24"/>
          <w:shd w:val="clear" w:color="auto" w:fill="FFFFFF"/>
        </w:rPr>
        <w:t xml:space="preserve"> Gairėse taip pat pateikta išsami analizė, kaip dera su klimatu susijusi atskleidžiama informacija.</w:t>
      </w:r>
    </w:p>
    <w:p w14:paraId="74DDAAD6" w14:textId="5288E68E" w:rsidR="00F00B5D" w:rsidRPr="005A46D9" w:rsidRDefault="00F00B5D" w:rsidP="002F4F3E">
      <w:pPr>
        <w:jc w:val="both"/>
        <w:rPr>
          <w:rFonts w:ascii="Times New Roman" w:hAnsi="Times New Roman"/>
          <w:noProof/>
          <w:sz w:val="24"/>
          <w:szCs w:val="24"/>
        </w:rPr>
      </w:pPr>
      <w:r>
        <w:rPr>
          <w:rFonts w:ascii="Times New Roman" w:hAnsi="Times New Roman"/>
          <w:noProof/>
          <w:sz w:val="24"/>
        </w:rPr>
        <w:t>Gegužės mėn. EFRAG taip pat paskelbė tris įgyvendinimo rekomendacinius dokumentus, skirtus bendrovėms, savo tvarumo ataskaitas rengiančioms pagal ETAS, kuriuose aptartas reikšmingumo vertinimas, vertės grandinės ataskaitų teikimas ir duomenų vienetų sąrašo sudarymas.</w:t>
      </w:r>
    </w:p>
    <w:p w14:paraId="63752BB5" w14:textId="09A7ED0C" w:rsidR="002F4F3E" w:rsidRPr="005A46D9" w:rsidRDefault="002F4F3E" w:rsidP="002F4F3E">
      <w:pPr>
        <w:jc w:val="both"/>
        <w:rPr>
          <w:rFonts w:ascii="Times New Roman" w:hAnsi="Times New Roman"/>
          <w:noProof/>
          <w:sz w:val="24"/>
          <w:szCs w:val="24"/>
        </w:rPr>
      </w:pPr>
      <w:r>
        <w:rPr>
          <w:rFonts w:ascii="Times New Roman" w:hAnsi="Times New Roman"/>
          <w:noProof/>
          <w:sz w:val="24"/>
        </w:rPr>
        <w:t>EFRAG taip pat pradėjo rengti rekomendacinį dokumentą dėl įmonių pertvarkos planų ir savo ETAS platformoje pildė klausimų ir atsakymų skiltį, siekdama padėti įgyvendinti ETAS.</w:t>
      </w:r>
    </w:p>
    <w:p w14:paraId="37010038" w14:textId="28A2D185" w:rsidR="00D31A37" w:rsidRPr="005A46D9" w:rsidRDefault="00D31A37" w:rsidP="002F4F3E">
      <w:pPr>
        <w:jc w:val="both"/>
        <w:rPr>
          <w:rFonts w:ascii="Times New Roman" w:hAnsi="Times New Roman"/>
          <w:noProof/>
          <w:sz w:val="24"/>
          <w:szCs w:val="24"/>
        </w:rPr>
      </w:pPr>
      <w:r>
        <w:rPr>
          <w:rFonts w:ascii="Times New Roman" w:hAnsi="Times New Roman"/>
          <w:noProof/>
          <w:sz w:val="24"/>
        </w:rPr>
        <w:t xml:space="preserve">2024 m. rugpjūčio mėn. EFRAG pateikė Komisijai savo technines rekomendacijas dėl skaitmeninės </w:t>
      </w:r>
      <w:r>
        <w:rPr>
          <w:rFonts w:ascii="Times New Roman" w:hAnsi="Times New Roman"/>
          <w:i/>
          <w:noProof/>
          <w:sz w:val="24"/>
        </w:rPr>
        <w:t>1-ojo ETAS rinkinio XBRL taksonomijos</w:t>
      </w:r>
      <w:r>
        <w:rPr>
          <w:rFonts w:ascii="Times New Roman" w:hAnsi="Times New Roman"/>
          <w:noProof/>
          <w:sz w:val="24"/>
        </w:rPr>
        <w:t>, kad padėtų įmonėms skaitmeniniu būdu žymėti savo teikiamą informaciją.</w:t>
      </w:r>
    </w:p>
    <w:p w14:paraId="16B64345" w14:textId="5F009D5E" w:rsidR="00C83544" w:rsidRPr="005A46D9" w:rsidRDefault="00C83544" w:rsidP="002F4F3E">
      <w:pPr>
        <w:jc w:val="both"/>
        <w:rPr>
          <w:rFonts w:ascii="Times New Roman" w:hAnsi="Times New Roman" w:cs="Times New Roman"/>
          <w:noProof/>
          <w:sz w:val="24"/>
          <w:szCs w:val="24"/>
        </w:rPr>
      </w:pPr>
      <w:r>
        <w:rPr>
          <w:rFonts w:ascii="Times New Roman" w:hAnsi="Times New Roman"/>
          <w:noProof/>
          <w:sz w:val="24"/>
        </w:rPr>
        <w:t xml:space="preserve">Lapkričio mėn. EFRAG baigė rengti biržinių MVĮ standarto projektą, tačiau </w:t>
      </w:r>
      <w:r>
        <w:rPr>
          <w:rFonts w:ascii="Times New Roman" w:hAnsi="Times New Roman"/>
          <w:noProof/>
          <w:color w:val="191818"/>
          <w:sz w:val="24"/>
          <w:shd w:val="clear" w:color="auto" w:fill="FFFFFF"/>
        </w:rPr>
        <w:t>oficialiai nebalsavo, laukdama politinio aiškumo, ar, priėmus direktyvą „Omnibus“</w:t>
      </w:r>
      <w:r>
        <w:rPr>
          <w:rStyle w:val="FootnoteReference"/>
          <w:rFonts w:ascii="Times New Roman" w:hAnsi="Times New Roman" w:cs="Times New Roman"/>
          <w:noProof/>
          <w:color w:val="191818"/>
          <w:sz w:val="24"/>
          <w:szCs w:val="24"/>
          <w:shd w:val="clear" w:color="auto" w:fill="FFFFFF"/>
        </w:rPr>
        <w:footnoteReference w:id="7"/>
      </w:r>
      <w:r>
        <w:rPr>
          <w:rFonts w:ascii="Times New Roman" w:hAnsi="Times New Roman"/>
          <w:noProof/>
          <w:color w:val="191818"/>
          <w:sz w:val="24"/>
          <w:shd w:val="clear" w:color="auto" w:fill="FFFFFF"/>
        </w:rPr>
        <w:t>, standartas būtų vienas iš ĮITTD reikalavimų</w:t>
      </w:r>
      <w:r>
        <w:rPr>
          <w:rFonts w:ascii="Times New Roman" w:hAnsi="Times New Roman"/>
          <w:noProof/>
          <w:sz w:val="24"/>
        </w:rPr>
        <w:t>.</w:t>
      </w:r>
    </w:p>
    <w:p w14:paraId="187321D2" w14:textId="35A20E1E" w:rsidR="002F4F3E" w:rsidRPr="005A46D9" w:rsidRDefault="00D1425D" w:rsidP="002F4F3E">
      <w:pPr>
        <w:jc w:val="both"/>
        <w:rPr>
          <w:rFonts w:ascii="Times New Roman" w:hAnsi="Times New Roman"/>
          <w:noProof/>
          <w:sz w:val="24"/>
          <w:szCs w:val="24"/>
        </w:rPr>
      </w:pPr>
      <w:r>
        <w:rPr>
          <w:rFonts w:ascii="Times New Roman" w:hAnsi="Times New Roman"/>
          <w:noProof/>
          <w:sz w:val="24"/>
        </w:rPr>
        <w:t>Gruodžio mėn. EFRAG pateikė Komisijai savanoriško MVĮ standarto projektą. Atsižvelgdama į daugybę prašymų, EFRAG taip pat pradėjo rengti gaires ir teikti pagalbą MVĮ, siekiančioms taikyti savanorišką MVĮ standartą.</w:t>
      </w:r>
    </w:p>
    <w:p w14:paraId="668981D4" w14:textId="26DA0C67" w:rsidR="005C5409" w:rsidRPr="005A46D9" w:rsidRDefault="005C5409" w:rsidP="009C695E">
      <w:pPr>
        <w:pStyle w:val="ManualHeading1"/>
        <w:spacing w:after="240"/>
        <w:rPr>
          <w:noProof/>
        </w:rPr>
      </w:pPr>
      <w:r>
        <w:rPr>
          <w:noProof/>
        </w:rPr>
        <w:t>3.4.</w:t>
      </w:r>
      <w:r>
        <w:rPr>
          <w:noProof/>
        </w:rPr>
        <w:tab/>
        <w:t>Finansavimas</w:t>
      </w:r>
    </w:p>
    <w:p w14:paraId="03FD0110" w14:textId="13A815C3" w:rsidR="007E2DA5" w:rsidRPr="005A46D9" w:rsidRDefault="007E2DA5" w:rsidP="007E2DA5">
      <w:pPr>
        <w:jc w:val="both"/>
        <w:rPr>
          <w:rFonts w:ascii="Times New Roman" w:eastAsia="Times New Roman" w:hAnsi="Times New Roman"/>
          <w:noProof/>
          <w:sz w:val="24"/>
          <w:szCs w:val="20"/>
        </w:rPr>
      </w:pPr>
      <w:r>
        <w:rPr>
          <w:rFonts w:ascii="Times New Roman" w:hAnsi="Times New Roman"/>
          <w:noProof/>
          <w:sz w:val="24"/>
        </w:rPr>
        <w:t>2024 m. EFRAG bendros veiklos išlaidos sudarė 15,1 mln. EUR, įskaitant maždaug 3,2 mln. EUR trečiųjų šalių suteiktus nepiniginius įnašus. Komisijos finansavimo ir EFRAG organizacijų narių skirtų bei atidėtų lėšų pakako asociacijos išlaidoms padengti. 2024 m. pabaigoje EFRAG nepaskirstytasis pelnas buvo lygus 4,9 mln. EUR. Nepiniginius įnašus sudaro EFRAG finansinės atskaitomybės valdybos, Tvarumo atskaitomybės valdybos ir techninių ekspertų grupių narių skiriamas laikas (atlygis mokamas tik pirmininkams), taip pat laikinas delegavimas į EFRAG sekretoriatą.</w:t>
      </w:r>
    </w:p>
    <w:p w14:paraId="4BDCB381" w14:textId="245B8460" w:rsidR="005C5409" w:rsidRPr="005A46D9" w:rsidRDefault="007E2DA5" w:rsidP="005C5409">
      <w:pPr>
        <w:jc w:val="both"/>
        <w:rPr>
          <w:rFonts w:ascii="Times New Roman" w:eastAsia="Times New Roman" w:hAnsi="Times New Roman"/>
          <w:noProof/>
          <w:sz w:val="24"/>
          <w:szCs w:val="20"/>
        </w:rPr>
      </w:pPr>
      <w:r>
        <w:rPr>
          <w:rFonts w:ascii="Times New Roman" w:hAnsi="Times New Roman"/>
          <w:noProof/>
          <w:sz w:val="24"/>
        </w:rPr>
        <w:t>Komisija padidino 2024 m. ES įnašą nuo 6,3 mln. EUR iki 6,6 mln. EUR ir jį padalijo į dvi dotacijas veiksmams: po vieną finansinei atskaitomybei (2 mln. EUR) ir tvarumo atskaitomybei (4,6 mln. EUR). Komisija bendrai finansavo iki 60 proc. EFRAG tinkamų finansuoti finansinės atskaitomybės srities išlaidų ir iki 90 proc. EFRAG tinkamų finansuoti tvarumo atskaitomybės srities išlaidų. Finansinės atskaitomybės sričiai piniginius įnašus taip pat skyrė Europos suinteresuotųjų subjektų organizacijos (0,6 mln. EUR) ir Prancūzijos, Vokietijos, Italijos, Belgijos, Nyderlandų, Danijos, Ispanijos, Švedijos ir Liuksemburgo nacionalinės organizacijos (1,6 mln. EUR). Tvarumo atskaitomybės sričiai Europos suinteresuotųjų subjektų organizacijos skyrė 0,5 mln. EUR, nacionalinės organizacijos – 1 mln. EUR, iniciatyvos „Friends of EFRAG“ dalyviai – 0,3 mln. EUR, pilietinės visuomenės organizacijos – 0,1 mln. EUR.</w:t>
      </w:r>
    </w:p>
    <w:p w14:paraId="6CDF431D" w14:textId="1B83FC9E" w:rsidR="005C5409" w:rsidRPr="005A46D9" w:rsidRDefault="005C5409" w:rsidP="005C5409">
      <w:pPr>
        <w:pStyle w:val="ManualHeading1"/>
        <w:rPr>
          <w:noProof/>
        </w:rPr>
      </w:pPr>
      <w:r>
        <w:rPr>
          <w:noProof/>
        </w:rPr>
        <w:t>4.</w:t>
      </w:r>
      <w:r>
        <w:rPr>
          <w:noProof/>
        </w:rPr>
        <w:tab/>
        <w:t>Viešojo intereso priežiūros taryba (PIOB)</w:t>
      </w:r>
    </w:p>
    <w:p w14:paraId="4C1E94EA" w14:textId="77777777" w:rsidR="005C5409" w:rsidRPr="005A46D9" w:rsidRDefault="005C5409" w:rsidP="005C5409">
      <w:pPr>
        <w:pStyle w:val="ManualHeading1"/>
        <w:rPr>
          <w:noProof/>
        </w:rPr>
      </w:pPr>
      <w:r>
        <w:rPr>
          <w:noProof/>
        </w:rPr>
        <w:t>4.1.</w:t>
      </w:r>
      <w:r>
        <w:rPr>
          <w:noProof/>
        </w:rPr>
        <w:tab/>
        <w:t>Valdymas</w:t>
      </w:r>
    </w:p>
    <w:p w14:paraId="4C43A5B5" w14:textId="53610DC9" w:rsidR="005C5409" w:rsidRPr="005A46D9" w:rsidRDefault="005C5409" w:rsidP="005C5409">
      <w:pPr>
        <w:jc w:val="both"/>
        <w:rPr>
          <w:noProof/>
        </w:rPr>
      </w:pPr>
      <w:bookmarkStart w:id="4" w:name="_Hlk169708962"/>
      <w:r>
        <w:rPr>
          <w:rFonts w:ascii="Times New Roman" w:hAnsi="Times New Roman"/>
          <w:noProof/>
          <w:sz w:val="24"/>
        </w:rPr>
        <w:t>PIOB yra pasaulinė nepriklausoma priežiūros įstaiga, užtikrinanti tarptautinių audito, patikinimo ir etikos standartų, kuriuos rengia Tarptautinių audito ir patikinimo standartų valdyba (TAPSV) ir Tarptautinių buhalterių etikos standartų valdyba (IESBA), nustatymo proceso kokybę ir dėmesį viešajam interesui. Jos pagrindinis vaidmuo – užtikrinti, kad TAPSV ir IESBA laikytųsi tinkamo standartų ir strategijų rengimo proceso, atitinkančio viešojo intereso sistemą. Nuo 2022 m. PIOB yra atsakinga už TAPSV ir IESBA narių atranką ir skyrimą.</w:t>
      </w:r>
    </w:p>
    <w:p w14:paraId="52679397" w14:textId="765C4185" w:rsidR="005C5409" w:rsidRPr="005A46D9" w:rsidRDefault="005C5409" w:rsidP="005C5409">
      <w:pPr>
        <w:jc w:val="both"/>
        <w:rPr>
          <w:rFonts w:ascii="Times New Roman" w:hAnsi="Times New Roman"/>
          <w:noProof/>
          <w:sz w:val="24"/>
          <w:szCs w:val="24"/>
        </w:rPr>
      </w:pPr>
      <w:bookmarkStart w:id="5" w:name="_Hlk169709028"/>
      <w:bookmarkEnd w:id="4"/>
      <w:r>
        <w:rPr>
          <w:rFonts w:ascii="Times New Roman" w:hAnsi="Times New Roman"/>
          <w:noProof/>
          <w:sz w:val="24"/>
        </w:rPr>
        <w:t>Stebėsenos grupė</w:t>
      </w:r>
      <w:r>
        <w:rPr>
          <w:rStyle w:val="FootnoteReference"/>
          <w:rFonts w:ascii="Times New Roman" w:hAnsi="Times New Roman"/>
          <w:noProof/>
          <w:sz w:val="24"/>
          <w:szCs w:val="24"/>
        </w:rPr>
        <w:footnoteReference w:id="8"/>
      </w:r>
      <w:r>
        <w:rPr>
          <w:rFonts w:ascii="Times New Roman" w:hAnsi="Times New Roman"/>
          <w:noProof/>
          <w:sz w:val="24"/>
        </w:rPr>
        <w:t>, kurios narė yra Komisija, stebi, kaip PIOB vykdo savo viešojo intereso įgaliojimus, susijusius su PIOB vykdoma standartų nustatymo proceso priežiūra. Ji skiria dešimt PIOB narių (išskyrus pirmininką, kurį skiria IOSCO).</w:t>
      </w:r>
    </w:p>
    <w:bookmarkEnd w:id="5"/>
    <w:p w14:paraId="6A95F519" w14:textId="0829DE7E" w:rsidR="005C5409" w:rsidRPr="005A46D9" w:rsidRDefault="005C5409" w:rsidP="005C5409">
      <w:pPr>
        <w:jc w:val="both"/>
        <w:rPr>
          <w:rFonts w:ascii="Times New Roman" w:eastAsia="Times New Roman" w:hAnsi="Times New Roman"/>
          <w:b/>
          <w:smallCaps/>
          <w:noProof/>
          <w:sz w:val="24"/>
          <w:szCs w:val="20"/>
        </w:rPr>
      </w:pPr>
      <w:r>
        <w:rPr>
          <w:rFonts w:ascii="Times New Roman" w:hAnsi="Times New Roman"/>
          <w:b/>
          <w:smallCaps/>
          <w:noProof/>
          <w:sz w:val="24"/>
        </w:rPr>
        <w:t>4.2. Veikla</w:t>
      </w:r>
    </w:p>
    <w:p w14:paraId="37789EB6" w14:textId="4DF28F57" w:rsidR="00A359B8" w:rsidRPr="005A46D9" w:rsidRDefault="00C54DA2" w:rsidP="005C5409">
      <w:pPr>
        <w:jc w:val="both"/>
        <w:rPr>
          <w:rFonts w:ascii="Times New Roman" w:eastAsia="Times New Roman" w:hAnsi="Times New Roman" w:cs="Times New Roman"/>
          <w:b/>
          <w:smallCaps/>
          <w:noProof/>
          <w:sz w:val="24"/>
          <w:szCs w:val="24"/>
        </w:rPr>
      </w:pPr>
      <w:r>
        <w:rPr>
          <w:rFonts w:ascii="Times New Roman" w:hAnsi="Times New Roman"/>
          <w:noProof/>
          <w:sz w:val="24"/>
        </w:rPr>
        <w:t>2024 m. PIOB vykdė TAPSV ir IESBA veiklos priežiūrą. PIOB patvirtino tris IESBA standartus, vieną TAPSV standartą ir abiejų valdybų 2024–2027 m. strategijas ir darbo planus. PIOB paskelbė tris viešojo intereso klausimus, kurie taip pat nurodyti kituose priežiūros leidiniuose</w:t>
      </w:r>
      <w:r>
        <w:rPr>
          <w:rStyle w:val="FootnoteReference"/>
          <w:rFonts w:ascii="Times New Roman" w:hAnsi="Times New Roman" w:cs="Times New Roman"/>
          <w:noProof/>
          <w:sz w:val="24"/>
          <w:szCs w:val="24"/>
        </w:rPr>
        <w:footnoteReference w:id="9"/>
      </w:r>
      <w:r>
        <w:rPr>
          <w:rFonts w:ascii="Times New Roman" w:hAnsi="Times New Roman"/>
          <w:noProof/>
          <w:sz w:val="24"/>
        </w:rPr>
        <w:t>.</w:t>
      </w:r>
    </w:p>
    <w:p w14:paraId="77E03EF8" w14:textId="173EA666" w:rsidR="00A359B8" w:rsidRPr="005A46D9" w:rsidRDefault="001410AF" w:rsidP="005C5409">
      <w:pPr>
        <w:jc w:val="both"/>
        <w:rPr>
          <w:rFonts w:ascii="Times New Roman" w:eastAsia="Times New Roman" w:hAnsi="Times New Roman"/>
          <w:b/>
          <w:smallCaps/>
          <w:noProof/>
          <w:sz w:val="24"/>
          <w:szCs w:val="20"/>
        </w:rPr>
      </w:pPr>
      <w:r>
        <w:rPr>
          <w:rFonts w:ascii="Times New Roman" w:hAnsi="Times New Roman"/>
          <w:noProof/>
          <w:sz w:val="24"/>
        </w:rPr>
        <w:t>PIOB taip pat užbaigė trečiąjį TAPSV ir IESBA narių skyrimo ciklą – nuo 2021 m. ji sėkmingai užtikrina, kad į šių valdybų sudėtį būtų įtraukti įvairūs suinteresuotieji subjektai ir, vadovaujantis Stebėsenos grupės rekomendacijomis, būtų užtikrinta didesnė geografinė ir lyčių įvairovė.</w:t>
      </w:r>
    </w:p>
    <w:p w14:paraId="667A1396" w14:textId="71B56689" w:rsidR="005C5409" w:rsidRPr="005A46D9" w:rsidRDefault="005C5409" w:rsidP="005C5409">
      <w:pPr>
        <w:pStyle w:val="ManualHeading1"/>
        <w:rPr>
          <w:noProof/>
        </w:rPr>
      </w:pPr>
      <w:r>
        <w:rPr>
          <w:noProof/>
        </w:rPr>
        <w:t>4.3.</w:t>
      </w:r>
      <w:r>
        <w:rPr>
          <w:noProof/>
        </w:rPr>
        <w:tab/>
        <w:t>Finansavimas</w:t>
      </w:r>
    </w:p>
    <w:p w14:paraId="176F2438" w14:textId="496C3E21" w:rsidR="00971AB0" w:rsidRPr="005A46D9" w:rsidRDefault="002C1226" w:rsidP="00971AB0">
      <w:pPr>
        <w:spacing w:before="120" w:after="120"/>
        <w:jc w:val="both"/>
        <w:rPr>
          <w:rFonts w:ascii="Times New Roman" w:hAnsi="Times New Roman" w:cs="Times New Roman"/>
          <w:noProof/>
          <w:sz w:val="24"/>
          <w:szCs w:val="24"/>
        </w:rPr>
      </w:pPr>
      <w:bookmarkStart w:id="6" w:name="_Hlk169779903"/>
      <w:bookmarkStart w:id="7" w:name="_Hlk169708213"/>
      <w:r>
        <w:rPr>
          <w:rFonts w:ascii="Times New Roman" w:hAnsi="Times New Roman"/>
          <w:noProof/>
          <w:sz w:val="24"/>
        </w:rPr>
        <w:t>2024 m. bendras PIOB biudžetas buvo 2,5 mln. EUR. PIOB gavo 18 piniginių įnašų, įskaitant 350 000 EUR Europos Komisijos įnašą, kuriam taikyta didžiausia 30 proc. tinkamų finansuoti išlaidų bendro finansavimo norma. Ispanijos vyriausybė suteikia PIOB biuro patalpas, kurių vertė – 199 928 EUR.</w:t>
      </w:r>
    </w:p>
    <w:p w14:paraId="068D695C" w14:textId="1A24691E" w:rsidR="00E169D9" w:rsidRPr="005A46D9" w:rsidRDefault="003836DF" w:rsidP="00AB11D4">
      <w:pPr>
        <w:spacing w:before="120" w:after="120"/>
        <w:jc w:val="both"/>
        <w:rPr>
          <w:rFonts w:ascii="Times New Roman" w:hAnsi="Times New Roman" w:cs="Times New Roman"/>
          <w:noProof/>
          <w:sz w:val="24"/>
          <w:szCs w:val="24"/>
        </w:rPr>
      </w:pPr>
      <w:r>
        <w:rPr>
          <w:rFonts w:ascii="Times New Roman" w:hAnsi="Times New Roman"/>
          <w:noProof/>
          <w:sz w:val="24"/>
        </w:rPr>
        <w:t xml:space="preserve">Tarptautinė buhalterių federacija (IFAC) ir toliau skyrė didžiausią įnašą, tačiau, atsižvelgiant į Stebėsenos grupės rekomendacijas sumažinti audito profesijos priklausomybę nuo audito standartų nustatymo sistemos, IFAC įnašas nuolat mažėjo (nuo 1,4 mln. EUR (arba 63,56 proc.) 2022 m. iki 950 000 EUR (arba 41,37 proc.) 2023 m. ir iki 650 000 EUR (arba 26,16 proc.) 2024 m. </w:t>
      </w:r>
      <w:bookmarkStart w:id="8" w:name="_Hlk169779954"/>
      <w:bookmarkEnd w:id="6"/>
      <w:r>
        <w:rPr>
          <w:rFonts w:ascii="Times New Roman" w:hAnsi="Times New Roman"/>
          <w:noProof/>
          <w:sz w:val="24"/>
        </w:rPr>
        <w:t>Nepaisant nuolatinių pastangų pritraukti rėmėjų, kurie skirtų įnašus vietoj IFAC, 2024 m. PIOB trūko finansavimo. Pasaulinės viešosios politikos komitetas (GPPC), atstovaujantis šešiems didžiausiems tarptautiniams apskaitos tinklams, šią spragą užpildė skirdamas vienkartinę 500 000 EUR įmoką.</w:t>
      </w:r>
    </w:p>
    <w:p w14:paraId="4D725FCD" w14:textId="661448C0" w:rsidR="0021001F" w:rsidRPr="005A46D9" w:rsidRDefault="00CB7E03" w:rsidP="00AB11D4">
      <w:pPr>
        <w:spacing w:before="120" w:after="120"/>
        <w:jc w:val="both"/>
        <w:rPr>
          <w:rFonts w:ascii="Times New Roman" w:hAnsi="Times New Roman" w:cs="Times New Roman"/>
          <w:noProof/>
          <w:sz w:val="24"/>
          <w:szCs w:val="24"/>
        </w:rPr>
      </w:pPr>
      <w:r>
        <w:rPr>
          <w:rFonts w:ascii="Times New Roman" w:hAnsi="Times New Roman"/>
          <w:noProof/>
          <w:sz w:val="24"/>
        </w:rPr>
        <w:t xml:space="preserve">2025 m. yra paskutiniai metai, kuriais IFAC skirs įnašą (500 000 EUR). Jei nebus rasta kitų rėmėjų, PIOB vėl trūks finansavimo. Todėl Stebėsenos grupė ir PIOB turi skubiai išspręsti </w:t>
      </w:r>
      <w:bookmarkStart w:id="9" w:name="_Hlk169789406"/>
      <w:bookmarkEnd w:id="7"/>
      <w:r>
        <w:rPr>
          <w:rFonts w:ascii="Times New Roman" w:hAnsi="Times New Roman"/>
          <w:noProof/>
          <w:sz w:val="24"/>
        </w:rPr>
        <w:t>struktūrinio finansavimo trūkumo problemą ir užtikrinti ilgalaikį PIOB pareigų vykdyti priežiūrą ir skirti narius, kurios yra itin svarbios tarptautinės standartų nustatymo sistemos kokybei ir nepriklausomumui, tvarumą.</w:t>
      </w:r>
    </w:p>
    <w:bookmarkEnd w:id="8"/>
    <w:bookmarkEnd w:id="9"/>
    <w:p w14:paraId="7B4F1AA1" w14:textId="46A2D6E4" w:rsidR="005C5409" w:rsidRPr="005A46D9" w:rsidRDefault="005C5409" w:rsidP="005C5409">
      <w:pPr>
        <w:pStyle w:val="ManualHeading1"/>
        <w:rPr>
          <w:rFonts w:eastAsia="Calibri"/>
          <w:noProof/>
        </w:rPr>
      </w:pPr>
      <w:r>
        <w:rPr>
          <w:noProof/>
        </w:rPr>
        <w:t>5.</w:t>
      </w:r>
      <w:r>
        <w:rPr>
          <w:noProof/>
        </w:rPr>
        <w:tab/>
        <w:t>Išvados</w:t>
      </w:r>
    </w:p>
    <w:p w14:paraId="789254E9" w14:textId="2D94776B" w:rsidR="000D05BC" w:rsidRPr="005A46D9" w:rsidRDefault="000D05BC" w:rsidP="00A74961">
      <w:pPr>
        <w:spacing w:before="120" w:after="120"/>
        <w:contextualSpacing/>
        <w:jc w:val="both"/>
        <w:rPr>
          <w:noProof/>
        </w:rPr>
      </w:pPr>
      <w:r>
        <w:rPr>
          <w:rFonts w:ascii="Times New Roman" w:hAnsi="Times New Roman"/>
          <w:noProof/>
          <w:sz w:val="24"/>
        </w:rPr>
        <w:t>ES jau daug metų finansiškai remia TFAS fondą, EFRAG ir PIOB. Nuolatinė parama šioms organizacijoms yra būtina, nes įgalina jas vykdyti atitinkamas savo užduotis viešojo intereso labui ir kartu prisideda prie aukštos kokybės standartų, kuriais užtikrinamas veiksmingas ES vidaus rinkos veikimas, rengimo.</w:t>
      </w:r>
    </w:p>
    <w:sectPr w:rsidR="000D05BC" w:rsidRPr="005A46D9" w:rsidSect="00387FF4">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ACF27" w14:textId="77777777" w:rsidR="006870D1" w:rsidRPr="005A46D9" w:rsidRDefault="006870D1" w:rsidP="00387FF4">
      <w:pPr>
        <w:spacing w:after="0" w:line="240" w:lineRule="auto"/>
      </w:pPr>
      <w:r>
        <w:separator/>
      </w:r>
    </w:p>
  </w:endnote>
  <w:endnote w:type="continuationSeparator" w:id="0">
    <w:p w14:paraId="50648E9F" w14:textId="77777777" w:rsidR="006870D1" w:rsidRPr="005A46D9" w:rsidRDefault="006870D1" w:rsidP="0038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662A9" w14:textId="02B24EBE" w:rsidR="00DC55EB" w:rsidRPr="00DC55EB" w:rsidRDefault="00DC55EB" w:rsidP="00DC55EB">
    <w:pPr>
      <w:pStyle w:val="FooterCoverPage"/>
      <w:rPr>
        <w:rFonts w:ascii="Arial" w:hAnsi="Arial" w:cs="Arial"/>
        <w:b/>
        <w:sz w:val="48"/>
      </w:rPr>
    </w:pPr>
    <w:r w:rsidRPr="00DC55EB">
      <w:rPr>
        <w:rFonts w:ascii="Arial" w:hAnsi="Arial" w:cs="Arial"/>
        <w:b/>
        <w:sz w:val="48"/>
      </w:rPr>
      <w:t>LT</w:t>
    </w:r>
    <w:r w:rsidRPr="00DC55EB">
      <w:rPr>
        <w:rFonts w:ascii="Arial" w:hAnsi="Arial" w:cs="Arial"/>
        <w:b/>
        <w:sz w:val="48"/>
      </w:rPr>
      <w:tab/>
    </w:r>
    <w:r w:rsidRPr="00DC55EB">
      <w:rPr>
        <w:rFonts w:ascii="Arial" w:hAnsi="Arial" w:cs="Arial"/>
        <w:b/>
        <w:sz w:val="48"/>
      </w:rPr>
      <w:tab/>
    </w:r>
    <w:r w:rsidRPr="00DC55EB">
      <w:tab/>
    </w:r>
    <w:r w:rsidRPr="00DC55EB">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7D50A" w14:textId="4EC839FC" w:rsidR="00DC55EB" w:rsidRPr="00DC55EB" w:rsidRDefault="00DC55EB" w:rsidP="00DC55EB">
    <w:pPr>
      <w:pStyle w:val="FooterCoverPage"/>
      <w:rPr>
        <w:rFonts w:ascii="Arial" w:hAnsi="Arial" w:cs="Arial"/>
        <w:b/>
        <w:sz w:val="48"/>
      </w:rPr>
    </w:pPr>
    <w:r w:rsidRPr="00DC55EB">
      <w:rPr>
        <w:rFonts w:ascii="Arial" w:hAnsi="Arial" w:cs="Arial"/>
        <w:b/>
        <w:sz w:val="48"/>
      </w:rPr>
      <w:t>LT</w:t>
    </w:r>
    <w:r w:rsidRPr="00DC55EB">
      <w:rPr>
        <w:rFonts w:ascii="Arial" w:hAnsi="Arial" w:cs="Arial"/>
        <w:b/>
        <w:sz w:val="48"/>
      </w:rPr>
      <w:tab/>
    </w:r>
    <w:r w:rsidRPr="00DC55EB">
      <w:rPr>
        <w:rFonts w:ascii="Arial" w:hAnsi="Arial" w:cs="Arial"/>
        <w:b/>
        <w:sz w:val="48"/>
      </w:rPr>
      <w:tab/>
    </w:r>
    <w:r w:rsidRPr="00DC55EB">
      <w:tab/>
    </w:r>
    <w:r w:rsidRPr="00DC55EB">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A719F" w14:textId="77777777" w:rsidR="00DC55EB" w:rsidRPr="00DC55EB" w:rsidRDefault="00DC55EB" w:rsidP="00DC55E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F0241" w14:textId="77777777" w:rsidR="00387FF4" w:rsidRPr="005A46D9" w:rsidRDefault="00387F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770512"/>
      <w:docPartObj>
        <w:docPartGallery w:val="Page Numbers (Bottom of Page)"/>
        <w:docPartUnique/>
      </w:docPartObj>
    </w:sdtPr>
    <w:sdtEndPr/>
    <w:sdtContent>
      <w:p w14:paraId="3E2E7FF5" w14:textId="3546CAC1" w:rsidR="00A44990" w:rsidRPr="005A46D9" w:rsidRDefault="00A44990">
        <w:pPr>
          <w:pStyle w:val="Footer"/>
          <w:jc w:val="right"/>
        </w:pPr>
        <w:r>
          <w:fldChar w:fldCharType="begin"/>
        </w:r>
        <w:r>
          <w:instrText xml:space="preserve"> PAGE   \* MERGEFORMAT </w:instrText>
        </w:r>
        <w:r>
          <w:fldChar w:fldCharType="separate"/>
        </w:r>
        <w:r w:rsidR="00DC55EB">
          <w:rPr>
            <w:noProof/>
          </w:rPr>
          <w:t>1</w:t>
        </w:r>
        <w:r>
          <w:fldChar w:fldCharType="end"/>
        </w:r>
      </w:p>
    </w:sdtContent>
  </w:sdt>
  <w:p w14:paraId="2F6D35B0" w14:textId="77777777" w:rsidR="00387FF4" w:rsidRPr="005A46D9" w:rsidRDefault="00387F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98E83" w14:textId="77777777" w:rsidR="00387FF4" w:rsidRPr="005A46D9" w:rsidRDefault="00387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006FD" w14:textId="77777777" w:rsidR="006870D1" w:rsidRPr="005A46D9" w:rsidRDefault="006870D1" w:rsidP="00387FF4">
      <w:pPr>
        <w:spacing w:after="0" w:line="240" w:lineRule="auto"/>
      </w:pPr>
      <w:r>
        <w:separator/>
      </w:r>
    </w:p>
  </w:footnote>
  <w:footnote w:type="continuationSeparator" w:id="0">
    <w:p w14:paraId="0450BEEC" w14:textId="77777777" w:rsidR="006870D1" w:rsidRPr="005A46D9" w:rsidRDefault="006870D1" w:rsidP="00387FF4">
      <w:pPr>
        <w:spacing w:after="0" w:line="240" w:lineRule="auto"/>
      </w:pPr>
      <w:r>
        <w:continuationSeparator/>
      </w:r>
    </w:p>
  </w:footnote>
  <w:footnote w:id="1">
    <w:p w14:paraId="179A6316" w14:textId="5A3E2256" w:rsidR="005C5409" w:rsidRPr="005A46D9" w:rsidRDefault="005C5409" w:rsidP="005C5409">
      <w:pPr>
        <w:pStyle w:val="footnotetext1"/>
        <w:ind w:left="142" w:hanging="142"/>
        <w:jc w:val="both"/>
        <w:rPr>
          <w:rFonts w:ascii="Times New Roman" w:hAnsi="Times New Roman"/>
          <w:sz w:val="18"/>
          <w:szCs w:val="18"/>
        </w:rPr>
      </w:pPr>
      <w:r>
        <w:rPr>
          <w:rStyle w:val="FootnoteReference"/>
          <w:rFonts w:ascii="Times New Roman" w:hAnsi="Times New Roman"/>
          <w:sz w:val="18"/>
          <w:lang w:val="en-GB"/>
        </w:rPr>
        <w:footnoteRef/>
      </w:r>
      <w:r>
        <w:rPr>
          <w:rFonts w:ascii="Times New Roman" w:hAnsi="Times New Roman"/>
          <w:sz w:val="18"/>
        </w:rPr>
        <w:t xml:space="preserve"> Reglamentas (ES) 2021/690, kuriuo nustatoma vidaus rinkos ir įmonių konkurencingumo programa, (OL L 153, 2021 5 3, p. 1, ELI: http://data.europa.eu/eli/reg/2021/690/oj).</w:t>
      </w:r>
    </w:p>
  </w:footnote>
  <w:footnote w:id="2">
    <w:p w14:paraId="53643AEC" w14:textId="645D349D" w:rsidR="00C435E8" w:rsidRPr="005A46D9" w:rsidRDefault="00C435E8" w:rsidP="008E1AF0">
      <w:pPr>
        <w:pStyle w:val="FootnoteText"/>
        <w:jc w:val="both"/>
      </w:pPr>
      <w:r>
        <w:rPr>
          <w:rStyle w:val="FootnoteReference"/>
        </w:rPr>
        <w:footnoteRef/>
      </w:r>
      <w:r>
        <w:t xml:space="preserve"> </w:t>
      </w:r>
      <w:r>
        <w:rPr>
          <w:rFonts w:ascii="Times New Roman" w:hAnsi="Times New Roman"/>
          <w:sz w:val="18"/>
        </w:rPr>
        <w:t>Komisijos įgyvendinimo sprendimo C(2024)5420, kuriuo dėl tam tikrų veiksmų pagal Bendrosios rinkos programą įgyvendinimo iš dalies keičiamas Įgyvendinimo sprendimas C(2023)8926, I priedas.</w:t>
      </w:r>
    </w:p>
  </w:footnote>
  <w:footnote w:id="3">
    <w:p w14:paraId="30424954" w14:textId="422F5CC6" w:rsidR="005C5409" w:rsidRPr="005A46D9" w:rsidRDefault="005C5409" w:rsidP="005C5409">
      <w:pPr>
        <w:pStyle w:val="FootnoteText"/>
      </w:pPr>
      <w:r>
        <w:rPr>
          <w:rStyle w:val="FootnoteReference"/>
          <w:rFonts w:ascii="Times New Roman" w:hAnsi="Times New Roman"/>
          <w:sz w:val="18"/>
        </w:rPr>
        <w:footnoteRef/>
      </w:r>
      <w:r>
        <w:t xml:space="preserve"> </w:t>
      </w:r>
      <w:r>
        <w:rPr>
          <w:rFonts w:ascii="Times New Roman" w:hAnsi="Times New Roman"/>
          <w:sz w:val="18"/>
        </w:rPr>
        <w:t>Europos Parlamento ir Tarybos reglamentas (EB) Nr. 1606/2002 dėl tarptautinių apskaitos standartų taikymo (OL L 243, 2002 9 11, p. 1, ELI: </w:t>
      </w:r>
      <w:hyperlink r:id="rId1" w:tooltip="Prieiga prie šio dokumento suteikiama per ELI URI." w:history="1">
        <w:r>
          <w:rPr>
            <w:rStyle w:val="Hyperlink"/>
            <w:rFonts w:ascii="Times New Roman" w:hAnsi="Times New Roman"/>
            <w:sz w:val="18"/>
          </w:rPr>
          <w:t>http://data.europa.eu/eli/reg/2002/1606/oj</w:t>
        </w:r>
      </w:hyperlink>
      <w:r>
        <w:rPr>
          <w:rFonts w:ascii="Times New Roman" w:hAnsi="Times New Roman"/>
          <w:sz w:val="18"/>
        </w:rPr>
        <w:t>)</w:t>
      </w:r>
      <w:r>
        <w:t>.</w:t>
      </w:r>
    </w:p>
  </w:footnote>
  <w:footnote w:id="4">
    <w:p w14:paraId="01537EFD" w14:textId="65CCA98D" w:rsidR="005C5409" w:rsidRPr="005A46D9" w:rsidRDefault="005C5409" w:rsidP="005C5409">
      <w:pPr>
        <w:pStyle w:val="FootnoteText"/>
        <w:ind w:left="142" w:hanging="142"/>
      </w:pPr>
      <w:r>
        <w:rPr>
          <w:rStyle w:val="FootnoteReference"/>
        </w:rPr>
        <w:footnoteRef/>
      </w:r>
      <w:r>
        <w:t xml:space="preserve"> </w:t>
      </w:r>
      <w:r>
        <w:rPr>
          <w:rFonts w:ascii="Times New Roman" w:hAnsi="Times New Roman"/>
          <w:sz w:val="18"/>
        </w:rPr>
        <w:t>TFAS taksonomija naudojama kaip vieno elektroninio ataskaitų teikimo formato, nustatyto Komisijos deleguotajame reglamente (ES) 2019/815, duomenų šaltinis.</w:t>
      </w:r>
    </w:p>
  </w:footnote>
  <w:footnote w:id="5">
    <w:p w14:paraId="31DC0D91" w14:textId="77777777" w:rsidR="005C5409" w:rsidRPr="005A46D9" w:rsidRDefault="005C5409" w:rsidP="005C5409">
      <w:pPr>
        <w:pStyle w:val="FootnoteText"/>
        <w:rPr>
          <w:rFonts w:ascii="Times New Roman" w:hAnsi="Times New Roman"/>
          <w:sz w:val="18"/>
          <w:szCs w:val="18"/>
        </w:rPr>
      </w:pPr>
      <w:r>
        <w:rPr>
          <w:rStyle w:val="FootnoteReference"/>
          <w:rFonts w:ascii="Times New Roman" w:hAnsi="Times New Roman"/>
          <w:sz w:val="18"/>
        </w:rPr>
        <w:footnoteRef/>
      </w:r>
      <w:r>
        <w:t xml:space="preserve"> </w:t>
      </w:r>
      <w:r>
        <w:rPr>
          <w:rFonts w:ascii="Times New Roman" w:hAnsi="Times New Roman"/>
          <w:sz w:val="18"/>
        </w:rPr>
        <w:t xml:space="preserve">TFAS fondo darbo planas – </w:t>
      </w:r>
      <w:hyperlink r:id="rId2" w:history="1">
        <w:r>
          <w:rPr>
            <w:rStyle w:val="Hyperlink"/>
            <w:rFonts w:ascii="Times New Roman" w:hAnsi="Times New Roman"/>
            <w:sz w:val="18"/>
          </w:rPr>
          <w:t>https://www.ifrs.org/projects/work-plan/</w:t>
        </w:r>
      </w:hyperlink>
      <w:r>
        <w:rPr>
          <w:rFonts w:ascii="Times New Roman" w:hAnsi="Times New Roman"/>
          <w:sz w:val="18"/>
        </w:rPr>
        <w:t xml:space="preserve">; įgyvendinti projektai – </w:t>
      </w:r>
      <w:hyperlink r:id="rId3" w:history="1">
        <w:r>
          <w:rPr>
            <w:rStyle w:val="Hyperlink"/>
            <w:rFonts w:ascii="Times New Roman" w:hAnsi="Times New Roman"/>
            <w:sz w:val="18"/>
          </w:rPr>
          <w:t>https://www.ifrs.org/projects/completed-projects/</w:t>
        </w:r>
      </w:hyperlink>
      <w:r>
        <w:rPr>
          <w:rFonts w:ascii="Times New Roman" w:hAnsi="Times New Roman"/>
          <w:sz w:val="18"/>
        </w:rPr>
        <w:t>.</w:t>
      </w:r>
    </w:p>
  </w:footnote>
  <w:footnote w:id="6">
    <w:p w14:paraId="025003D4" w14:textId="005101B9" w:rsidR="00794AE3" w:rsidRPr="005A46D9" w:rsidRDefault="00794AE3" w:rsidP="00794AE3">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18"/>
        </w:rPr>
        <w:t>2022 m. gruodžio 14 d. Europos Parlamento ir Tarybos direktyva (ES) 2022/2464, kuria iš dalies keičiamas Reglamentas (ES) Nr. 537/2014, Direktyva 2004/109/EB, Direktyva 2006/43/EB ir Direktyva 2013/34/ES dėl įmonių informacijos apie tvarumą teikimo, (OL L 322, 2022 12 16, p. 15, ELI: http://data.europa.eu/eli/dir/2022/2464/oj).</w:t>
      </w:r>
    </w:p>
  </w:footnote>
  <w:footnote w:id="7">
    <w:p w14:paraId="3358E511" w14:textId="28CB04A5" w:rsidR="00FA237D" w:rsidRPr="005A46D9" w:rsidRDefault="00FA237D">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rPr>
        <w:t xml:space="preserve"> 2025 m. vasario 26 d. Komisija priėmė dokumentų rinkinį „Omnibus I“, į kurį įtraukti du pasiūlymai iš dalies pakeisti, be kita ko, ĮITTD (COM(2025) 80 ir COM(2025) 81), </w:t>
      </w:r>
      <w:hyperlink r:id="rId4" w:history="1">
        <w:r>
          <w:rPr>
            <w:rFonts w:ascii="Times New Roman" w:hAnsi="Times New Roman"/>
            <w:color w:val="0000FF"/>
            <w:sz w:val="18"/>
            <w:u w:val="single"/>
          </w:rPr>
          <w:t>„Omnibus I“, Europos Komisija</w:t>
        </w:r>
      </w:hyperlink>
      <w:r>
        <w:t>.</w:t>
      </w:r>
    </w:p>
    <w:p w14:paraId="732872FE" w14:textId="4CB29300" w:rsidR="00FA237D" w:rsidRPr="005A46D9" w:rsidRDefault="005A46D9">
      <w:pPr>
        <w:pStyle w:val="FootnoteText"/>
      </w:pPr>
      <w:r>
        <w:t>.</w:t>
      </w:r>
    </w:p>
  </w:footnote>
  <w:footnote w:id="8">
    <w:p w14:paraId="1D2AB21B" w14:textId="2920757B" w:rsidR="003226D6" w:rsidRPr="005A46D9" w:rsidRDefault="003226D6">
      <w:pPr>
        <w:pStyle w:val="FootnoteText"/>
      </w:pPr>
      <w:r>
        <w:rPr>
          <w:rStyle w:val="FootnoteReference"/>
        </w:rPr>
        <w:footnoteRef/>
      </w:r>
      <w:r>
        <w:t xml:space="preserve"> </w:t>
      </w:r>
      <w:hyperlink r:id="rId5" w:history="1">
        <w:r>
          <w:rPr>
            <w:rFonts w:ascii="Times New Roman" w:hAnsi="Times New Roman"/>
            <w:color w:val="0000FF"/>
            <w:sz w:val="18"/>
            <w:u w:val="single"/>
          </w:rPr>
          <w:t>Stebėsenos grupė (iosco.org).</w:t>
        </w:r>
      </w:hyperlink>
    </w:p>
  </w:footnote>
  <w:footnote w:id="9">
    <w:p w14:paraId="6A98CAB4" w14:textId="70735B88" w:rsidR="00506CA9" w:rsidRPr="005A46D9" w:rsidRDefault="00506CA9">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rPr>
        <w:t xml:space="preserve"> 2025 m. liepos 14 d. PIOB paskelbė 20-ąją (2024 m.) metinę viešą ataskaitą savo interneto svetainėje https://ipiob.org/.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73D0E" w14:textId="77777777" w:rsidR="00DC55EB" w:rsidRPr="00DC55EB" w:rsidRDefault="00DC55EB" w:rsidP="00DC55EB">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5A688" w14:textId="77777777" w:rsidR="00DC55EB" w:rsidRPr="00DC55EB" w:rsidRDefault="00DC55EB" w:rsidP="00DC55E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0284A" w14:textId="77777777" w:rsidR="00DC55EB" w:rsidRPr="00DC55EB" w:rsidRDefault="00DC55EB" w:rsidP="00DC55E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3F439" w14:textId="77777777" w:rsidR="00387FF4" w:rsidRPr="005A46D9" w:rsidRDefault="00387F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A5B84" w14:textId="77777777" w:rsidR="00387FF4" w:rsidRPr="005A46D9" w:rsidRDefault="00387F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472A" w14:textId="77777777" w:rsidR="00387FF4" w:rsidRPr="005A46D9" w:rsidRDefault="00387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32DD"/>
    <w:multiLevelType w:val="multilevel"/>
    <w:tmpl w:val="ED3C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43CB2"/>
    <w:multiLevelType w:val="multilevel"/>
    <w:tmpl w:val="850C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1BD4143D-EE43-4F67-93E4-27B9E0AA6142"/>
    <w:docVar w:name="LW_COVERPAGE_TYPE" w:val="1"/>
    <w:docVar w:name="LW_CROSSREFERENCE" w:val="&lt;UNUSED&gt;"/>
    <w:docVar w:name="LW_DocType" w:val="NORMAL"/>
    <w:docVar w:name="LW_EMISSION" w:val="2025 12 15"/>
    <w:docVar w:name="LW_EMISSION_ISODATE" w:val="2025-12-15"/>
    <w:docVar w:name="LW_EMISSION_LOCATION" w:val="BRX"/>
    <w:docVar w:name="LW_EMISSION_PREFIX" w:val="Briuselis, "/>
    <w:docVar w:name="LW_EMISSION_SUFFIX" w:val=" "/>
    <w:docVar w:name="LW_ID_DOCTYPE_NONLW" w:val="CP-006"/>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25) 75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u279?l TFAS fondo, EFRAG ir PIOB veiklos 2024 m."/>
    <w:docVar w:name="LW_TYPE.DOC.CP" w:val="KOMISIJOS ATASKAITA EUROPOS PARLAMENTUI IR TARYBAI"/>
    <w:docVar w:name="LwApiVersions" w:val="LW4CoDe 1.24.5.0; LW 9.2, Build 20251112"/>
  </w:docVars>
  <w:rsids>
    <w:rsidRoot w:val="00387FF4"/>
    <w:rsid w:val="00005C4A"/>
    <w:rsid w:val="00005E93"/>
    <w:rsid w:val="00010453"/>
    <w:rsid w:val="0001487E"/>
    <w:rsid w:val="0001497F"/>
    <w:rsid w:val="00015FC8"/>
    <w:rsid w:val="00023756"/>
    <w:rsid w:val="00026AA5"/>
    <w:rsid w:val="00030570"/>
    <w:rsid w:val="000437C2"/>
    <w:rsid w:val="0004681C"/>
    <w:rsid w:val="000538F0"/>
    <w:rsid w:val="00064F0F"/>
    <w:rsid w:val="00071D45"/>
    <w:rsid w:val="00071DE6"/>
    <w:rsid w:val="000732DA"/>
    <w:rsid w:val="00075550"/>
    <w:rsid w:val="00081273"/>
    <w:rsid w:val="00091706"/>
    <w:rsid w:val="000A0BF9"/>
    <w:rsid w:val="000A1565"/>
    <w:rsid w:val="000A35BD"/>
    <w:rsid w:val="000B26A1"/>
    <w:rsid w:val="000C16EB"/>
    <w:rsid w:val="000D05BC"/>
    <w:rsid w:val="000D0B8B"/>
    <w:rsid w:val="000D1967"/>
    <w:rsid w:val="000D278B"/>
    <w:rsid w:val="000D3872"/>
    <w:rsid w:val="000D5330"/>
    <w:rsid w:val="000D5CD6"/>
    <w:rsid w:val="000E7FD4"/>
    <w:rsid w:val="000F0C74"/>
    <w:rsid w:val="000F2714"/>
    <w:rsid w:val="000F2EAA"/>
    <w:rsid w:val="000F320C"/>
    <w:rsid w:val="000F655B"/>
    <w:rsid w:val="00107559"/>
    <w:rsid w:val="00110F46"/>
    <w:rsid w:val="0011219B"/>
    <w:rsid w:val="00113402"/>
    <w:rsid w:val="0011618A"/>
    <w:rsid w:val="001213A8"/>
    <w:rsid w:val="001233BD"/>
    <w:rsid w:val="001331DA"/>
    <w:rsid w:val="00136821"/>
    <w:rsid w:val="00136EA6"/>
    <w:rsid w:val="001410AF"/>
    <w:rsid w:val="0014170F"/>
    <w:rsid w:val="00143EBD"/>
    <w:rsid w:val="00152C00"/>
    <w:rsid w:val="001550C7"/>
    <w:rsid w:val="0016408B"/>
    <w:rsid w:val="001721E8"/>
    <w:rsid w:val="001809C4"/>
    <w:rsid w:val="0018111E"/>
    <w:rsid w:val="00182071"/>
    <w:rsid w:val="00185C46"/>
    <w:rsid w:val="0018735E"/>
    <w:rsid w:val="00191712"/>
    <w:rsid w:val="001971A4"/>
    <w:rsid w:val="001A53B1"/>
    <w:rsid w:val="001A7A2D"/>
    <w:rsid w:val="001B6278"/>
    <w:rsid w:val="001C185A"/>
    <w:rsid w:val="001C3FFA"/>
    <w:rsid w:val="001C520E"/>
    <w:rsid w:val="001C673D"/>
    <w:rsid w:val="001C7770"/>
    <w:rsid w:val="001D0B10"/>
    <w:rsid w:val="001D167C"/>
    <w:rsid w:val="001D4A9F"/>
    <w:rsid w:val="001D4FAA"/>
    <w:rsid w:val="001D768B"/>
    <w:rsid w:val="001E2895"/>
    <w:rsid w:val="001F03C5"/>
    <w:rsid w:val="001F7EF5"/>
    <w:rsid w:val="002002B0"/>
    <w:rsid w:val="00200CA7"/>
    <w:rsid w:val="002039F4"/>
    <w:rsid w:val="0021001F"/>
    <w:rsid w:val="002109B9"/>
    <w:rsid w:val="00212562"/>
    <w:rsid w:val="00214176"/>
    <w:rsid w:val="00220DA3"/>
    <w:rsid w:val="00222D55"/>
    <w:rsid w:val="00226AA8"/>
    <w:rsid w:val="00234B99"/>
    <w:rsid w:val="00235536"/>
    <w:rsid w:val="00235EB8"/>
    <w:rsid w:val="002364D4"/>
    <w:rsid w:val="0025298B"/>
    <w:rsid w:val="002532B6"/>
    <w:rsid w:val="00254B7C"/>
    <w:rsid w:val="00255A60"/>
    <w:rsid w:val="00256BD3"/>
    <w:rsid w:val="002633FE"/>
    <w:rsid w:val="0028360C"/>
    <w:rsid w:val="00283D1F"/>
    <w:rsid w:val="00285525"/>
    <w:rsid w:val="0028561C"/>
    <w:rsid w:val="00285E05"/>
    <w:rsid w:val="00294106"/>
    <w:rsid w:val="00294685"/>
    <w:rsid w:val="00295408"/>
    <w:rsid w:val="00295B4A"/>
    <w:rsid w:val="002A13CB"/>
    <w:rsid w:val="002A34E7"/>
    <w:rsid w:val="002A3E0F"/>
    <w:rsid w:val="002A7D89"/>
    <w:rsid w:val="002B29FF"/>
    <w:rsid w:val="002B2CC7"/>
    <w:rsid w:val="002B641B"/>
    <w:rsid w:val="002B6D0F"/>
    <w:rsid w:val="002B7AD3"/>
    <w:rsid w:val="002C1226"/>
    <w:rsid w:val="002C219D"/>
    <w:rsid w:val="002C491C"/>
    <w:rsid w:val="002D516D"/>
    <w:rsid w:val="002E5AC4"/>
    <w:rsid w:val="002E6FC3"/>
    <w:rsid w:val="002F4CDF"/>
    <w:rsid w:val="002F4F3E"/>
    <w:rsid w:val="002F7AB8"/>
    <w:rsid w:val="00306B1C"/>
    <w:rsid w:val="0031040E"/>
    <w:rsid w:val="00313B89"/>
    <w:rsid w:val="0031520C"/>
    <w:rsid w:val="003166E3"/>
    <w:rsid w:val="00317A8D"/>
    <w:rsid w:val="003226D6"/>
    <w:rsid w:val="0032727F"/>
    <w:rsid w:val="003274AE"/>
    <w:rsid w:val="00330B74"/>
    <w:rsid w:val="003413A9"/>
    <w:rsid w:val="00343E1C"/>
    <w:rsid w:val="00344220"/>
    <w:rsid w:val="00345A21"/>
    <w:rsid w:val="00354FA3"/>
    <w:rsid w:val="003565FE"/>
    <w:rsid w:val="00363784"/>
    <w:rsid w:val="00370E61"/>
    <w:rsid w:val="0037360D"/>
    <w:rsid w:val="00375AE7"/>
    <w:rsid w:val="00377029"/>
    <w:rsid w:val="003836DF"/>
    <w:rsid w:val="00387FF4"/>
    <w:rsid w:val="0039170E"/>
    <w:rsid w:val="00393F27"/>
    <w:rsid w:val="003A0504"/>
    <w:rsid w:val="003A1B2C"/>
    <w:rsid w:val="003A41EA"/>
    <w:rsid w:val="003B31AF"/>
    <w:rsid w:val="003B3E83"/>
    <w:rsid w:val="003C021C"/>
    <w:rsid w:val="003C1A0E"/>
    <w:rsid w:val="003C21DD"/>
    <w:rsid w:val="003D10CF"/>
    <w:rsid w:val="003D46CB"/>
    <w:rsid w:val="003D6A7A"/>
    <w:rsid w:val="003E0891"/>
    <w:rsid w:val="003E365E"/>
    <w:rsid w:val="003E37FD"/>
    <w:rsid w:val="003F040A"/>
    <w:rsid w:val="003F64E3"/>
    <w:rsid w:val="00400C72"/>
    <w:rsid w:val="00411DF1"/>
    <w:rsid w:val="004138BB"/>
    <w:rsid w:val="00415D5E"/>
    <w:rsid w:val="00416513"/>
    <w:rsid w:val="00416B93"/>
    <w:rsid w:val="00417862"/>
    <w:rsid w:val="00422085"/>
    <w:rsid w:val="004272BF"/>
    <w:rsid w:val="00427407"/>
    <w:rsid w:val="00432C77"/>
    <w:rsid w:val="004366FE"/>
    <w:rsid w:val="00441EFB"/>
    <w:rsid w:val="00442970"/>
    <w:rsid w:val="004502AF"/>
    <w:rsid w:val="00454049"/>
    <w:rsid w:val="004540BD"/>
    <w:rsid w:val="0046089D"/>
    <w:rsid w:val="00460E33"/>
    <w:rsid w:val="0046175A"/>
    <w:rsid w:val="0046533F"/>
    <w:rsid w:val="0046544D"/>
    <w:rsid w:val="00466452"/>
    <w:rsid w:val="00467B56"/>
    <w:rsid w:val="004762EF"/>
    <w:rsid w:val="00477CE0"/>
    <w:rsid w:val="00480EFE"/>
    <w:rsid w:val="00481914"/>
    <w:rsid w:val="004845AC"/>
    <w:rsid w:val="00484AFB"/>
    <w:rsid w:val="00484C0A"/>
    <w:rsid w:val="00487773"/>
    <w:rsid w:val="00493D66"/>
    <w:rsid w:val="004A00D1"/>
    <w:rsid w:val="004A0129"/>
    <w:rsid w:val="004A1231"/>
    <w:rsid w:val="004A55FC"/>
    <w:rsid w:val="004B19B1"/>
    <w:rsid w:val="004B295A"/>
    <w:rsid w:val="004B50F0"/>
    <w:rsid w:val="004B7933"/>
    <w:rsid w:val="004C0D76"/>
    <w:rsid w:val="004C538E"/>
    <w:rsid w:val="004D1184"/>
    <w:rsid w:val="004E52CD"/>
    <w:rsid w:val="004E6612"/>
    <w:rsid w:val="004F1CA0"/>
    <w:rsid w:val="004F2E06"/>
    <w:rsid w:val="004F3947"/>
    <w:rsid w:val="004F45AA"/>
    <w:rsid w:val="004F6A59"/>
    <w:rsid w:val="00502334"/>
    <w:rsid w:val="00505A2D"/>
    <w:rsid w:val="0050636F"/>
    <w:rsid w:val="00506CA9"/>
    <w:rsid w:val="0051378D"/>
    <w:rsid w:val="00515576"/>
    <w:rsid w:val="00515FF3"/>
    <w:rsid w:val="00516A1A"/>
    <w:rsid w:val="00520825"/>
    <w:rsid w:val="0053511A"/>
    <w:rsid w:val="005353B1"/>
    <w:rsid w:val="00535E2B"/>
    <w:rsid w:val="00546286"/>
    <w:rsid w:val="00546824"/>
    <w:rsid w:val="00546908"/>
    <w:rsid w:val="005526A8"/>
    <w:rsid w:val="00552975"/>
    <w:rsid w:val="00554957"/>
    <w:rsid w:val="00557142"/>
    <w:rsid w:val="005619C6"/>
    <w:rsid w:val="00564289"/>
    <w:rsid w:val="00565798"/>
    <w:rsid w:val="0056718A"/>
    <w:rsid w:val="0057631C"/>
    <w:rsid w:val="005779DB"/>
    <w:rsid w:val="00580592"/>
    <w:rsid w:val="00582854"/>
    <w:rsid w:val="00590562"/>
    <w:rsid w:val="00597101"/>
    <w:rsid w:val="005976DC"/>
    <w:rsid w:val="005A0504"/>
    <w:rsid w:val="005A32BA"/>
    <w:rsid w:val="005A46D9"/>
    <w:rsid w:val="005A5E1C"/>
    <w:rsid w:val="005B027A"/>
    <w:rsid w:val="005B1C08"/>
    <w:rsid w:val="005B6E84"/>
    <w:rsid w:val="005C1066"/>
    <w:rsid w:val="005C35E0"/>
    <w:rsid w:val="005C5409"/>
    <w:rsid w:val="005C7E9D"/>
    <w:rsid w:val="005D14A1"/>
    <w:rsid w:val="005E1C4C"/>
    <w:rsid w:val="005E37B4"/>
    <w:rsid w:val="005E7A18"/>
    <w:rsid w:val="00600DFD"/>
    <w:rsid w:val="00605D22"/>
    <w:rsid w:val="00610252"/>
    <w:rsid w:val="0061126B"/>
    <w:rsid w:val="00611353"/>
    <w:rsid w:val="00616F2D"/>
    <w:rsid w:val="006208EE"/>
    <w:rsid w:val="0063137F"/>
    <w:rsid w:val="00632B1E"/>
    <w:rsid w:val="00632D96"/>
    <w:rsid w:val="0065591E"/>
    <w:rsid w:val="00656861"/>
    <w:rsid w:val="00657D6D"/>
    <w:rsid w:val="00660B18"/>
    <w:rsid w:val="00664C50"/>
    <w:rsid w:val="00666CA4"/>
    <w:rsid w:val="006725FE"/>
    <w:rsid w:val="00680177"/>
    <w:rsid w:val="006814E4"/>
    <w:rsid w:val="00685693"/>
    <w:rsid w:val="006864DC"/>
    <w:rsid w:val="006870D1"/>
    <w:rsid w:val="00687ACA"/>
    <w:rsid w:val="00691B14"/>
    <w:rsid w:val="006A7399"/>
    <w:rsid w:val="006B11D6"/>
    <w:rsid w:val="006B190A"/>
    <w:rsid w:val="006B5489"/>
    <w:rsid w:val="006B66B1"/>
    <w:rsid w:val="006C3138"/>
    <w:rsid w:val="006D4B75"/>
    <w:rsid w:val="006E51BB"/>
    <w:rsid w:val="006E67A2"/>
    <w:rsid w:val="006E7087"/>
    <w:rsid w:val="006F207A"/>
    <w:rsid w:val="006F3057"/>
    <w:rsid w:val="006F5708"/>
    <w:rsid w:val="0070085B"/>
    <w:rsid w:val="007016B7"/>
    <w:rsid w:val="00714F50"/>
    <w:rsid w:val="00722B98"/>
    <w:rsid w:val="00723A16"/>
    <w:rsid w:val="0072428D"/>
    <w:rsid w:val="00724B7C"/>
    <w:rsid w:val="00727987"/>
    <w:rsid w:val="007400CA"/>
    <w:rsid w:val="00740A48"/>
    <w:rsid w:val="007458FF"/>
    <w:rsid w:val="00746D1D"/>
    <w:rsid w:val="00747FF6"/>
    <w:rsid w:val="00752D49"/>
    <w:rsid w:val="00754AB6"/>
    <w:rsid w:val="007600FC"/>
    <w:rsid w:val="007636DE"/>
    <w:rsid w:val="007647AA"/>
    <w:rsid w:val="0076536D"/>
    <w:rsid w:val="00767153"/>
    <w:rsid w:val="00767C19"/>
    <w:rsid w:val="0077256A"/>
    <w:rsid w:val="00781633"/>
    <w:rsid w:val="00784859"/>
    <w:rsid w:val="00787623"/>
    <w:rsid w:val="0079169F"/>
    <w:rsid w:val="00791CDD"/>
    <w:rsid w:val="00791F47"/>
    <w:rsid w:val="00794AE3"/>
    <w:rsid w:val="0079666D"/>
    <w:rsid w:val="007A23EC"/>
    <w:rsid w:val="007B5DF2"/>
    <w:rsid w:val="007B6C77"/>
    <w:rsid w:val="007B7478"/>
    <w:rsid w:val="007C09F0"/>
    <w:rsid w:val="007C0F07"/>
    <w:rsid w:val="007C23EC"/>
    <w:rsid w:val="007C25DF"/>
    <w:rsid w:val="007C322D"/>
    <w:rsid w:val="007C469F"/>
    <w:rsid w:val="007D183B"/>
    <w:rsid w:val="007D5F76"/>
    <w:rsid w:val="007E2DA5"/>
    <w:rsid w:val="007E6F9C"/>
    <w:rsid w:val="007F06C5"/>
    <w:rsid w:val="007F2DEE"/>
    <w:rsid w:val="007F4467"/>
    <w:rsid w:val="007F5ACA"/>
    <w:rsid w:val="007F62A4"/>
    <w:rsid w:val="00801112"/>
    <w:rsid w:val="008013A5"/>
    <w:rsid w:val="00801402"/>
    <w:rsid w:val="00803C09"/>
    <w:rsid w:val="008062E0"/>
    <w:rsid w:val="00806CC4"/>
    <w:rsid w:val="00812321"/>
    <w:rsid w:val="00814FCA"/>
    <w:rsid w:val="00820135"/>
    <w:rsid w:val="008208DD"/>
    <w:rsid w:val="0082785E"/>
    <w:rsid w:val="00831828"/>
    <w:rsid w:val="00834D94"/>
    <w:rsid w:val="008368E8"/>
    <w:rsid w:val="00841EE2"/>
    <w:rsid w:val="00844FD6"/>
    <w:rsid w:val="0084719E"/>
    <w:rsid w:val="00847628"/>
    <w:rsid w:val="0085029D"/>
    <w:rsid w:val="0085172B"/>
    <w:rsid w:val="00855788"/>
    <w:rsid w:val="00863C35"/>
    <w:rsid w:val="008706B0"/>
    <w:rsid w:val="00875232"/>
    <w:rsid w:val="00881619"/>
    <w:rsid w:val="008828E2"/>
    <w:rsid w:val="00882BBE"/>
    <w:rsid w:val="0088727A"/>
    <w:rsid w:val="008927BB"/>
    <w:rsid w:val="00895A6C"/>
    <w:rsid w:val="008A061C"/>
    <w:rsid w:val="008A16A6"/>
    <w:rsid w:val="008B6680"/>
    <w:rsid w:val="008B773C"/>
    <w:rsid w:val="008C02F5"/>
    <w:rsid w:val="008C289F"/>
    <w:rsid w:val="008C49D8"/>
    <w:rsid w:val="008C72BC"/>
    <w:rsid w:val="008D4B36"/>
    <w:rsid w:val="008D65DF"/>
    <w:rsid w:val="008E1AF0"/>
    <w:rsid w:val="008E212A"/>
    <w:rsid w:val="008E418F"/>
    <w:rsid w:val="008E55DB"/>
    <w:rsid w:val="008F283E"/>
    <w:rsid w:val="008F3D8F"/>
    <w:rsid w:val="008F4355"/>
    <w:rsid w:val="0090099E"/>
    <w:rsid w:val="009012D1"/>
    <w:rsid w:val="009027B2"/>
    <w:rsid w:val="00904832"/>
    <w:rsid w:val="00910BAE"/>
    <w:rsid w:val="009319E2"/>
    <w:rsid w:val="009320AF"/>
    <w:rsid w:val="00952E00"/>
    <w:rsid w:val="009615E3"/>
    <w:rsid w:val="00962CD1"/>
    <w:rsid w:val="00964227"/>
    <w:rsid w:val="00966689"/>
    <w:rsid w:val="00971AB0"/>
    <w:rsid w:val="009726A6"/>
    <w:rsid w:val="00976EE4"/>
    <w:rsid w:val="00976F95"/>
    <w:rsid w:val="00982E87"/>
    <w:rsid w:val="009922B5"/>
    <w:rsid w:val="009A3ADC"/>
    <w:rsid w:val="009A4200"/>
    <w:rsid w:val="009A4801"/>
    <w:rsid w:val="009A6B43"/>
    <w:rsid w:val="009B0E76"/>
    <w:rsid w:val="009B10DB"/>
    <w:rsid w:val="009B3304"/>
    <w:rsid w:val="009B58C7"/>
    <w:rsid w:val="009B60F3"/>
    <w:rsid w:val="009C695E"/>
    <w:rsid w:val="009C7ACD"/>
    <w:rsid w:val="009D04CF"/>
    <w:rsid w:val="009D092E"/>
    <w:rsid w:val="009D452E"/>
    <w:rsid w:val="009E02AE"/>
    <w:rsid w:val="009E137D"/>
    <w:rsid w:val="009E48D3"/>
    <w:rsid w:val="009E50C5"/>
    <w:rsid w:val="009E617E"/>
    <w:rsid w:val="009E7A7F"/>
    <w:rsid w:val="009F3D55"/>
    <w:rsid w:val="00A00F36"/>
    <w:rsid w:val="00A06BA0"/>
    <w:rsid w:val="00A11F74"/>
    <w:rsid w:val="00A12736"/>
    <w:rsid w:val="00A16986"/>
    <w:rsid w:val="00A21293"/>
    <w:rsid w:val="00A21419"/>
    <w:rsid w:val="00A2317E"/>
    <w:rsid w:val="00A310EB"/>
    <w:rsid w:val="00A33C8C"/>
    <w:rsid w:val="00A34BBE"/>
    <w:rsid w:val="00A359B8"/>
    <w:rsid w:val="00A3668B"/>
    <w:rsid w:val="00A36FBC"/>
    <w:rsid w:val="00A3739C"/>
    <w:rsid w:val="00A42D7C"/>
    <w:rsid w:val="00A44990"/>
    <w:rsid w:val="00A4652F"/>
    <w:rsid w:val="00A47FE5"/>
    <w:rsid w:val="00A535CE"/>
    <w:rsid w:val="00A55631"/>
    <w:rsid w:val="00A61A4E"/>
    <w:rsid w:val="00A63CE3"/>
    <w:rsid w:val="00A6607C"/>
    <w:rsid w:val="00A66A34"/>
    <w:rsid w:val="00A67D66"/>
    <w:rsid w:val="00A7012F"/>
    <w:rsid w:val="00A74961"/>
    <w:rsid w:val="00A77127"/>
    <w:rsid w:val="00A87A86"/>
    <w:rsid w:val="00A903BD"/>
    <w:rsid w:val="00A947BB"/>
    <w:rsid w:val="00AA0909"/>
    <w:rsid w:val="00AA45C8"/>
    <w:rsid w:val="00AA4C23"/>
    <w:rsid w:val="00AA79D5"/>
    <w:rsid w:val="00AB0420"/>
    <w:rsid w:val="00AB11D4"/>
    <w:rsid w:val="00AC094E"/>
    <w:rsid w:val="00AC6EBF"/>
    <w:rsid w:val="00AD1F38"/>
    <w:rsid w:val="00AD38C9"/>
    <w:rsid w:val="00AD4190"/>
    <w:rsid w:val="00AD7B66"/>
    <w:rsid w:val="00AE0F47"/>
    <w:rsid w:val="00AE29DF"/>
    <w:rsid w:val="00AE51A9"/>
    <w:rsid w:val="00AF2124"/>
    <w:rsid w:val="00AF397C"/>
    <w:rsid w:val="00AF7BEC"/>
    <w:rsid w:val="00B065FF"/>
    <w:rsid w:val="00B11639"/>
    <w:rsid w:val="00B122B0"/>
    <w:rsid w:val="00B127AA"/>
    <w:rsid w:val="00B1526A"/>
    <w:rsid w:val="00B21608"/>
    <w:rsid w:val="00B2598C"/>
    <w:rsid w:val="00B32B4C"/>
    <w:rsid w:val="00B32EDC"/>
    <w:rsid w:val="00B34DF9"/>
    <w:rsid w:val="00B36733"/>
    <w:rsid w:val="00B368EC"/>
    <w:rsid w:val="00B36FBF"/>
    <w:rsid w:val="00B4072D"/>
    <w:rsid w:val="00B57452"/>
    <w:rsid w:val="00B57BFF"/>
    <w:rsid w:val="00B6582B"/>
    <w:rsid w:val="00B664C5"/>
    <w:rsid w:val="00B71065"/>
    <w:rsid w:val="00B74B86"/>
    <w:rsid w:val="00B76111"/>
    <w:rsid w:val="00B82C3D"/>
    <w:rsid w:val="00B91579"/>
    <w:rsid w:val="00B926D7"/>
    <w:rsid w:val="00B94F66"/>
    <w:rsid w:val="00B96BC1"/>
    <w:rsid w:val="00BB2F46"/>
    <w:rsid w:val="00BB3159"/>
    <w:rsid w:val="00BB3DAC"/>
    <w:rsid w:val="00BB507A"/>
    <w:rsid w:val="00BC08A5"/>
    <w:rsid w:val="00BC4D59"/>
    <w:rsid w:val="00BD0BD2"/>
    <w:rsid w:val="00BD19A8"/>
    <w:rsid w:val="00BD1AE9"/>
    <w:rsid w:val="00BD4E52"/>
    <w:rsid w:val="00BE07D3"/>
    <w:rsid w:val="00BE145A"/>
    <w:rsid w:val="00BE3E12"/>
    <w:rsid w:val="00BF0A10"/>
    <w:rsid w:val="00BF6971"/>
    <w:rsid w:val="00C24564"/>
    <w:rsid w:val="00C31454"/>
    <w:rsid w:val="00C322BC"/>
    <w:rsid w:val="00C322E0"/>
    <w:rsid w:val="00C41166"/>
    <w:rsid w:val="00C435E8"/>
    <w:rsid w:val="00C44267"/>
    <w:rsid w:val="00C46AF0"/>
    <w:rsid w:val="00C46FDC"/>
    <w:rsid w:val="00C47071"/>
    <w:rsid w:val="00C52253"/>
    <w:rsid w:val="00C5253D"/>
    <w:rsid w:val="00C54DA2"/>
    <w:rsid w:val="00C57960"/>
    <w:rsid w:val="00C60902"/>
    <w:rsid w:val="00C62726"/>
    <w:rsid w:val="00C67E59"/>
    <w:rsid w:val="00C70D26"/>
    <w:rsid w:val="00C74F9A"/>
    <w:rsid w:val="00C82BB5"/>
    <w:rsid w:val="00C83544"/>
    <w:rsid w:val="00C8418A"/>
    <w:rsid w:val="00C87E49"/>
    <w:rsid w:val="00CB11B4"/>
    <w:rsid w:val="00CB233F"/>
    <w:rsid w:val="00CB323C"/>
    <w:rsid w:val="00CB3B3A"/>
    <w:rsid w:val="00CB4C8C"/>
    <w:rsid w:val="00CB52C2"/>
    <w:rsid w:val="00CB7E03"/>
    <w:rsid w:val="00CC5BAA"/>
    <w:rsid w:val="00CC6A22"/>
    <w:rsid w:val="00CC6DAD"/>
    <w:rsid w:val="00CD4F79"/>
    <w:rsid w:val="00CE33DF"/>
    <w:rsid w:val="00CE512D"/>
    <w:rsid w:val="00CE6619"/>
    <w:rsid w:val="00CE69D3"/>
    <w:rsid w:val="00CF159E"/>
    <w:rsid w:val="00CF48E0"/>
    <w:rsid w:val="00CF51ED"/>
    <w:rsid w:val="00D01BE6"/>
    <w:rsid w:val="00D02423"/>
    <w:rsid w:val="00D05301"/>
    <w:rsid w:val="00D0631D"/>
    <w:rsid w:val="00D1225F"/>
    <w:rsid w:val="00D13E09"/>
    <w:rsid w:val="00D1425D"/>
    <w:rsid w:val="00D219CB"/>
    <w:rsid w:val="00D24FF3"/>
    <w:rsid w:val="00D25DF2"/>
    <w:rsid w:val="00D27ED3"/>
    <w:rsid w:val="00D31A37"/>
    <w:rsid w:val="00D3523E"/>
    <w:rsid w:val="00D358E7"/>
    <w:rsid w:val="00D423B4"/>
    <w:rsid w:val="00D46DDA"/>
    <w:rsid w:val="00D470EA"/>
    <w:rsid w:val="00D51C2F"/>
    <w:rsid w:val="00D542EA"/>
    <w:rsid w:val="00D55609"/>
    <w:rsid w:val="00D603B6"/>
    <w:rsid w:val="00D620F0"/>
    <w:rsid w:val="00D64D27"/>
    <w:rsid w:val="00D67CEF"/>
    <w:rsid w:val="00D72048"/>
    <w:rsid w:val="00D77DCB"/>
    <w:rsid w:val="00D805C1"/>
    <w:rsid w:val="00D80CFC"/>
    <w:rsid w:val="00D8722D"/>
    <w:rsid w:val="00D9159E"/>
    <w:rsid w:val="00D91FFC"/>
    <w:rsid w:val="00D9259A"/>
    <w:rsid w:val="00D9689E"/>
    <w:rsid w:val="00DA451E"/>
    <w:rsid w:val="00DC55EB"/>
    <w:rsid w:val="00DD0D77"/>
    <w:rsid w:val="00DD2689"/>
    <w:rsid w:val="00DD2ABE"/>
    <w:rsid w:val="00DE279B"/>
    <w:rsid w:val="00DE534A"/>
    <w:rsid w:val="00DF26B2"/>
    <w:rsid w:val="00DF4219"/>
    <w:rsid w:val="00DF48D2"/>
    <w:rsid w:val="00E06C68"/>
    <w:rsid w:val="00E07E96"/>
    <w:rsid w:val="00E122CC"/>
    <w:rsid w:val="00E124B2"/>
    <w:rsid w:val="00E14246"/>
    <w:rsid w:val="00E14290"/>
    <w:rsid w:val="00E169D9"/>
    <w:rsid w:val="00E21128"/>
    <w:rsid w:val="00E22CAF"/>
    <w:rsid w:val="00E25E93"/>
    <w:rsid w:val="00E279F0"/>
    <w:rsid w:val="00E331C3"/>
    <w:rsid w:val="00E40F9D"/>
    <w:rsid w:val="00E47098"/>
    <w:rsid w:val="00E47C03"/>
    <w:rsid w:val="00E511B2"/>
    <w:rsid w:val="00E5167E"/>
    <w:rsid w:val="00E53FDD"/>
    <w:rsid w:val="00E54D55"/>
    <w:rsid w:val="00E55354"/>
    <w:rsid w:val="00E56A55"/>
    <w:rsid w:val="00E82097"/>
    <w:rsid w:val="00E82244"/>
    <w:rsid w:val="00E85E04"/>
    <w:rsid w:val="00E87A2D"/>
    <w:rsid w:val="00E90DED"/>
    <w:rsid w:val="00E94D4F"/>
    <w:rsid w:val="00EA3ADE"/>
    <w:rsid w:val="00EB585F"/>
    <w:rsid w:val="00ED37E3"/>
    <w:rsid w:val="00ED7094"/>
    <w:rsid w:val="00EE5491"/>
    <w:rsid w:val="00EF12D5"/>
    <w:rsid w:val="00EF40B3"/>
    <w:rsid w:val="00EF6BBB"/>
    <w:rsid w:val="00F00B5D"/>
    <w:rsid w:val="00F00CFE"/>
    <w:rsid w:val="00F018BD"/>
    <w:rsid w:val="00F0282A"/>
    <w:rsid w:val="00F03E24"/>
    <w:rsid w:val="00F07DA3"/>
    <w:rsid w:val="00F11498"/>
    <w:rsid w:val="00F15316"/>
    <w:rsid w:val="00F1637A"/>
    <w:rsid w:val="00F1699D"/>
    <w:rsid w:val="00F16F37"/>
    <w:rsid w:val="00F25213"/>
    <w:rsid w:val="00F25345"/>
    <w:rsid w:val="00F27F1B"/>
    <w:rsid w:val="00F311ED"/>
    <w:rsid w:val="00F3150F"/>
    <w:rsid w:val="00F43C74"/>
    <w:rsid w:val="00F45244"/>
    <w:rsid w:val="00F45D9E"/>
    <w:rsid w:val="00F466E9"/>
    <w:rsid w:val="00F4765D"/>
    <w:rsid w:val="00F47ABE"/>
    <w:rsid w:val="00F52DDC"/>
    <w:rsid w:val="00F55488"/>
    <w:rsid w:val="00F574BD"/>
    <w:rsid w:val="00F579AB"/>
    <w:rsid w:val="00F619FC"/>
    <w:rsid w:val="00F61D5E"/>
    <w:rsid w:val="00F64FF9"/>
    <w:rsid w:val="00F76E23"/>
    <w:rsid w:val="00F83AE3"/>
    <w:rsid w:val="00F84B17"/>
    <w:rsid w:val="00F850DE"/>
    <w:rsid w:val="00F86630"/>
    <w:rsid w:val="00F971CD"/>
    <w:rsid w:val="00F97CC9"/>
    <w:rsid w:val="00FA237D"/>
    <w:rsid w:val="00FA26BD"/>
    <w:rsid w:val="00FA2E7B"/>
    <w:rsid w:val="00FA50F0"/>
    <w:rsid w:val="00FA68F6"/>
    <w:rsid w:val="00FB0D15"/>
    <w:rsid w:val="00FB161C"/>
    <w:rsid w:val="00FB2178"/>
    <w:rsid w:val="00FB29D2"/>
    <w:rsid w:val="00FC000D"/>
    <w:rsid w:val="00FC1698"/>
    <w:rsid w:val="00FC4A78"/>
    <w:rsid w:val="00FC699D"/>
    <w:rsid w:val="00FD2EDF"/>
    <w:rsid w:val="00FD5501"/>
    <w:rsid w:val="00FD5CC3"/>
    <w:rsid w:val="00FE0E2F"/>
    <w:rsid w:val="00FE189B"/>
    <w:rsid w:val="00FE7D9F"/>
    <w:rsid w:val="00FF1BB9"/>
    <w:rsid w:val="00FF51A3"/>
    <w:rsid w:val="00FF7B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6C76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0A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470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387FF4"/>
    <w:rPr>
      <w:color w:val="0000FF"/>
      <w:shd w:val="clear" w:color="auto" w:fill="auto"/>
    </w:rPr>
  </w:style>
  <w:style w:type="paragraph" w:styleId="Header">
    <w:name w:val="header"/>
    <w:basedOn w:val="Normal"/>
    <w:link w:val="HeaderChar"/>
    <w:uiPriority w:val="99"/>
    <w:unhideWhenUsed/>
    <w:rsid w:val="00387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FF4"/>
  </w:style>
  <w:style w:type="paragraph" w:styleId="Footer">
    <w:name w:val="footer"/>
    <w:basedOn w:val="Normal"/>
    <w:link w:val="FooterChar"/>
    <w:uiPriority w:val="99"/>
    <w:unhideWhenUsed/>
    <w:rsid w:val="00387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FF4"/>
  </w:style>
  <w:style w:type="paragraph" w:customStyle="1" w:styleId="Pagedecouverture">
    <w:name w:val="Page de couverture"/>
    <w:basedOn w:val="Normal"/>
    <w:next w:val="Normal"/>
    <w:rsid w:val="00387FF4"/>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387FF4"/>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387FF4"/>
    <w:rPr>
      <w:rFonts w:ascii="Times New Roman" w:hAnsi="Times New Roman" w:cs="Times New Roman"/>
      <w:sz w:val="24"/>
    </w:rPr>
  </w:style>
  <w:style w:type="paragraph" w:customStyle="1" w:styleId="FooterSensitivity">
    <w:name w:val="Footer Sensitivity"/>
    <w:basedOn w:val="Normal"/>
    <w:link w:val="FooterSensitivityChar"/>
    <w:rsid w:val="00387FF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387FF4"/>
    <w:rPr>
      <w:rFonts w:ascii="Times New Roman" w:hAnsi="Times New Roman" w:cs="Times New Roman"/>
      <w:b/>
      <w:sz w:val="32"/>
    </w:rPr>
  </w:style>
  <w:style w:type="paragraph" w:customStyle="1" w:styleId="HeaderCoverPage">
    <w:name w:val="Header Cover Page"/>
    <w:basedOn w:val="Normal"/>
    <w:link w:val="HeaderCoverPageChar"/>
    <w:rsid w:val="00387FF4"/>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387FF4"/>
    <w:rPr>
      <w:rFonts w:ascii="Times New Roman" w:hAnsi="Times New Roman" w:cs="Times New Roman"/>
      <w:sz w:val="24"/>
    </w:rPr>
  </w:style>
  <w:style w:type="paragraph" w:customStyle="1" w:styleId="HeaderSensitivity">
    <w:name w:val="Header Sensitivity"/>
    <w:basedOn w:val="Normal"/>
    <w:link w:val="HeaderSensitivityChar"/>
    <w:rsid w:val="00387FF4"/>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387FF4"/>
    <w:rPr>
      <w:rFonts w:ascii="Times New Roman" w:hAnsi="Times New Roman" w:cs="Times New Roman"/>
      <w:b/>
      <w:sz w:val="32"/>
    </w:rPr>
  </w:style>
  <w:style w:type="paragraph" w:customStyle="1" w:styleId="HeaderSensitivityRight">
    <w:name w:val="Header Sensitivity Right"/>
    <w:basedOn w:val="Normal"/>
    <w:link w:val="HeaderSensitivityRightChar"/>
    <w:rsid w:val="00387FF4"/>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387FF4"/>
    <w:rPr>
      <w:rFonts w:ascii="Times New Roman" w:hAnsi="Times New Roman" w:cs="Times New Roman"/>
      <w:sz w:val="28"/>
    </w:rPr>
  </w:style>
  <w:style w:type="paragraph" w:customStyle="1" w:styleId="Typedudocument">
    <w:name w:val="Type du document"/>
    <w:basedOn w:val="Normal"/>
    <w:next w:val="Normal"/>
    <w:rsid w:val="005C5409"/>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5C5409"/>
    <w:pPr>
      <w:spacing w:before="360" w:after="360" w:line="240" w:lineRule="auto"/>
      <w:jc w:val="center"/>
    </w:pPr>
    <w:rPr>
      <w:rFonts w:ascii="Times New Roman" w:hAnsi="Times New Roman" w:cs="Times New Roman"/>
      <w:b/>
      <w:sz w:val="24"/>
    </w:rPr>
  </w:style>
  <w:style w:type="character" w:styleId="Hyperlink">
    <w:name w:val="Hyperlink"/>
    <w:unhideWhenUsed/>
    <w:rsid w:val="005C5409"/>
    <w:rPr>
      <w:color w:val="0000FF"/>
      <w:u w:val="single"/>
    </w:rPr>
  </w:style>
  <w:style w:type="paragraph" w:customStyle="1" w:styleId="footnotetext1">
    <w:name w:val="footnote text1"/>
    <w:aliases w:val="FT"/>
    <w:basedOn w:val="Normal"/>
    <w:unhideWhenUsed/>
    <w:rsid w:val="005C5409"/>
    <w:pPr>
      <w:spacing w:after="0" w:line="240" w:lineRule="auto"/>
    </w:pPr>
    <w:rPr>
      <w:rFonts w:ascii="Calibri" w:eastAsia="Calibri" w:hAnsi="Calibri" w:cs="Times New Roman"/>
      <w:sz w:val="20"/>
      <w:szCs w:val="20"/>
    </w:rPr>
  </w:style>
  <w:style w:type="character" w:styleId="FootnoteReference">
    <w:name w:val="footnote reference"/>
    <w:aliases w:val="Footnote,Footnote number,Footnote symbol,Footnote Reference Number,Footnote reference number,Times 10 Point,Exposant 3 Point,Footnote Reference Superscript,note TESI,SUPERS,EN Footnote Reference,Ref,de nota al pie"/>
    <w:link w:val="BVIfnrCarCarCarCarCharCharCharChar"/>
    <w:uiPriority w:val="99"/>
    <w:unhideWhenUsed/>
    <w:qFormat/>
    <w:rsid w:val="005C5409"/>
    <w:rPr>
      <w:vertAlign w:val="superscript"/>
    </w:rPr>
  </w:style>
  <w:style w:type="paragraph" w:customStyle="1" w:styleId="ManualHeading1">
    <w:name w:val="Manual Heading 1"/>
    <w:basedOn w:val="Normal"/>
    <w:next w:val="Normal"/>
    <w:rsid w:val="005C5409"/>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0"/>
      <w:lang w:eastAsia="en-GB"/>
    </w:rPr>
  </w:style>
  <w:style w:type="paragraph" w:styleId="NormalWeb">
    <w:name w:val="Normal (Web)"/>
    <w:basedOn w:val="Normal"/>
    <w:uiPriority w:val="99"/>
    <w:unhideWhenUsed/>
    <w:rsid w:val="005C540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semiHidden/>
    <w:unhideWhenUsed/>
    <w:rsid w:val="005C540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semiHidden/>
    <w:rsid w:val="005C5409"/>
    <w:rPr>
      <w:rFonts w:ascii="Calibri" w:eastAsia="Calibri" w:hAnsi="Calibri" w:cs="Times New Roman"/>
      <w:sz w:val="20"/>
      <w:szCs w:val="20"/>
      <w:lang w:val="lt-LT"/>
    </w:rPr>
  </w:style>
  <w:style w:type="paragraph" w:customStyle="1" w:styleId="BVIfnrCarCarCarCarCharCharCharChar">
    <w:name w:val="BVI fnr Car Car Car Car Char Char Char Char"/>
    <w:basedOn w:val="Normal"/>
    <w:link w:val="FootnoteReference"/>
    <w:autoRedefine/>
    <w:uiPriority w:val="99"/>
    <w:qFormat/>
    <w:rsid w:val="005C5409"/>
    <w:pPr>
      <w:spacing w:after="0" w:line="240" w:lineRule="auto"/>
      <w:ind w:left="720" w:hanging="720"/>
    </w:pPr>
    <w:rPr>
      <w:vertAlign w:val="superscript"/>
    </w:rPr>
  </w:style>
  <w:style w:type="paragraph" w:styleId="Revision">
    <w:name w:val="Revision"/>
    <w:hidden/>
    <w:uiPriority w:val="99"/>
    <w:semiHidden/>
    <w:rsid w:val="005C5409"/>
    <w:pPr>
      <w:spacing w:after="0" w:line="240" w:lineRule="auto"/>
    </w:pPr>
  </w:style>
  <w:style w:type="character" w:styleId="FollowedHyperlink">
    <w:name w:val="FollowedHyperlink"/>
    <w:basedOn w:val="DefaultParagraphFont"/>
    <w:uiPriority w:val="99"/>
    <w:semiHidden/>
    <w:unhideWhenUsed/>
    <w:rsid w:val="00D9259A"/>
    <w:rPr>
      <w:color w:val="954F72" w:themeColor="followedHyperlink"/>
      <w:u w:val="single"/>
    </w:rPr>
  </w:style>
  <w:style w:type="character" w:styleId="CommentReference">
    <w:name w:val="annotation reference"/>
    <w:basedOn w:val="DefaultParagraphFont"/>
    <w:uiPriority w:val="99"/>
    <w:semiHidden/>
    <w:unhideWhenUsed/>
    <w:rsid w:val="006F5708"/>
    <w:rPr>
      <w:sz w:val="16"/>
      <w:szCs w:val="16"/>
    </w:rPr>
  </w:style>
  <w:style w:type="paragraph" w:styleId="CommentText">
    <w:name w:val="annotation text"/>
    <w:basedOn w:val="Normal"/>
    <w:link w:val="CommentTextChar"/>
    <w:uiPriority w:val="99"/>
    <w:unhideWhenUsed/>
    <w:rsid w:val="006F5708"/>
    <w:pPr>
      <w:spacing w:line="240" w:lineRule="auto"/>
    </w:pPr>
    <w:rPr>
      <w:sz w:val="20"/>
      <w:szCs w:val="20"/>
    </w:rPr>
  </w:style>
  <w:style w:type="character" w:customStyle="1" w:styleId="CommentTextChar">
    <w:name w:val="Comment Text Char"/>
    <w:basedOn w:val="DefaultParagraphFont"/>
    <w:link w:val="CommentText"/>
    <w:uiPriority w:val="99"/>
    <w:rsid w:val="006F5708"/>
    <w:rPr>
      <w:sz w:val="20"/>
      <w:szCs w:val="20"/>
    </w:rPr>
  </w:style>
  <w:style w:type="paragraph" w:styleId="CommentSubject">
    <w:name w:val="annotation subject"/>
    <w:basedOn w:val="CommentText"/>
    <w:next w:val="CommentText"/>
    <w:link w:val="CommentSubjectChar"/>
    <w:uiPriority w:val="99"/>
    <w:semiHidden/>
    <w:unhideWhenUsed/>
    <w:rsid w:val="006F5708"/>
    <w:rPr>
      <w:b/>
      <w:bCs/>
    </w:rPr>
  </w:style>
  <w:style w:type="character" w:customStyle="1" w:styleId="CommentSubjectChar">
    <w:name w:val="Comment Subject Char"/>
    <w:basedOn w:val="CommentTextChar"/>
    <w:link w:val="CommentSubject"/>
    <w:uiPriority w:val="99"/>
    <w:semiHidden/>
    <w:rsid w:val="006F5708"/>
    <w:rPr>
      <w:b/>
      <w:bCs/>
      <w:sz w:val="20"/>
      <w:szCs w:val="20"/>
    </w:rPr>
  </w:style>
  <w:style w:type="character" w:customStyle="1" w:styleId="UnresolvedMention">
    <w:name w:val="Unresolved Mention"/>
    <w:basedOn w:val="DefaultParagraphFont"/>
    <w:uiPriority w:val="99"/>
    <w:semiHidden/>
    <w:unhideWhenUsed/>
    <w:rsid w:val="00222D55"/>
    <w:rPr>
      <w:color w:val="605E5C"/>
      <w:shd w:val="clear" w:color="auto" w:fill="E1DFDD"/>
    </w:rPr>
  </w:style>
  <w:style w:type="character" w:customStyle="1" w:styleId="Heading1Char">
    <w:name w:val="Heading 1 Char"/>
    <w:basedOn w:val="DefaultParagraphFont"/>
    <w:link w:val="Heading1"/>
    <w:uiPriority w:val="9"/>
    <w:rsid w:val="00BF0A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470E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2038">
      <w:bodyDiv w:val="1"/>
      <w:marLeft w:val="0"/>
      <w:marRight w:val="0"/>
      <w:marTop w:val="0"/>
      <w:marBottom w:val="0"/>
      <w:divBdr>
        <w:top w:val="none" w:sz="0" w:space="0" w:color="auto"/>
        <w:left w:val="none" w:sz="0" w:space="0" w:color="auto"/>
        <w:bottom w:val="none" w:sz="0" w:space="0" w:color="auto"/>
        <w:right w:val="none" w:sz="0" w:space="0" w:color="auto"/>
      </w:divBdr>
    </w:div>
    <w:div w:id="53243636">
      <w:bodyDiv w:val="1"/>
      <w:marLeft w:val="0"/>
      <w:marRight w:val="0"/>
      <w:marTop w:val="0"/>
      <w:marBottom w:val="0"/>
      <w:divBdr>
        <w:top w:val="none" w:sz="0" w:space="0" w:color="auto"/>
        <w:left w:val="none" w:sz="0" w:space="0" w:color="auto"/>
        <w:bottom w:val="none" w:sz="0" w:space="0" w:color="auto"/>
        <w:right w:val="none" w:sz="0" w:space="0" w:color="auto"/>
      </w:divBdr>
    </w:div>
    <w:div w:id="80030916">
      <w:bodyDiv w:val="1"/>
      <w:marLeft w:val="0"/>
      <w:marRight w:val="0"/>
      <w:marTop w:val="0"/>
      <w:marBottom w:val="0"/>
      <w:divBdr>
        <w:top w:val="none" w:sz="0" w:space="0" w:color="auto"/>
        <w:left w:val="none" w:sz="0" w:space="0" w:color="auto"/>
        <w:bottom w:val="none" w:sz="0" w:space="0" w:color="auto"/>
        <w:right w:val="none" w:sz="0" w:space="0" w:color="auto"/>
      </w:divBdr>
    </w:div>
    <w:div w:id="592400892">
      <w:bodyDiv w:val="1"/>
      <w:marLeft w:val="0"/>
      <w:marRight w:val="0"/>
      <w:marTop w:val="0"/>
      <w:marBottom w:val="0"/>
      <w:divBdr>
        <w:top w:val="none" w:sz="0" w:space="0" w:color="auto"/>
        <w:left w:val="none" w:sz="0" w:space="0" w:color="auto"/>
        <w:bottom w:val="none" w:sz="0" w:space="0" w:color="auto"/>
        <w:right w:val="none" w:sz="0" w:space="0" w:color="auto"/>
      </w:divBdr>
      <w:divsChild>
        <w:div w:id="532617278">
          <w:marLeft w:val="0"/>
          <w:marRight w:val="0"/>
          <w:marTop w:val="0"/>
          <w:marBottom w:val="0"/>
          <w:divBdr>
            <w:top w:val="none" w:sz="0" w:space="0" w:color="auto"/>
            <w:left w:val="none" w:sz="0" w:space="0" w:color="auto"/>
            <w:bottom w:val="none" w:sz="0" w:space="0" w:color="auto"/>
            <w:right w:val="none" w:sz="0" w:space="0" w:color="auto"/>
          </w:divBdr>
          <w:divsChild>
            <w:div w:id="27035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81910">
      <w:bodyDiv w:val="1"/>
      <w:marLeft w:val="0"/>
      <w:marRight w:val="0"/>
      <w:marTop w:val="0"/>
      <w:marBottom w:val="0"/>
      <w:divBdr>
        <w:top w:val="none" w:sz="0" w:space="0" w:color="auto"/>
        <w:left w:val="none" w:sz="0" w:space="0" w:color="auto"/>
        <w:bottom w:val="none" w:sz="0" w:space="0" w:color="auto"/>
        <w:right w:val="none" w:sz="0" w:space="0" w:color="auto"/>
      </w:divBdr>
    </w:div>
    <w:div w:id="779451480">
      <w:bodyDiv w:val="1"/>
      <w:marLeft w:val="0"/>
      <w:marRight w:val="0"/>
      <w:marTop w:val="0"/>
      <w:marBottom w:val="0"/>
      <w:divBdr>
        <w:top w:val="none" w:sz="0" w:space="0" w:color="auto"/>
        <w:left w:val="none" w:sz="0" w:space="0" w:color="auto"/>
        <w:bottom w:val="none" w:sz="0" w:space="0" w:color="auto"/>
        <w:right w:val="none" w:sz="0" w:space="0" w:color="auto"/>
      </w:divBdr>
    </w:div>
    <w:div w:id="1156145148">
      <w:bodyDiv w:val="1"/>
      <w:marLeft w:val="0"/>
      <w:marRight w:val="0"/>
      <w:marTop w:val="0"/>
      <w:marBottom w:val="0"/>
      <w:divBdr>
        <w:top w:val="none" w:sz="0" w:space="0" w:color="auto"/>
        <w:left w:val="none" w:sz="0" w:space="0" w:color="auto"/>
        <w:bottom w:val="none" w:sz="0" w:space="0" w:color="auto"/>
        <w:right w:val="none" w:sz="0" w:space="0" w:color="auto"/>
      </w:divBdr>
    </w:div>
    <w:div w:id="1330905963">
      <w:bodyDiv w:val="1"/>
      <w:marLeft w:val="0"/>
      <w:marRight w:val="0"/>
      <w:marTop w:val="0"/>
      <w:marBottom w:val="0"/>
      <w:divBdr>
        <w:top w:val="none" w:sz="0" w:space="0" w:color="auto"/>
        <w:left w:val="none" w:sz="0" w:space="0" w:color="auto"/>
        <w:bottom w:val="none" w:sz="0" w:space="0" w:color="auto"/>
        <w:right w:val="none" w:sz="0" w:space="0" w:color="auto"/>
      </w:divBdr>
    </w:div>
    <w:div w:id="1400440029">
      <w:bodyDiv w:val="1"/>
      <w:marLeft w:val="0"/>
      <w:marRight w:val="0"/>
      <w:marTop w:val="0"/>
      <w:marBottom w:val="0"/>
      <w:divBdr>
        <w:top w:val="none" w:sz="0" w:space="0" w:color="auto"/>
        <w:left w:val="none" w:sz="0" w:space="0" w:color="auto"/>
        <w:bottom w:val="none" w:sz="0" w:space="0" w:color="auto"/>
        <w:right w:val="none" w:sz="0" w:space="0" w:color="auto"/>
      </w:divBdr>
    </w:div>
    <w:div w:id="1481800934">
      <w:bodyDiv w:val="1"/>
      <w:marLeft w:val="0"/>
      <w:marRight w:val="0"/>
      <w:marTop w:val="0"/>
      <w:marBottom w:val="0"/>
      <w:divBdr>
        <w:top w:val="none" w:sz="0" w:space="0" w:color="auto"/>
        <w:left w:val="none" w:sz="0" w:space="0" w:color="auto"/>
        <w:bottom w:val="none" w:sz="0" w:space="0" w:color="auto"/>
        <w:right w:val="none" w:sz="0" w:space="0" w:color="auto"/>
      </w:divBdr>
    </w:div>
    <w:div w:id="1719041732">
      <w:bodyDiv w:val="1"/>
      <w:marLeft w:val="0"/>
      <w:marRight w:val="0"/>
      <w:marTop w:val="0"/>
      <w:marBottom w:val="0"/>
      <w:divBdr>
        <w:top w:val="none" w:sz="0" w:space="0" w:color="auto"/>
        <w:left w:val="none" w:sz="0" w:space="0" w:color="auto"/>
        <w:bottom w:val="none" w:sz="0" w:space="0" w:color="auto"/>
        <w:right w:val="none" w:sz="0" w:space="0" w:color="auto"/>
      </w:divBdr>
    </w:div>
    <w:div w:id="1731347642">
      <w:bodyDiv w:val="1"/>
      <w:marLeft w:val="0"/>
      <w:marRight w:val="0"/>
      <w:marTop w:val="0"/>
      <w:marBottom w:val="0"/>
      <w:divBdr>
        <w:top w:val="none" w:sz="0" w:space="0" w:color="auto"/>
        <w:left w:val="none" w:sz="0" w:space="0" w:color="auto"/>
        <w:bottom w:val="none" w:sz="0" w:space="0" w:color="auto"/>
        <w:right w:val="none" w:sz="0" w:space="0" w:color="auto"/>
      </w:divBdr>
    </w:div>
    <w:div w:id="212449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ifrs.org/content/ifrs/home/projects/work-plan/financial-instruments-with-characteristics-of-equity.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frs.org/content/ifrs/home/about-us/our-due-process.html"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ifrs.org/projects/completed-projects/" TargetMode="External"/><Relationship Id="rId2" Type="http://schemas.openxmlformats.org/officeDocument/2006/relationships/hyperlink" Target="https://www.ifrs.org/projects/work-plan/" TargetMode="External"/><Relationship Id="rId1" Type="http://schemas.openxmlformats.org/officeDocument/2006/relationships/hyperlink" Target="http://data.europa.eu/eli/reg/2002/1606/oj" TargetMode="External"/><Relationship Id="rId5" Type="http://schemas.openxmlformats.org/officeDocument/2006/relationships/hyperlink" Target="https://www.iosco.org/about/?subsection=monitoring_group" TargetMode="External"/><Relationship Id="rId4" Type="http://schemas.openxmlformats.org/officeDocument/2006/relationships/hyperlink" Target="https://commission.europa.eu/publications/omnibus-i_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9C5F2-2F4A-470D-A4A3-61AEC9EDE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2792</Words>
  <Characters>15920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2025-11-25T11:21:00Z</dcterms:created>
  <dcterms:modified xsi:type="dcterms:W3CDTF">2025-12-12T15:06:00Z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9.2, Build 20250828</vt:lpwstr>
  </property>
  <property fmtid="{D5CDD505-2E9C-101B-9397-08002B2CF9AE}" pid="4" name="MSIP_Label_6bd9ddd1-4d20-43f6-abfa-fc3c07406f94_Enabled">
    <vt:lpwstr>true</vt:lpwstr>
  </property>
  <property fmtid="{D5CDD505-2E9C-101B-9397-08002B2CF9AE}" pid="5" name="MSIP_Label_6bd9ddd1-4d20-43f6-abfa-fc3c07406f94_SetDate">
    <vt:lpwstr>2025-10-08T11:54:24Z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05c25bc9-592b-4277-bfd6-44b632b554f9</vt:lpwstr>
  </property>
  <property fmtid="{D5CDD505-2E9C-101B-9397-08002B2CF9AE}" pid="10" name="MSIP_Label_6bd9ddd1-4d20-43f6-abfa-fc3c07406f94_ContentBits">
    <vt:lpwstr>0</vt:lpwstr>
  </property>
  <property fmtid="{D5CDD505-2E9C-101B-9397-08002B2CF9AE}" pid="11" name="MSIP_Label_6bd9ddd1-4d20-43f6-abfa-fc3c07406f94_Tag">
    <vt:lpwstr>10, 3, 0, 1</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CP-006</vt:lpwstr>
  </property>
</Properties>
</file>