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555485" w14:textId="3E4D98DD" w:rsidR="00387FF4" w:rsidRPr="005A46D9" w:rsidRDefault="001C540F" w:rsidP="001C540F">
      <w:pPr>
        <w:pStyle w:val="Pagedecouverture"/>
        <w:rPr>
          <w:noProof/>
        </w:rPr>
      </w:pPr>
      <w:bookmarkStart w:id="0" w:name="LW_BM_COVERPAGE"/>
      <w:r>
        <w:rPr>
          <w:noProof/>
        </w:rPr>
        <w:pict w14:anchorId="59419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EAD9D124-BEE7-4737-A25F-6741188B8144" style="width:455.25pt;height:271.5pt">
            <v:imagedata r:id="rId8" o:title=""/>
          </v:shape>
        </w:pict>
      </w:r>
    </w:p>
    <w:bookmarkEnd w:id="0"/>
    <w:p w14:paraId="52765022" w14:textId="77777777" w:rsidR="00387FF4" w:rsidRPr="005A46D9" w:rsidRDefault="00387FF4" w:rsidP="00387FF4">
      <w:pPr>
        <w:rPr>
          <w:noProof/>
        </w:rPr>
        <w:sectPr w:rsidR="00387FF4" w:rsidRPr="005A46D9" w:rsidSect="001C540F">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0694E0FA" w14:textId="18877DDC" w:rsidR="00842E6A" w:rsidRPr="00842E6A" w:rsidRDefault="00842E6A" w:rsidP="00842E6A">
      <w:pPr>
        <w:pStyle w:val="Typedudocument"/>
        <w:rPr>
          <w:noProof/>
        </w:rPr>
      </w:pPr>
      <w:bookmarkStart w:id="1" w:name="_GoBack"/>
      <w:bookmarkEnd w:id="1"/>
      <w:r w:rsidRPr="00842E6A">
        <w:rPr>
          <w:noProof/>
        </w:rPr>
        <w:lastRenderedPageBreak/>
        <w:t>ZPRÁVA KOMISE EVROPSKÉMU PARLAMENTU A RADĚ</w:t>
      </w:r>
    </w:p>
    <w:p w14:paraId="72D5237D" w14:textId="75BF6AE4" w:rsidR="00842E6A" w:rsidRPr="00842E6A" w:rsidRDefault="00842E6A" w:rsidP="00842E6A">
      <w:pPr>
        <w:pStyle w:val="Titreobjet"/>
        <w:rPr>
          <w:noProof/>
        </w:rPr>
      </w:pPr>
      <w:r w:rsidRPr="00842E6A">
        <w:rPr>
          <w:noProof/>
        </w:rPr>
        <w:t>o činnosti nadace IFRS, skupiny EFRAG a rady PIOB v roce 2024</w:t>
      </w:r>
    </w:p>
    <w:p w14:paraId="7C15A138" w14:textId="1E064D6D" w:rsidR="005C5409" w:rsidRPr="005A46D9" w:rsidRDefault="005C5409" w:rsidP="005C5409">
      <w:pPr>
        <w:pStyle w:val="ManualHeading1"/>
        <w:spacing w:after="240"/>
        <w:rPr>
          <w:noProof/>
        </w:rPr>
      </w:pPr>
      <w:r>
        <w:rPr>
          <w:noProof/>
        </w:rPr>
        <w:t>1.</w:t>
      </w:r>
      <w:r>
        <w:rPr>
          <w:noProof/>
        </w:rPr>
        <w:tab/>
        <w:t>Úvod</w:t>
      </w:r>
    </w:p>
    <w:p w14:paraId="64D6DCC0" w14:textId="41D268A7" w:rsidR="005C5409" w:rsidRPr="005A46D9" w:rsidRDefault="005C5409" w:rsidP="005C5409">
      <w:pPr>
        <w:spacing w:before="120" w:after="120"/>
        <w:jc w:val="both"/>
        <w:rPr>
          <w:rFonts w:ascii="Times New Roman" w:hAnsi="Times New Roman"/>
          <w:noProof/>
          <w:sz w:val="24"/>
          <w:szCs w:val="24"/>
        </w:rPr>
      </w:pPr>
      <w:r>
        <w:rPr>
          <w:rFonts w:ascii="Times New Roman" w:hAnsi="Times New Roman"/>
          <w:noProof/>
          <w:sz w:val="24"/>
        </w:rPr>
        <w:t>Dne 28. dubna 2021 přijala Evropská unie Program pro jednotný trh</w:t>
      </w:r>
      <w:r>
        <w:rPr>
          <w:rStyle w:val="FootnoteReference"/>
          <w:noProof/>
          <w:lang w:eastAsia="en-GB"/>
        </w:rPr>
        <w:footnoteReference w:id="1"/>
      </w:r>
      <w:r>
        <w:rPr>
          <w:rFonts w:ascii="Times New Roman" w:hAnsi="Times New Roman"/>
          <w:noProof/>
          <w:sz w:val="24"/>
        </w:rPr>
        <w:t xml:space="preserve"> na podporu a posílení správy jednotného trhu s celkovým rozpočtem 4,21 miliardy EUR na období 2021–2027. Nařízení o Programu pro jednotný trh obsahovalo rozpočtové krytí ve výši 220,5 milionu EUR na normalizační procesy, z čehož 10,0 milionu EUR bylo v roce 2024 vyčleněno</w:t>
      </w:r>
      <w:r>
        <w:rPr>
          <w:rStyle w:val="FootnoteReference"/>
          <w:rFonts w:ascii="Times New Roman" w:hAnsi="Times New Roman"/>
          <w:noProof/>
          <w:sz w:val="24"/>
          <w:szCs w:val="24"/>
        </w:rPr>
        <w:footnoteReference w:id="2"/>
      </w:r>
      <w:r>
        <w:rPr>
          <w:rFonts w:ascii="Times New Roman" w:hAnsi="Times New Roman"/>
          <w:noProof/>
          <w:sz w:val="24"/>
        </w:rPr>
        <w:t xml:space="preserve"> na podporu tvorby mezinárodních standardů účetního výkaznictví a vykazování nefinančních informací a auditorských standardů a usnadnění jejich začlenění do práva Unie.</w:t>
      </w:r>
    </w:p>
    <w:p w14:paraId="18EC66AB" w14:textId="314DB7B4" w:rsidR="005C5409" w:rsidRPr="005A46D9" w:rsidRDefault="005C5409" w:rsidP="005C5409">
      <w:pPr>
        <w:spacing w:before="120" w:after="120"/>
        <w:jc w:val="both"/>
        <w:rPr>
          <w:rFonts w:ascii="Times New Roman" w:hAnsi="Times New Roman"/>
          <w:noProof/>
          <w:sz w:val="24"/>
          <w:szCs w:val="24"/>
        </w:rPr>
      </w:pPr>
      <w:r>
        <w:rPr>
          <w:rFonts w:ascii="Times New Roman" w:hAnsi="Times New Roman"/>
          <w:noProof/>
          <w:sz w:val="24"/>
        </w:rPr>
        <w:t>V rámci Programu pro jednotný trh poskytuje Komise roční grant Nadaci pro mezinárodní standardy účetního výkaznictví (nadaci IFRS) na vývoj mezinárodních standardů účetního výkaznictví (účetních standardů IFRS), Evropské poradní skupině pro účetní výkaznictví (EFRAG) a Radě pro dozor nad veřejnými zájmy (PIOB).</w:t>
      </w:r>
      <w:r>
        <w:rPr>
          <w:rFonts w:ascii="Times New Roman" w:hAnsi="Times New Roman"/>
          <w:noProof/>
        </w:rPr>
        <w:t xml:space="preserve"> </w:t>
      </w:r>
      <w:r>
        <w:rPr>
          <w:rFonts w:ascii="Times New Roman" w:hAnsi="Times New Roman"/>
          <w:noProof/>
          <w:sz w:val="24"/>
        </w:rPr>
        <w:t>Tyto organizace hrají důležitou roli při zajišťování kvality, spolehlivosti a dostupnosti finančních informací a informací o udržitelnosti ve zprávách podniků, a to prostřednictvím své práce na vývoji mezinárodních standardů finančního výkaznictví a vykazování nefinančních informací a auditorských standardů. Tato zpráva shrnuje jejich činnost v roce 2024, s výjimkou činnosti nadace IFRS v oblasti podávání zpráv o udržitelnosti, neboť ta není spolufinancována z grantu EU.</w:t>
      </w:r>
    </w:p>
    <w:p w14:paraId="402B6040" w14:textId="77777777" w:rsidR="005C5409" w:rsidRPr="005A46D9" w:rsidRDefault="005C5409" w:rsidP="005C5409">
      <w:pPr>
        <w:pStyle w:val="ManualHeading1"/>
        <w:rPr>
          <w:noProof/>
        </w:rPr>
      </w:pPr>
      <w:r>
        <w:rPr>
          <w:noProof/>
        </w:rPr>
        <w:t>2.</w:t>
      </w:r>
      <w:r>
        <w:rPr>
          <w:noProof/>
        </w:rPr>
        <w:tab/>
        <w:t>Nadace IFRS</w:t>
      </w:r>
    </w:p>
    <w:p w14:paraId="5B183E95" w14:textId="1582C938" w:rsidR="005C5409" w:rsidRPr="005A46D9" w:rsidRDefault="005C5409" w:rsidP="005C5409">
      <w:pPr>
        <w:pStyle w:val="ManualHeading1"/>
        <w:rPr>
          <w:noProof/>
        </w:rPr>
      </w:pPr>
      <w:r>
        <w:rPr>
          <w:noProof/>
        </w:rPr>
        <w:t>2.1</w:t>
      </w:r>
      <w:r>
        <w:rPr>
          <w:noProof/>
        </w:rPr>
        <w:tab/>
        <w:t>Správa a řízení</w:t>
      </w:r>
    </w:p>
    <w:p w14:paraId="4C25B0F8" w14:textId="0985713E" w:rsidR="005C5409" w:rsidRPr="005A46D9" w:rsidRDefault="005C5409" w:rsidP="005C5409">
      <w:pPr>
        <w:spacing w:before="120" w:after="120"/>
        <w:jc w:val="both"/>
        <w:rPr>
          <w:rFonts w:ascii="Times New Roman" w:hAnsi="Times New Roman"/>
          <w:noProof/>
          <w:sz w:val="24"/>
          <w:szCs w:val="24"/>
        </w:rPr>
      </w:pPr>
      <w:r>
        <w:rPr>
          <w:rFonts w:ascii="Times New Roman" w:hAnsi="Times New Roman"/>
          <w:noProof/>
          <w:sz w:val="24"/>
        </w:rPr>
        <w:t>Nadace IFRS je nezisková organizace zřízená s cílem rozvíjet, podporovat a usnadňovat používání jednotného souboru vysoce kvalitních, srozumitelných, vymahatelných a celosvětově uznávaných účetních standardů a standardů pro podávání zpráv o udržitelnosti.</w:t>
      </w:r>
    </w:p>
    <w:p w14:paraId="3DE40AF9" w14:textId="236EBB69" w:rsidR="004A0129" w:rsidRPr="005A46D9" w:rsidRDefault="004A0129" w:rsidP="00416513">
      <w:pPr>
        <w:pStyle w:val="NormalWeb"/>
        <w:shd w:val="clear" w:color="auto" w:fill="FFFFFF"/>
        <w:jc w:val="both"/>
        <w:rPr>
          <w:noProof/>
        </w:rPr>
      </w:pPr>
      <w:bookmarkStart w:id="2" w:name="_Hlk210646291"/>
      <w:r>
        <w:rPr>
          <w:noProof/>
        </w:rPr>
        <w:t>Nadace IFRS</w:t>
      </w:r>
      <w:bookmarkEnd w:id="2"/>
      <w:r>
        <w:rPr>
          <w:noProof/>
        </w:rPr>
        <w:t xml:space="preserve"> je řízena správní radou složenou z 22 správců, kteří společně odpovídají za dohled nad řízením a organizační strategií nadace IFRS, dohled nad </w:t>
      </w:r>
      <w:hyperlink r:id="rId15" w:tgtFrame="_blank" w:history="1">
        <w:r>
          <w:rPr>
            <w:noProof/>
          </w:rPr>
          <w:t>řádným postupem</w:t>
        </w:r>
      </w:hyperlink>
      <w:r>
        <w:rPr>
          <w:noProof/>
        </w:rPr>
        <w:t xml:space="preserve">, dodržování </w:t>
      </w:r>
      <w:r>
        <w:rPr>
          <w:i/>
          <w:noProof/>
        </w:rPr>
        <w:t>Ústavy</w:t>
      </w:r>
      <w:r>
        <w:rPr>
          <w:noProof/>
        </w:rPr>
        <w:t xml:space="preserve"> a</w:t>
      </w:r>
      <w:r>
        <w:rPr>
          <w:i/>
          <w:noProof/>
        </w:rPr>
        <w:t xml:space="preserve"> Příručky řádného postupu</w:t>
      </w:r>
      <w:r>
        <w:rPr>
          <w:noProof/>
        </w:rPr>
        <w:t xml:space="preserve"> nadace IFRS, jmenování členů Rady pro mezinárodní účetní standardy (IASB), Rady pro mezinárodní standardy udržitelnosti (ISSB), Výboru pro interpretace IFRS a různých poradních orgánů a za zajištění financování nadace IFRS. V roce 2024 </w:t>
      </w:r>
      <w:r>
        <w:rPr>
          <w:noProof/>
          <w:shd w:val="clear" w:color="auto" w:fill="FFFFFF"/>
        </w:rPr>
        <w:t>byl předsedou správní rady Erkki Liikanen</w:t>
      </w:r>
      <w:r>
        <w:rPr>
          <w:noProof/>
        </w:rPr>
        <w:t>.</w:t>
      </w:r>
    </w:p>
    <w:p w14:paraId="7C2513CB" w14:textId="6A187194" w:rsidR="00EB585F" w:rsidRPr="005A46D9" w:rsidRDefault="004A0129" w:rsidP="005C5409">
      <w:pPr>
        <w:jc w:val="both"/>
        <w:rPr>
          <w:rFonts w:ascii="Times New Roman" w:hAnsi="Times New Roman" w:cs="Times New Roman"/>
          <w:noProof/>
          <w:sz w:val="24"/>
          <w:szCs w:val="24"/>
        </w:rPr>
      </w:pPr>
      <w:r>
        <w:rPr>
          <w:rFonts w:ascii="Times New Roman" w:hAnsi="Times New Roman"/>
          <w:noProof/>
          <w:sz w:val="24"/>
        </w:rPr>
        <w:t>Správci se zodpovídají Radě pro monitorování. Rada pro monitorování, jejímž členem je Komise, posiluje funkci nadace IFRS v oblasti dohledu nad veřejnými zájmy, podporuje vývoj vysoce kvalitních standardů a jmenuje správce.</w:t>
      </w:r>
    </w:p>
    <w:p w14:paraId="00EEF7DA" w14:textId="2D4C07E3" w:rsidR="0001487E" w:rsidRPr="005A46D9" w:rsidRDefault="0001487E" w:rsidP="0001487E">
      <w:pPr>
        <w:spacing w:before="120" w:after="120"/>
        <w:jc w:val="both"/>
        <w:rPr>
          <w:rFonts w:ascii="Times New Roman" w:hAnsi="Times New Roman" w:cs="Times New Roman"/>
          <w:noProof/>
          <w:sz w:val="24"/>
          <w:szCs w:val="24"/>
        </w:rPr>
      </w:pPr>
      <w:r>
        <w:rPr>
          <w:rFonts w:ascii="Times New Roman" w:hAnsi="Times New Roman"/>
          <w:noProof/>
          <w:sz w:val="24"/>
        </w:rPr>
        <w:t>Nadace IFRS se skládá z Rady pro mezinárodní účetní standardy (IASB), která je zodpovědná za vypracování účetních standardů IFRS, a Rady pro mezinárodní standardy udržitelnosti (ISSB), která je zodpovědná za vypracování standardů pro podávání zpráv o udržitelnosti v rámci IFRS. Rady IASB a ISSB se skládají každá ze čtrnácti členů. Členové jsou jmenováni na funkční období pěti let, které může být jednou prodlouženo. V roce 2024 předsedal radě IASB Andreas Barckow a radě ISSB předsedal Emmanuel Faber.</w:t>
      </w:r>
    </w:p>
    <w:p w14:paraId="585466F7" w14:textId="7120D498" w:rsidR="005C5409" w:rsidRPr="005A46D9" w:rsidRDefault="005C5409" w:rsidP="005C5409">
      <w:pPr>
        <w:jc w:val="both"/>
        <w:rPr>
          <w:rFonts w:ascii="Times New Roman" w:hAnsi="Times New Roman"/>
          <w:noProof/>
          <w:sz w:val="24"/>
          <w:szCs w:val="24"/>
        </w:rPr>
      </w:pPr>
      <w:r>
        <w:rPr>
          <w:rFonts w:ascii="Times New Roman" w:hAnsi="Times New Roman"/>
          <w:noProof/>
          <w:sz w:val="24"/>
        </w:rPr>
        <w:t>Podle</w:t>
      </w:r>
      <w:r>
        <w:rPr>
          <w:noProof/>
        </w:rPr>
        <w:t xml:space="preserve"> </w:t>
      </w:r>
      <w:bookmarkStart w:id="3" w:name="_Hlk203055499"/>
      <w:r>
        <w:rPr>
          <w:rFonts w:ascii="Times New Roman" w:hAnsi="Times New Roman"/>
          <w:noProof/>
          <w:sz w:val="24"/>
        </w:rPr>
        <w:t>nařízení</w:t>
      </w:r>
      <w:bookmarkEnd w:id="3"/>
      <w:r>
        <w:rPr>
          <w:rFonts w:ascii="Times New Roman" w:hAnsi="Times New Roman"/>
          <w:noProof/>
          <w:sz w:val="24"/>
        </w:rPr>
        <w:t xml:space="preserve"> o mezinárodních účetních standardech</w:t>
      </w:r>
      <w:r>
        <w:rPr>
          <w:rStyle w:val="FootnoteReference"/>
          <w:rFonts w:ascii="Times New Roman" w:hAnsi="Times New Roman"/>
          <w:noProof/>
          <w:sz w:val="24"/>
          <w:szCs w:val="24"/>
          <w:lang w:eastAsia="en-GB"/>
        </w:rPr>
        <w:footnoteReference w:id="3"/>
      </w:r>
      <w:r>
        <w:rPr>
          <w:rFonts w:ascii="Times New Roman" w:hAnsi="Times New Roman"/>
          <w:noProof/>
          <w:sz w:val="24"/>
        </w:rPr>
        <w:t xml:space="preserve"> může Komise schválit nové nebo pozměněné účetní standardy IFRS po zohlednění doporučení skupiny EFRAG k jejich schválení. Vzhledem k hospodářskému významu účetních standardů IFRS poskytuje Komise nadaci IFRS finanční podporu na jejich vývoj. Komise nemá žádný právní mandát k tomu, aby schvalovala (nebo přijímala) globální standardy pro podávání zpráv o udržitelnosti, ale společně se skupinou EFRAG podporuje interoperabilitu evropských standardů pro podávání zpráv o udržitelnosti (ESRS) se standardy pro podávání zpráv o udržitelnosti v rámci IFRS a dalšími globálními standardy, jako jsou standardy Globální iniciativy pro podávání zpráv (GRI).</w:t>
      </w:r>
    </w:p>
    <w:p w14:paraId="351E73D4" w14:textId="77777777" w:rsidR="005C5409" w:rsidRPr="005A46D9" w:rsidRDefault="005C5409" w:rsidP="005C5409">
      <w:pPr>
        <w:pStyle w:val="ManualHeading1"/>
        <w:rPr>
          <w:noProof/>
        </w:rPr>
      </w:pPr>
      <w:r>
        <w:rPr>
          <w:noProof/>
        </w:rPr>
        <w:t>2.2</w:t>
      </w:r>
      <w:r>
        <w:rPr>
          <w:noProof/>
        </w:rPr>
        <w:tab/>
        <w:t>Činnosti</w:t>
      </w:r>
    </w:p>
    <w:p w14:paraId="6C4E4B7A" w14:textId="7FC8D8CF" w:rsidR="005C5409" w:rsidRPr="005A46D9" w:rsidRDefault="005C5409" w:rsidP="005C5409">
      <w:pPr>
        <w:pStyle w:val="ManualHeading1"/>
        <w:rPr>
          <w:noProof/>
        </w:rPr>
      </w:pPr>
      <w:r>
        <w:rPr>
          <w:noProof/>
        </w:rPr>
        <w:t>2.2.1</w:t>
      </w:r>
      <w:r>
        <w:rPr>
          <w:noProof/>
        </w:rPr>
        <w:tab/>
        <w:t>Nové a pozměněné standardy</w:t>
      </w:r>
    </w:p>
    <w:p w14:paraId="11EF4980" w14:textId="6986CECA" w:rsidR="00A47FE5" w:rsidRPr="005A46D9" w:rsidRDefault="00AE51A9" w:rsidP="00FD5501">
      <w:pPr>
        <w:jc w:val="both"/>
        <w:rPr>
          <w:rFonts w:ascii="Times New Roman" w:hAnsi="Times New Roman"/>
          <w:noProof/>
          <w:sz w:val="24"/>
          <w:szCs w:val="24"/>
        </w:rPr>
      </w:pPr>
      <w:r>
        <w:rPr>
          <w:rFonts w:ascii="Times New Roman" w:hAnsi="Times New Roman"/>
          <w:noProof/>
          <w:sz w:val="24"/>
        </w:rPr>
        <w:t xml:space="preserve">V dubnu 2024 vydala rada IASB nový standard IFRS 18 </w:t>
      </w:r>
      <w:r>
        <w:rPr>
          <w:rFonts w:ascii="Times New Roman" w:hAnsi="Times New Roman"/>
          <w:i/>
          <w:noProof/>
          <w:sz w:val="24"/>
        </w:rPr>
        <w:t>Sestavování a zveřejňování účetní závěrky</w:t>
      </w:r>
      <w:r>
        <w:rPr>
          <w:rFonts w:ascii="Times New Roman" w:hAnsi="Times New Roman"/>
          <w:noProof/>
          <w:sz w:val="24"/>
        </w:rPr>
        <w:t xml:space="preserve">, jehož cílem je zajistit, aby finanční výsledky prezentované v účetní závěrce byly transparentnější a celosvětově srovnatelné. To zase umožní investorům lépe se rozhodovat o investicích. Jakmile vstoupí IFRS 18 v platnost, nahradí současný IAS 1 </w:t>
      </w:r>
      <w:r>
        <w:rPr>
          <w:rFonts w:ascii="Times New Roman" w:hAnsi="Times New Roman"/>
          <w:i/>
          <w:noProof/>
          <w:sz w:val="24"/>
        </w:rPr>
        <w:t>Sestavování a zveřejňování účetní závěrky</w:t>
      </w:r>
      <w:r>
        <w:rPr>
          <w:rFonts w:ascii="Times New Roman" w:hAnsi="Times New Roman"/>
          <w:noProof/>
          <w:sz w:val="24"/>
        </w:rPr>
        <w:t>.</w:t>
      </w:r>
    </w:p>
    <w:p w14:paraId="71722CC8" w14:textId="7C689C57" w:rsidR="00AE51A9" w:rsidRPr="005A46D9" w:rsidRDefault="00AE51A9" w:rsidP="00FD5501">
      <w:pPr>
        <w:jc w:val="both"/>
        <w:rPr>
          <w:rFonts w:ascii="Times New Roman" w:hAnsi="Times New Roman"/>
          <w:noProof/>
          <w:sz w:val="24"/>
          <w:szCs w:val="24"/>
        </w:rPr>
      </w:pPr>
      <w:r>
        <w:rPr>
          <w:rFonts w:ascii="Times New Roman" w:hAnsi="Times New Roman"/>
          <w:noProof/>
          <w:sz w:val="24"/>
        </w:rPr>
        <w:t xml:space="preserve">V květnu vydala IASB nový standard IFRS 19 </w:t>
      </w:r>
      <w:r>
        <w:rPr>
          <w:rFonts w:ascii="Times New Roman" w:hAnsi="Times New Roman"/>
          <w:i/>
          <w:noProof/>
          <w:sz w:val="24"/>
        </w:rPr>
        <w:t>Dceřiné společnosti bez odpovědnosti vůči veřejnosti: zveřejňování</w:t>
      </w:r>
      <w:r>
        <w:rPr>
          <w:rFonts w:ascii="Times New Roman" w:hAnsi="Times New Roman"/>
          <w:noProof/>
          <w:sz w:val="24"/>
        </w:rPr>
        <w:t>, který zavádí pro dceřiné společnosti, které nemají odpovědnost vůči veřejnosti, ale jejichž mateřská společnost dodržuje účetní standardy IFRS, možnost uplatňovat v jejich individuálních účetních závěrkách snížené požadavky na zveřejňování. Tento dobrovolný standard má přinést úspory snížením informačních povinností při zachování základních údajů z účetní závěrky a zajištění jejich srovnatelnosti pro uživatele.</w:t>
      </w:r>
    </w:p>
    <w:p w14:paraId="5C47C16A" w14:textId="5F373ECF" w:rsidR="00AE51A9" w:rsidRPr="005A46D9" w:rsidRDefault="00AE51A9" w:rsidP="00FD5501">
      <w:pPr>
        <w:jc w:val="both"/>
        <w:rPr>
          <w:rFonts w:ascii="Times New Roman" w:hAnsi="Times New Roman"/>
          <w:noProof/>
          <w:sz w:val="24"/>
          <w:szCs w:val="24"/>
        </w:rPr>
      </w:pPr>
      <w:r>
        <w:rPr>
          <w:rFonts w:ascii="Times New Roman" w:hAnsi="Times New Roman"/>
          <w:noProof/>
          <w:sz w:val="24"/>
        </w:rPr>
        <w:t xml:space="preserve">V květnu také IASB vydala drobné změny působnosti standardu IFRS 9 </w:t>
      </w:r>
      <w:r>
        <w:rPr>
          <w:rFonts w:ascii="Times New Roman" w:hAnsi="Times New Roman"/>
          <w:i/>
          <w:noProof/>
          <w:sz w:val="24"/>
        </w:rPr>
        <w:t>Finanční nástroje</w:t>
      </w:r>
      <w:r>
        <w:rPr>
          <w:rFonts w:ascii="Times New Roman" w:hAnsi="Times New Roman"/>
          <w:noProof/>
          <w:sz w:val="24"/>
        </w:rPr>
        <w:t xml:space="preserve"> a IFRS 7 </w:t>
      </w:r>
      <w:r>
        <w:rPr>
          <w:rFonts w:ascii="Times New Roman" w:hAnsi="Times New Roman"/>
          <w:i/>
          <w:noProof/>
          <w:sz w:val="24"/>
        </w:rPr>
        <w:t>Finanční nástroje: zveřejňování</w:t>
      </w:r>
      <w:r>
        <w:rPr>
          <w:rFonts w:ascii="Times New Roman" w:hAnsi="Times New Roman"/>
          <w:noProof/>
          <w:sz w:val="24"/>
        </w:rPr>
        <w:t xml:space="preserve"> </w:t>
      </w:r>
      <w:r>
        <w:rPr>
          <w:rFonts w:ascii="Times New Roman" w:hAnsi="Times New Roman"/>
          <w:i/>
          <w:noProof/>
          <w:sz w:val="24"/>
        </w:rPr>
        <w:t>(Změny klasifikace a oceňování finančních nástrojů)</w:t>
      </w:r>
      <w:r>
        <w:rPr>
          <w:rFonts w:ascii="Times New Roman" w:hAnsi="Times New Roman"/>
          <w:noProof/>
          <w:sz w:val="24"/>
        </w:rPr>
        <w:t xml:space="preserve">, které reagují na závěry </w:t>
      </w:r>
      <w:r>
        <w:rPr>
          <w:rFonts w:ascii="Times New Roman" w:hAnsi="Times New Roman"/>
          <w:i/>
          <w:noProof/>
          <w:sz w:val="24"/>
        </w:rPr>
        <w:t xml:space="preserve">přezkumu po zavedení </w:t>
      </w:r>
      <w:r>
        <w:rPr>
          <w:rFonts w:ascii="Times New Roman" w:hAnsi="Times New Roman"/>
          <w:noProof/>
          <w:sz w:val="24"/>
        </w:rPr>
        <w:t>požadavků na klasifikaci a oceňování v IFRS 9.</w:t>
      </w:r>
    </w:p>
    <w:p w14:paraId="060A8576" w14:textId="710B06F9" w:rsidR="00AE51A9" w:rsidRPr="005A46D9" w:rsidRDefault="00AE51A9" w:rsidP="00FD5501">
      <w:pPr>
        <w:jc w:val="both"/>
        <w:rPr>
          <w:rFonts w:ascii="Times New Roman" w:hAnsi="Times New Roman"/>
          <w:noProof/>
          <w:sz w:val="24"/>
          <w:szCs w:val="24"/>
        </w:rPr>
      </w:pPr>
      <w:r>
        <w:rPr>
          <w:rFonts w:ascii="Times New Roman" w:hAnsi="Times New Roman"/>
          <w:noProof/>
          <w:sz w:val="24"/>
        </w:rPr>
        <w:t xml:space="preserve">V červenci vydala IASB dokument </w:t>
      </w:r>
      <w:r>
        <w:rPr>
          <w:rFonts w:ascii="Times New Roman" w:hAnsi="Times New Roman"/>
          <w:i/>
          <w:noProof/>
          <w:sz w:val="24"/>
        </w:rPr>
        <w:t>Roční zdokonalení účetních standardů IFRS – svazek 11</w:t>
      </w:r>
      <w:r>
        <w:rPr>
          <w:rFonts w:ascii="Times New Roman" w:hAnsi="Times New Roman"/>
          <w:noProof/>
          <w:sz w:val="24"/>
        </w:rPr>
        <w:t>, jehož cílem je vyjasnit formulace v různých účetních standardech IFRS nebo opravit drobné nezamýšlené důsledky, přehlédnutí nebo rozpory týkající se požadavků v účetních standardech IFRS.</w:t>
      </w:r>
    </w:p>
    <w:p w14:paraId="48D44404" w14:textId="3415E13B" w:rsidR="00AE51A9" w:rsidRPr="005A46D9" w:rsidRDefault="00220DA3" w:rsidP="00FD5501">
      <w:pPr>
        <w:jc w:val="both"/>
        <w:rPr>
          <w:rFonts w:ascii="Times New Roman" w:hAnsi="Times New Roman"/>
          <w:noProof/>
          <w:sz w:val="24"/>
          <w:szCs w:val="24"/>
        </w:rPr>
      </w:pPr>
      <w:r>
        <w:rPr>
          <w:rFonts w:ascii="Times New Roman" w:hAnsi="Times New Roman"/>
          <w:noProof/>
          <w:sz w:val="24"/>
        </w:rPr>
        <w:t>V prosinci vydala IASB změny standardů IFRS 9 a IFRS 7</w:t>
      </w:r>
      <w:r>
        <w:rPr>
          <w:rFonts w:ascii="Times New Roman" w:hAnsi="Times New Roman"/>
          <w:i/>
          <w:noProof/>
          <w:sz w:val="24"/>
        </w:rPr>
        <w:t xml:space="preserve"> (Smlouvy odkazující na elektřinu závislou na přírodě)</w:t>
      </w:r>
      <w:r>
        <w:rPr>
          <w:rFonts w:ascii="Times New Roman" w:hAnsi="Times New Roman"/>
          <w:noProof/>
          <w:sz w:val="24"/>
        </w:rPr>
        <w:t>, aby lépe zohlednila dopad smluv o nákupu elektřiny na účetní závěrku vzhledem k tomu, že společnosti stále častěji uzavírají takové smlouvy o nákupu energie z obnovitelných zdrojů. Smlouvy nákupu elektřiny pomáhají společnostem zmírňovat dopady změny klimatu a dekarbonizovat své výrobní procesy a výrobky.</w:t>
      </w:r>
    </w:p>
    <w:p w14:paraId="0493B618" w14:textId="466E7684" w:rsidR="005C5409" w:rsidRPr="005A46D9" w:rsidRDefault="005C5409" w:rsidP="005C5409">
      <w:pPr>
        <w:jc w:val="both"/>
        <w:rPr>
          <w:rFonts w:ascii="Times New Roman" w:hAnsi="Times New Roman"/>
          <w:noProof/>
          <w:sz w:val="24"/>
          <w:szCs w:val="24"/>
        </w:rPr>
      </w:pPr>
      <w:r>
        <w:rPr>
          <w:rFonts w:ascii="Times New Roman" w:hAnsi="Times New Roman"/>
          <w:noProof/>
          <w:sz w:val="24"/>
        </w:rPr>
        <w:t>A konečně, nadace IFRS provedla aktualizaci taxonomie IFRS, aby zohlednila důsledky nových standardů a změn</w:t>
      </w:r>
      <w:r>
        <w:rPr>
          <w:rStyle w:val="FootnoteReference"/>
          <w:rFonts w:ascii="Times New Roman" w:hAnsi="Times New Roman"/>
          <w:noProof/>
          <w:sz w:val="24"/>
          <w:szCs w:val="24"/>
          <w:lang w:eastAsia="en-GB"/>
        </w:rPr>
        <w:footnoteReference w:id="4"/>
      </w:r>
      <w:r>
        <w:rPr>
          <w:rFonts w:ascii="Times New Roman" w:hAnsi="Times New Roman"/>
          <w:noProof/>
          <w:sz w:val="24"/>
        </w:rPr>
        <w:t>.</w:t>
      </w:r>
    </w:p>
    <w:p w14:paraId="498BDE40" w14:textId="46730BE7" w:rsidR="005C5409" w:rsidRPr="005A46D9" w:rsidRDefault="005C5409" w:rsidP="005C5409">
      <w:pPr>
        <w:pStyle w:val="ManualHeading1"/>
        <w:rPr>
          <w:noProof/>
        </w:rPr>
      </w:pPr>
      <w:r>
        <w:rPr>
          <w:noProof/>
        </w:rPr>
        <w:t>2.2.2</w:t>
      </w:r>
      <w:r>
        <w:rPr>
          <w:noProof/>
        </w:rPr>
        <w:tab/>
        <w:t>Projekty</w:t>
      </w:r>
    </w:p>
    <w:p w14:paraId="3CDD455A" w14:textId="306E4FCF" w:rsidR="002B7AD3" w:rsidRPr="005A46D9" w:rsidRDefault="002B7AD3" w:rsidP="002B7AD3">
      <w:pPr>
        <w:jc w:val="both"/>
        <w:rPr>
          <w:rFonts w:ascii="Times New Roman" w:hAnsi="Times New Roman"/>
          <w:noProof/>
          <w:sz w:val="24"/>
          <w:szCs w:val="24"/>
        </w:rPr>
      </w:pPr>
      <w:r>
        <w:rPr>
          <w:rFonts w:ascii="Times New Roman" w:hAnsi="Times New Roman"/>
          <w:noProof/>
          <w:sz w:val="24"/>
        </w:rPr>
        <w:t xml:space="preserve">V březnu 2024 zveřejnila IASB konzultační dokument </w:t>
      </w:r>
      <w:r>
        <w:rPr>
          <w:rFonts w:ascii="Times New Roman" w:hAnsi="Times New Roman"/>
          <w:i/>
          <w:noProof/>
          <w:sz w:val="24"/>
        </w:rPr>
        <w:t>Podnikové kombinace – zveřejňování, goodwill a znehodnocení</w:t>
      </w:r>
      <w:r>
        <w:rPr>
          <w:rFonts w:ascii="Times New Roman" w:hAnsi="Times New Roman"/>
          <w:noProof/>
          <w:sz w:val="24"/>
        </w:rPr>
        <w:t xml:space="preserve"> s cílem zlepšit informace, které společnosti zveřejňují o výsledcích podnikových kombinací, a upravit test znehodnocení penězotvorných jednotek obsahujících goodwill.</w:t>
      </w:r>
    </w:p>
    <w:p w14:paraId="7E3A23DE" w14:textId="00183386" w:rsidR="00EF12D5" w:rsidRPr="005A46D9" w:rsidRDefault="007C469F" w:rsidP="002B7AD3">
      <w:pPr>
        <w:jc w:val="both"/>
        <w:rPr>
          <w:rFonts w:ascii="Times New Roman" w:hAnsi="Times New Roman"/>
          <w:noProof/>
          <w:sz w:val="24"/>
          <w:szCs w:val="24"/>
        </w:rPr>
      </w:pPr>
      <w:r>
        <w:rPr>
          <w:rFonts w:ascii="Times New Roman" w:hAnsi="Times New Roman"/>
          <w:noProof/>
          <w:sz w:val="24"/>
        </w:rPr>
        <w:t xml:space="preserve">V červenci IASB zveřejnila konzultační dokument </w:t>
      </w:r>
      <w:r>
        <w:rPr>
          <w:rFonts w:ascii="Times New Roman" w:hAnsi="Times New Roman"/>
          <w:i/>
          <w:noProof/>
          <w:sz w:val="24"/>
        </w:rPr>
        <w:t>Nejistoty související s klimatem a další nejistoty v účetní závěrce</w:t>
      </w:r>
      <w:r>
        <w:rPr>
          <w:rFonts w:ascii="Times New Roman" w:hAnsi="Times New Roman"/>
          <w:noProof/>
          <w:sz w:val="24"/>
        </w:rPr>
        <w:t>, který obsahoval osm příkladů ilustrujících, jak by účetní jednotka měla uplatňovat účetní standardy IFRS při vykazování dopadů klimatických a jiných nejistot ve své účetní závěrce.</w:t>
      </w:r>
    </w:p>
    <w:p w14:paraId="36E635DB" w14:textId="2EC9F9D9" w:rsidR="007B5DF2" w:rsidRPr="005A46D9" w:rsidRDefault="007B5DF2" w:rsidP="002B7AD3">
      <w:pPr>
        <w:jc w:val="both"/>
        <w:rPr>
          <w:rFonts w:ascii="Times New Roman" w:hAnsi="Times New Roman"/>
          <w:noProof/>
          <w:sz w:val="24"/>
          <w:szCs w:val="24"/>
        </w:rPr>
      </w:pPr>
      <w:r>
        <w:rPr>
          <w:rFonts w:ascii="Times New Roman" w:hAnsi="Times New Roman"/>
          <w:noProof/>
          <w:sz w:val="24"/>
        </w:rPr>
        <w:t xml:space="preserve">V červenci také IASB zveřejnila konzultační dokument </w:t>
      </w:r>
      <w:r>
        <w:rPr>
          <w:rFonts w:ascii="Times New Roman" w:hAnsi="Times New Roman"/>
          <w:i/>
          <w:noProof/>
          <w:sz w:val="24"/>
        </w:rPr>
        <w:t>Změny IFRS 19 Dceřiné společnosti bez odpovědnosti vůči veřejnosti: zveřejňování</w:t>
      </w:r>
      <w:r>
        <w:rPr>
          <w:rFonts w:ascii="Times New Roman" w:hAnsi="Times New Roman"/>
          <w:noProof/>
          <w:sz w:val="24"/>
        </w:rPr>
        <w:t>, jehož cílem bylo sladit IFRS 19 s novými a pozměněnými standardy IFRS vydanými mezi únorem 2021 a květnem 2024.</w:t>
      </w:r>
    </w:p>
    <w:p w14:paraId="1A8E2B3E" w14:textId="48DD0B45" w:rsidR="000F655B" w:rsidRPr="005A46D9" w:rsidRDefault="000F655B" w:rsidP="000F655B">
      <w:pPr>
        <w:jc w:val="both"/>
        <w:rPr>
          <w:rFonts w:ascii="Times New Roman" w:hAnsi="Times New Roman"/>
          <w:noProof/>
          <w:sz w:val="24"/>
          <w:szCs w:val="24"/>
        </w:rPr>
      </w:pPr>
      <w:r>
        <w:rPr>
          <w:rFonts w:ascii="Times New Roman" w:hAnsi="Times New Roman"/>
          <w:noProof/>
          <w:sz w:val="24"/>
        </w:rPr>
        <w:t>V červenci a září IASB dokončila přezkumy po zavedení IFRS 9</w:t>
      </w:r>
      <w:r>
        <w:rPr>
          <w:rFonts w:ascii="Times New Roman" w:hAnsi="Times New Roman"/>
          <w:i/>
          <w:noProof/>
          <w:sz w:val="24"/>
        </w:rPr>
        <w:t xml:space="preserve"> Finanční nástroje – Znehodnocení </w:t>
      </w:r>
      <w:r>
        <w:rPr>
          <w:rFonts w:ascii="Times New Roman" w:hAnsi="Times New Roman"/>
          <w:noProof/>
          <w:sz w:val="24"/>
        </w:rPr>
        <w:t xml:space="preserve">a IFRS 15 </w:t>
      </w:r>
      <w:r>
        <w:rPr>
          <w:rFonts w:ascii="Times New Roman" w:hAnsi="Times New Roman"/>
          <w:i/>
          <w:noProof/>
          <w:sz w:val="24"/>
        </w:rPr>
        <w:t>Výnosy ze smluv se zákazníky</w:t>
      </w:r>
      <w:r>
        <w:rPr>
          <w:rFonts w:ascii="Times New Roman" w:hAnsi="Times New Roman"/>
          <w:noProof/>
          <w:sz w:val="24"/>
        </w:rPr>
        <w:t>. Dospěla k závěru, že požadavky v obou standardech fungují tak, jak mají.</w:t>
      </w:r>
    </w:p>
    <w:p w14:paraId="222CC78A" w14:textId="34F46596" w:rsidR="00752D49" w:rsidRPr="005A46D9" w:rsidRDefault="00752D49" w:rsidP="00752D49">
      <w:pPr>
        <w:jc w:val="both"/>
        <w:rPr>
          <w:rFonts w:ascii="Times New Roman" w:hAnsi="Times New Roman"/>
          <w:noProof/>
          <w:sz w:val="24"/>
          <w:szCs w:val="24"/>
        </w:rPr>
      </w:pPr>
      <w:r>
        <w:rPr>
          <w:rFonts w:ascii="Times New Roman" w:hAnsi="Times New Roman"/>
          <w:noProof/>
          <w:sz w:val="24"/>
        </w:rPr>
        <w:t xml:space="preserve">V září IASB zveřejnila konzultační dokument </w:t>
      </w:r>
      <w:r>
        <w:rPr>
          <w:rFonts w:ascii="Times New Roman" w:hAnsi="Times New Roman"/>
          <w:i/>
          <w:noProof/>
          <w:sz w:val="24"/>
        </w:rPr>
        <w:t>Účetní ekvivalenční metoda – IAS 28 Investice do přidružených podniků a společných podniků (revi</w:t>
      </w:r>
      <w:r w:rsidR="005C31D0">
        <w:rPr>
          <w:rFonts w:ascii="Times New Roman" w:hAnsi="Times New Roman"/>
          <w:i/>
          <w:noProof/>
          <w:sz w:val="24"/>
        </w:rPr>
        <w:t>ze</w:t>
      </w:r>
      <w:r>
        <w:rPr>
          <w:rFonts w:ascii="Times New Roman" w:hAnsi="Times New Roman"/>
          <w:i/>
          <w:noProof/>
          <w:sz w:val="24"/>
        </w:rPr>
        <w:t xml:space="preserve"> 202x</w:t>
      </w:r>
      <w:r>
        <w:rPr>
          <w:rFonts w:ascii="Times New Roman" w:hAnsi="Times New Roman"/>
          <w:noProof/>
          <w:sz w:val="24"/>
        </w:rPr>
        <w:t>) s cílem doplnit a objasnit použití ekvivalenční metody.</w:t>
      </w:r>
    </w:p>
    <w:p w14:paraId="2B74EC2E" w14:textId="3B688ED2" w:rsidR="00F018BD" w:rsidRPr="005A46D9" w:rsidRDefault="00F018BD" w:rsidP="008F283E">
      <w:pPr>
        <w:jc w:val="both"/>
        <w:rPr>
          <w:noProof/>
        </w:rPr>
      </w:pPr>
      <w:r>
        <w:rPr>
          <w:rFonts w:ascii="Times New Roman" w:hAnsi="Times New Roman"/>
          <w:noProof/>
          <w:sz w:val="24"/>
        </w:rPr>
        <w:t xml:space="preserve">V listopadu zveřejnila IASB konzultační dokument </w:t>
      </w:r>
      <w:r>
        <w:rPr>
          <w:rFonts w:ascii="Times New Roman" w:hAnsi="Times New Roman"/>
          <w:i/>
          <w:noProof/>
          <w:sz w:val="24"/>
        </w:rPr>
        <w:t xml:space="preserve">Rezervy – cílená zlepšení. </w:t>
      </w:r>
      <w:r>
        <w:rPr>
          <w:rFonts w:ascii="Times New Roman" w:hAnsi="Times New Roman"/>
          <w:noProof/>
          <w:sz w:val="24"/>
        </w:rPr>
        <w:t xml:space="preserve">Předložila tři návrhy na zlepšení IAS 37 </w:t>
      </w:r>
      <w:r>
        <w:rPr>
          <w:rFonts w:ascii="Times New Roman" w:hAnsi="Times New Roman"/>
          <w:i/>
          <w:noProof/>
          <w:sz w:val="24"/>
        </w:rPr>
        <w:t>Rezervy, podmíněné závazky a podmíněná aktiva.</w:t>
      </w:r>
    </w:p>
    <w:p w14:paraId="046B4731" w14:textId="283B9A5C" w:rsidR="005619C6" w:rsidRPr="005A46D9" w:rsidRDefault="00881619" w:rsidP="00313B89">
      <w:pPr>
        <w:jc w:val="both"/>
        <w:rPr>
          <w:rFonts w:ascii="Times New Roman" w:hAnsi="Times New Roman"/>
          <w:noProof/>
          <w:sz w:val="24"/>
          <w:szCs w:val="24"/>
        </w:rPr>
      </w:pPr>
      <w:r>
        <w:rPr>
          <w:rFonts w:ascii="Times New Roman" w:hAnsi="Times New Roman"/>
          <w:noProof/>
          <w:sz w:val="24"/>
        </w:rPr>
        <w:t xml:space="preserve">V průběhu roku 2024 IASB rovněž dokončila projednávání projektu činností, na které se vztahuje regulace sazeb, a pokračovala v práci na konzultačním dokumentu </w:t>
      </w:r>
      <w:r>
        <w:rPr>
          <w:rFonts w:ascii="Times New Roman" w:hAnsi="Times New Roman"/>
          <w:i/>
          <w:noProof/>
          <w:sz w:val="24"/>
        </w:rPr>
        <w:t>Dynamické řízení rizik</w:t>
      </w:r>
      <w:r>
        <w:rPr>
          <w:rFonts w:ascii="Times New Roman" w:hAnsi="Times New Roman"/>
          <w:noProof/>
          <w:sz w:val="24"/>
        </w:rPr>
        <w:t xml:space="preserve"> s cílem vypracovat požadavky na makrozajištění úrokového rizika v bankovním portfoliu.</w:t>
      </w:r>
    </w:p>
    <w:p w14:paraId="5A8308D1" w14:textId="55F1B8F4" w:rsidR="005C5409" w:rsidRPr="005A46D9" w:rsidRDefault="005C5409" w:rsidP="005C5409">
      <w:pPr>
        <w:jc w:val="both"/>
        <w:rPr>
          <w:rFonts w:ascii="Times New Roman" w:hAnsi="Times New Roman"/>
          <w:noProof/>
          <w:sz w:val="24"/>
          <w:szCs w:val="24"/>
        </w:rPr>
      </w:pPr>
      <w:r>
        <w:rPr>
          <w:rFonts w:ascii="Times New Roman" w:hAnsi="Times New Roman"/>
          <w:noProof/>
          <w:sz w:val="24"/>
        </w:rPr>
        <w:t>Přehled všech činností a projektů je k dispozici na internetových stránkách nadace IFRS</w:t>
      </w:r>
      <w:r>
        <w:rPr>
          <w:rStyle w:val="FootnoteReference"/>
          <w:rFonts w:ascii="Times New Roman" w:hAnsi="Times New Roman"/>
          <w:noProof/>
          <w:sz w:val="24"/>
          <w:szCs w:val="24"/>
          <w:lang w:eastAsia="en-GB"/>
        </w:rPr>
        <w:footnoteReference w:id="5"/>
      </w:r>
      <w:r>
        <w:rPr>
          <w:rFonts w:ascii="Times New Roman" w:hAnsi="Times New Roman"/>
          <w:noProof/>
          <w:sz w:val="24"/>
        </w:rPr>
        <w:t>.</w:t>
      </w:r>
    </w:p>
    <w:p w14:paraId="7411B9FD" w14:textId="0E363934" w:rsidR="005C5409" w:rsidRPr="005A46D9" w:rsidRDefault="005C5409" w:rsidP="009C695E">
      <w:pPr>
        <w:pStyle w:val="ManualHeading1"/>
        <w:rPr>
          <w:noProof/>
        </w:rPr>
      </w:pPr>
      <w:r>
        <w:rPr>
          <w:noProof/>
        </w:rPr>
        <w:t>2.3</w:t>
      </w:r>
      <w:r>
        <w:rPr>
          <w:noProof/>
        </w:rPr>
        <w:tab/>
        <w:t>Financování</w:t>
      </w:r>
    </w:p>
    <w:p w14:paraId="67191179" w14:textId="1B758AD1" w:rsidR="005C5409" w:rsidRPr="005A46D9" w:rsidRDefault="005C5409" w:rsidP="005C5409">
      <w:pPr>
        <w:spacing w:before="120" w:after="120"/>
        <w:jc w:val="both"/>
        <w:rPr>
          <w:rFonts w:ascii="Times New Roman" w:hAnsi="Times New Roman"/>
          <w:noProof/>
          <w:sz w:val="24"/>
          <w:szCs w:val="24"/>
        </w:rPr>
      </w:pPr>
      <w:r>
        <w:rPr>
          <w:rFonts w:ascii="Times New Roman" w:hAnsi="Times New Roman"/>
          <w:noProof/>
          <w:sz w:val="24"/>
        </w:rPr>
        <w:t>Nadace IFRS obdržela v roce 2024 od Komise grant ve výši 3,05 milionu EUR na činnosti IASB, což představuje 17 % celkových finančních příspěvků pro nadaci IFRS na tyto činnosti. Komise byla i nadále největším přispěvatelem a uplatňovala maximální míru spolufinancování ve výši 20 % způsobilých nákladů.</w:t>
      </w:r>
    </w:p>
    <w:p w14:paraId="47C044D2" w14:textId="60EAFF93" w:rsidR="005C5409" w:rsidRPr="005A46D9" w:rsidRDefault="005C5409" w:rsidP="005C5409">
      <w:pPr>
        <w:spacing w:before="120" w:after="120"/>
        <w:jc w:val="both"/>
        <w:rPr>
          <w:rFonts w:ascii="Times New Roman" w:hAnsi="Times New Roman"/>
          <w:noProof/>
          <w:sz w:val="24"/>
          <w:szCs w:val="24"/>
        </w:rPr>
      </w:pPr>
      <w:r>
        <w:rPr>
          <w:rFonts w:ascii="Times New Roman" w:hAnsi="Times New Roman"/>
          <w:noProof/>
          <w:sz w:val="24"/>
        </w:rPr>
        <w:t>Rozdělení financování na činnosti IASB podle hlavních zeměpisných oblastí a mezinárodních účetních sítí ukazuje, že EU a její členské státy poskytly v roce 2024 32,8 % celkových příspěvků, Asie-Oceánie 34,8 %, mezinárodní účetní sítě 14,7 %, Amerika 5,5 %, Afrika 0,9 % a ostatní 11,3 %. Relativní podíl financování Komise a členských států se oproti roku 2023 zvýšil (z 32,0 % na 32,8 %).</w:t>
      </w:r>
    </w:p>
    <w:p w14:paraId="5E6E936B" w14:textId="77777777" w:rsidR="005C5409" w:rsidRPr="005A46D9" w:rsidRDefault="005C5409" w:rsidP="005C5409">
      <w:pPr>
        <w:pStyle w:val="ManualHeading1"/>
        <w:rPr>
          <w:noProof/>
        </w:rPr>
      </w:pPr>
      <w:r>
        <w:rPr>
          <w:noProof/>
        </w:rPr>
        <w:t>3.</w:t>
      </w:r>
      <w:r>
        <w:rPr>
          <w:noProof/>
        </w:rPr>
        <w:tab/>
        <w:t>EFRAG</w:t>
      </w:r>
    </w:p>
    <w:p w14:paraId="531A5540" w14:textId="77777777" w:rsidR="005C5409" w:rsidRPr="005A46D9" w:rsidRDefault="005C5409" w:rsidP="005C5409">
      <w:pPr>
        <w:pStyle w:val="ManualHeading1"/>
        <w:spacing w:after="240"/>
        <w:rPr>
          <w:noProof/>
        </w:rPr>
      </w:pPr>
      <w:r>
        <w:rPr>
          <w:noProof/>
        </w:rPr>
        <w:t>3.1</w:t>
      </w:r>
      <w:r>
        <w:rPr>
          <w:noProof/>
        </w:rPr>
        <w:tab/>
        <w:t>Správa a řízení</w:t>
      </w:r>
    </w:p>
    <w:p w14:paraId="344548E0" w14:textId="0CC7E394" w:rsidR="005C5409" w:rsidRPr="005A46D9" w:rsidRDefault="005C5409" w:rsidP="005C5409">
      <w:pPr>
        <w:jc w:val="both"/>
        <w:rPr>
          <w:rFonts w:ascii="Times New Roman" w:hAnsi="Times New Roman"/>
          <w:noProof/>
          <w:sz w:val="24"/>
        </w:rPr>
      </w:pPr>
      <w:r>
        <w:rPr>
          <w:rFonts w:ascii="Times New Roman" w:hAnsi="Times New Roman"/>
          <w:noProof/>
          <w:sz w:val="24"/>
        </w:rPr>
        <w:t>Skupina EFRAG je veřejně a soukromě financovaná organizace, jež působí v evropském veřejném zájmu a má právní formu AISBL (mezinárodní neziskové organizace zřízené podle belgického práva). Její činnost je rozdělena do dvou pilířů: účetní výkaznictví a podávání zpráv o udržitelnosti.</w:t>
      </w:r>
    </w:p>
    <w:p w14:paraId="61097DEF" w14:textId="2617126B" w:rsidR="005C5409" w:rsidRPr="005A46D9" w:rsidRDefault="005C5409" w:rsidP="005C5409">
      <w:pPr>
        <w:jc w:val="both"/>
        <w:rPr>
          <w:rFonts w:ascii="Times New Roman" w:hAnsi="Times New Roman"/>
          <w:noProof/>
          <w:sz w:val="24"/>
          <w:szCs w:val="24"/>
        </w:rPr>
      </w:pPr>
      <w:r>
        <w:rPr>
          <w:rFonts w:ascii="Times New Roman" w:hAnsi="Times New Roman"/>
          <w:noProof/>
          <w:sz w:val="24"/>
        </w:rPr>
        <w:t>V oblasti účetního výkaznictví je posláním EFRAG sloužit evropskému veřejnému zájmu tím, že rozvíjí a podporuje evropské názory v oblasti účetního výkaznictví a zajišťuje, aby byly tyto názory řádně zohledněny v procesu stanovování standardů IASB a v souvisejících mezinárodních diskuzích. Skupina EFRAG poskytuje Komisi poradenství ohledně toho, zda by EU měla schválit nové nebo revidované účetní standardy IFRS. Kromě toho EFRAG provádí proaktivní účetní výzkum.</w:t>
      </w:r>
    </w:p>
    <w:p w14:paraId="2BF4FFB2" w14:textId="000E0476" w:rsidR="00226AA8" w:rsidRPr="005A46D9" w:rsidRDefault="00EA3ADE" w:rsidP="00226AA8">
      <w:pPr>
        <w:jc w:val="both"/>
        <w:rPr>
          <w:rFonts w:ascii="Times New Roman" w:hAnsi="Times New Roman"/>
          <w:noProof/>
          <w:sz w:val="24"/>
        </w:rPr>
      </w:pPr>
      <w:r>
        <w:rPr>
          <w:rFonts w:ascii="Times New Roman" w:hAnsi="Times New Roman"/>
          <w:noProof/>
          <w:sz w:val="24"/>
        </w:rPr>
        <w:t>V oblasti podávání zpráv o udržitelnosti poskytuje EFRAG podle směrnice o podávání zpráv podniků o udržitelnosti</w:t>
      </w:r>
      <w:r>
        <w:rPr>
          <w:rStyle w:val="FootnoteReference"/>
          <w:rFonts w:ascii="Times New Roman" w:hAnsi="Times New Roman"/>
          <w:noProof/>
          <w:sz w:val="24"/>
          <w:szCs w:val="24"/>
        </w:rPr>
        <w:footnoteReference w:id="6"/>
      </w:r>
      <w:r>
        <w:rPr>
          <w:rFonts w:ascii="Times New Roman" w:hAnsi="Times New Roman"/>
          <w:noProof/>
          <w:sz w:val="24"/>
        </w:rPr>
        <w:t xml:space="preserve"> technické poradenství Komisi v podobě návrhů evropských standardů pro podávání zpráv o udržitelnosti (ESRS) vypracovaných podle robustního řádného postupu. Kromě toho podporuje účinné provádění standardů ESRS.</w:t>
      </w:r>
    </w:p>
    <w:p w14:paraId="31EFCCA0" w14:textId="6411DB2C" w:rsidR="005C5409" w:rsidRPr="005A46D9" w:rsidRDefault="000D278B" w:rsidP="005C5409">
      <w:pPr>
        <w:jc w:val="both"/>
        <w:rPr>
          <w:rFonts w:ascii="Times New Roman" w:hAnsi="Times New Roman"/>
          <w:noProof/>
          <w:sz w:val="24"/>
          <w:szCs w:val="24"/>
        </w:rPr>
      </w:pPr>
      <w:r>
        <w:rPr>
          <w:rFonts w:ascii="Times New Roman" w:hAnsi="Times New Roman"/>
          <w:noProof/>
          <w:sz w:val="24"/>
        </w:rPr>
        <w:t>Správní rada EFRAG je odpovědná za řádný dohled nad všemi technickými orgány. V této činnosti ji podporuje Výbor pro řádný postup. V roce 2024 zastával funkci předsedy Rady EFRAG pro účetní výkaznictví Wolf Klinz a funkci předsedy Rady EFRAG pro podávání zpráv o udržitelnosti Patrick de Cambourg. Do června 2024 byl předsedou správní rady EFRAG Hans Buysse, od července 2024 zastává tuto funkci Benoit Jaspar.</w:t>
      </w:r>
    </w:p>
    <w:p w14:paraId="2E1D3C01" w14:textId="3AA1ADC2" w:rsidR="00AE0F47" w:rsidRPr="005A46D9" w:rsidRDefault="005C5409" w:rsidP="00AE0F47">
      <w:pPr>
        <w:pStyle w:val="ManualHeading1"/>
        <w:rPr>
          <w:noProof/>
        </w:rPr>
      </w:pPr>
      <w:r>
        <w:rPr>
          <w:noProof/>
        </w:rPr>
        <w:t>3.2</w:t>
      </w:r>
      <w:r>
        <w:rPr>
          <w:noProof/>
        </w:rPr>
        <w:tab/>
        <w:t>Pilíř pro účetní výkaznictví</w:t>
      </w:r>
    </w:p>
    <w:p w14:paraId="26524536" w14:textId="2F97FE04" w:rsidR="005C5409" w:rsidRPr="005A46D9" w:rsidRDefault="005C5409" w:rsidP="005C5409">
      <w:pPr>
        <w:jc w:val="both"/>
        <w:rPr>
          <w:rFonts w:ascii="Times New Roman" w:hAnsi="Times New Roman"/>
          <w:noProof/>
          <w:sz w:val="24"/>
          <w:szCs w:val="24"/>
        </w:rPr>
      </w:pPr>
      <w:r>
        <w:rPr>
          <w:rFonts w:ascii="Times New Roman" w:hAnsi="Times New Roman"/>
          <w:noProof/>
          <w:sz w:val="24"/>
        </w:rPr>
        <w:t>V roce 2024 se činnost skupiny EFRAG v oblasti účetního výkaznictví nadále z velké části řídila pracovním programem rady IASB, Výboru pro interpretace IFRS a nadace IFRS.</w:t>
      </w:r>
    </w:p>
    <w:p w14:paraId="5C866FDC" w14:textId="3E7C0543" w:rsidR="00D55609" w:rsidRPr="005A46D9" w:rsidRDefault="00D55609" w:rsidP="00D55609">
      <w:pPr>
        <w:jc w:val="both"/>
        <w:rPr>
          <w:rFonts w:ascii="Times New Roman" w:hAnsi="Times New Roman"/>
          <w:noProof/>
          <w:sz w:val="24"/>
          <w:szCs w:val="24"/>
        </w:rPr>
      </w:pPr>
      <w:r>
        <w:rPr>
          <w:rFonts w:ascii="Times New Roman" w:hAnsi="Times New Roman"/>
          <w:noProof/>
          <w:sz w:val="24"/>
        </w:rPr>
        <w:t xml:space="preserve">EFRAG vydala doporučení ke schválení změn IAS 21 </w:t>
      </w:r>
      <w:r>
        <w:rPr>
          <w:rFonts w:ascii="Times New Roman" w:hAnsi="Times New Roman"/>
          <w:i/>
          <w:noProof/>
          <w:sz w:val="24"/>
        </w:rPr>
        <w:t>Dopady změn měnových kurzů</w:t>
      </w:r>
      <w:r>
        <w:rPr>
          <w:rFonts w:ascii="Times New Roman" w:hAnsi="Times New Roman"/>
          <w:noProof/>
          <w:sz w:val="24"/>
        </w:rPr>
        <w:t xml:space="preserve"> </w:t>
      </w:r>
      <w:r>
        <w:rPr>
          <w:rFonts w:ascii="Times New Roman" w:hAnsi="Times New Roman"/>
          <w:i/>
          <w:noProof/>
          <w:sz w:val="24"/>
        </w:rPr>
        <w:t>(nesměnitelnost</w:t>
      </w:r>
      <w:r>
        <w:rPr>
          <w:rFonts w:ascii="Times New Roman" w:hAnsi="Times New Roman"/>
          <w:noProof/>
          <w:sz w:val="24"/>
        </w:rPr>
        <w:t xml:space="preserve">), změn IFRS 9 </w:t>
      </w:r>
      <w:r>
        <w:rPr>
          <w:rFonts w:ascii="Times New Roman" w:hAnsi="Times New Roman"/>
          <w:i/>
          <w:noProof/>
          <w:sz w:val="24"/>
        </w:rPr>
        <w:t>Finanční nástroje</w:t>
      </w:r>
      <w:r>
        <w:rPr>
          <w:rFonts w:ascii="Times New Roman" w:hAnsi="Times New Roman"/>
          <w:noProof/>
          <w:sz w:val="24"/>
        </w:rPr>
        <w:t xml:space="preserve"> a IFRS 7 </w:t>
      </w:r>
      <w:r>
        <w:rPr>
          <w:rFonts w:ascii="Times New Roman" w:hAnsi="Times New Roman"/>
          <w:i/>
          <w:noProof/>
          <w:sz w:val="24"/>
        </w:rPr>
        <w:t xml:space="preserve">Finanční nástroje: zveřejňování (Změny klasifikace a oceňování finančních nástrojů) </w:t>
      </w:r>
      <w:r>
        <w:rPr>
          <w:rFonts w:ascii="Times New Roman" w:hAnsi="Times New Roman"/>
          <w:noProof/>
          <w:sz w:val="24"/>
        </w:rPr>
        <w:t xml:space="preserve">a </w:t>
      </w:r>
      <w:r>
        <w:rPr>
          <w:rFonts w:ascii="Times New Roman" w:hAnsi="Times New Roman"/>
          <w:i/>
          <w:noProof/>
          <w:sz w:val="24"/>
        </w:rPr>
        <w:t>Ročního zdokonalení účetních standardů IFRS – svazek 11</w:t>
      </w:r>
      <w:r>
        <w:rPr>
          <w:rFonts w:ascii="Times New Roman" w:hAnsi="Times New Roman"/>
          <w:noProof/>
          <w:sz w:val="24"/>
        </w:rPr>
        <w:t>.</w:t>
      </w:r>
    </w:p>
    <w:p w14:paraId="27049A93" w14:textId="36E2A25F" w:rsidR="00962CD1" w:rsidRPr="005A46D9" w:rsidRDefault="00962CD1" w:rsidP="005C5409">
      <w:pPr>
        <w:jc w:val="both"/>
        <w:rPr>
          <w:rFonts w:ascii="Times New Roman" w:hAnsi="Times New Roman"/>
          <w:noProof/>
          <w:sz w:val="24"/>
          <w:szCs w:val="24"/>
        </w:rPr>
      </w:pPr>
      <w:r>
        <w:rPr>
          <w:rFonts w:ascii="Times New Roman" w:hAnsi="Times New Roman"/>
          <w:noProof/>
          <w:sz w:val="24"/>
        </w:rPr>
        <w:t xml:space="preserve">EFRAG připravila doporučení ke schválení IFRS 18 </w:t>
      </w:r>
      <w:r>
        <w:rPr>
          <w:rFonts w:ascii="Times New Roman" w:hAnsi="Times New Roman"/>
          <w:i/>
          <w:noProof/>
          <w:sz w:val="24"/>
        </w:rPr>
        <w:t>Sestavování a zveřejňování účetní závěrky</w:t>
      </w:r>
      <w:r>
        <w:rPr>
          <w:rFonts w:ascii="Times New Roman" w:hAnsi="Times New Roman"/>
          <w:noProof/>
          <w:sz w:val="24"/>
        </w:rPr>
        <w:t xml:space="preserve"> a IFRS 19 </w:t>
      </w:r>
      <w:r>
        <w:rPr>
          <w:rFonts w:ascii="Times New Roman" w:hAnsi="Times New Roman"/>
          <w:i/>
          <w:noProof/>
          <w:sz w:val="24"/>
        </w:rPr>
        <w:t>Dceřiné společnosti bez odpovědnosti vůči veřejnosti: zveřejňování</w:t>
      </w:r>
      <w:r>
        <w:rPr>
          <w:rFonts w:ascii="Times New Roman" w:hAnsi="Times New Roman"/>
          <w:noProof/>
          <w:sz w:val="24"/>
        </w:rPr>
        <w:t>.</w:t>
      </w:r>
    </w:p>
    <w:p w14:paraId="193F4CB6" w14:textId="2F7BF7D8" w:rsidR="005C5409" w:rsidRPr="005A46D9" w:rsidRDefault="005C5409" w:rsidP="005C5409">
      <w:pPr>
        <w:jc w:val="both"/>
        <w:rPr>
          <w:rFonts w:ascii="Times New Roman" w:hAnsi="Times New Roman" w:cs="Times New Roman"/>
          <w:noProof/>
          <w:sz w:val="24"/>
          <w:szCs w:val="24"/>
        </w:rPr>
      </w:pPr>
      <w:r>
        <w:rPr>
          <w:rFonts w:ascii="Times New Roman" w:hAnsi="Times New Roman"/>
          <w:noProof/>
          <w:sz w:val="24"/>
        </w:rPr>
        <w:t>EFRAG také vydala šest dopisů s připomínkami a dvě zpětné vazby a zveřejnila výzkumný dokument o propojení mezi finančním výkaznictvím a podáváním zpráv o udržitelnosti.</w:t>
      </w:r>
    </w:p>
    <w:p w14:paraId="2C6E9033" w14:textId="7FA7496E" w:rsidR="005C5409" w:rsidRPr="005A46D9" w:rsidRDefault="005C5409" w:rsidP="005C5409">
      <w:pPr>
        <w:jc w:val="both"/>
        <w:rPr>
          <w:rFonts w:ascii="Times New Roman" w:hAnsi="Times New Roman"/>
          <w:noProof/>
          <w:sz w:val="24"/>
          <w:szCs w:val="24"/>
        </w:rPr>
      </w:pPr>
      <w:r>
        <w:rPr>
          <w:rFonts w:ascii="Times New Roman" w:hAnsi="Times New Roman"/>
          <w:noProof/>
          <w:sz w:val="24"/>
        </w:rPr>
        <w:t xml:space="preserve">Kromě toho EFRAG pozorně sledovala důležité probíhající projekty IASB, u nichž se očekává, že povedou ke stanovení standardů IASB, které budou vyžadovat schválení ze strany EU v blízké budoucnosti. K těmto projektům patří </w:t>
      </w:r>
      <w:r>
        <w:rPr>
          <w:rFonts w:ascii="Times New Roman" w:hAnsi="Times New Roman"/>
          <w:i/>
          <w:noProof/>
          <w:sz w:val="24"/>
        </w:rPr>
        <w:t>Činnosti, na které se vztahuje regulace sazeb</w:t>
      </w:r>
      <w:r>
        <w:rPr>
          <w:rFonts w:ascii="Times New Roman" w:hAnsi="Times New Roman"/>
          <w:noProof/>
          <w:sz w:val="24"/>
        </w:rPr>
        <w:t xml:space="preserve">, </w:t>
      </w:r>
      <w:hyperlink r:id="rId16" w:history="1">
        <w:r>
          <w:rPr>
            <w:rFonts w:ascii="Times New Roman" w:hAnsi="Times New Roman"/>
            <w:i/>
            <w:noProof/>
            <w:sz w:val="24"/>
          </w:rPr>
          <w:t>Finanční nástroje s charakteristikami vlastního kapitálu</w:t>
        </w:r>
      </w:hyperlink>
      <w:r>
        <w:rPr>
          <w:rFonts w:ascii="Times New Roman" w:hAnsi="Times New Roman"/>
          <w:i/>
          <w:noProof/>
          <w:sz w:val="24"/>
        </w:rPr>
        <w:t xml:space="preserve"> </w:t>
      </w:r>
      <w:r>
        <w:rPr>
          <w:rFonts w:ascii="Times New Roman" w:hAnsi="Times New Roman"/>
          <w:noProof/>
          <w:sz w:val="24"/>
        </w:rPr>
        <w:t>a</w:t>
      </w:r>
      <w:r>
        <w:rPr>
          <w:rFonts w:ascii="Times New Roman" w:hAnsi="Times New Roman"/>
          <w:i/>
          <w:noProof/>
          <w:sz w:val="24"/>
        </w:rPr>
        <w:t xml:space="preserve"> Dynamické řízení rizik</w:t>
      </w:r>
      <w:r>
        <w:rPr>
          <w:rFonts w:ascii="Times New Roman" w:hAnsi="Times New Roman"/>
          <w:noProof/>
          <w:sz w:val="24"/>
        </w:rPr>
        <w:t>. V roce 2024 uspořádala EFRAG rozsáhlé komunikační akce a diskuse u kulatého stolu, aby zjistila, zda a do jaké míry budou účetní přístupy navržené IASB fungovat ve prospěch voličů, nebo zda budou při uplatňování působit problémy. EFRAG následně informovala radu IASB o možných problémech, kterým by mohly čelit evropské zúčastněné strany.</w:t>
      </w:r>
    </w:p>
    <w:p w14:paraId="6DB37116" w14:textId="77777777" w:rsidR="005C5409" w:rsidRPr="005A46D9" w:rsidRDefault="005C5409" w:rsidP="005C5409">
      <w:pPr>
        <w:pStyle w:val="NormalWeb"/>
        <w:spacing w:line="276" w:lineRule="auto"/>
        <w:jc w:val="both"/>
        <w:rPr>
          <w:noProof/>
        </w:rPr>
      </w:pPr>
      <w:r>
        <w:rPr>
          <w:noProof/>
        </w:rPr>
        <w:t>Prostřednictvím svého akademického panelu a akademické sítě posílila skupina EFRAG spolupráci s akademickými kruhy.</w:t>
      </w:r>
    </w:p>
    <w:p w14:paraId="180658F9" w14:textId="5EA18DD8" w:rsidR="005C5409" w:rsidRPr="005A46D9" w:rsidRDefault="00AE0F47" w:rsidP="005C5409">
      <w:pPr>
        <w:pStyle w:val="ManualHeading1"/>
        <w:rPr>
          <w:noProof/>
        </w:rPr>
      </w:pPr>
      <w:r>
        <w:rPr>
          <w:noProof/>
        </w:rPr>
        <w:t>3.3</w:t>
      </w:r>
      <w:r>
        <w:rPr>
          <w:noProof/>
        </w:rPr>
        <w:tab/>
        <w:t>Pilíř pro podávání zpráv o udržitelnosti</w:t>
      </w:r>
    </w:p>
    <w:p w14:paraId="29CD3962" w14:textId="6A914E92" w:rsidR="002F4F3E" w:rsidRPr="005A46D9" w:rsidRDefault="007B6C77" w:rsidP="002F4F3E">
      <w:pPr>
        <w:jc w:val="both"/>
        <w:rPr>
          <w:rFonts w:ascii="Times New Roman" w:hAnsi="Times New Roman"/>
          <w:noProof/>
          <w:sz w:val="24"/>
          <w:szCs w:val="24"/>
        </w:rPr>
      </w:pPr>
      <w:r>
        <w:rPr>
          <w:rFonts w:ascii="Times New Roman" w:hAnsi="Times New Roman"/>
          <w:noProof/>
          <w:sz w:val="24"/>
        </w:rPr>
        <w:t>V roce 2024 se skupina EFRAG zaměřila na poskytování podpory při provádění (otázky a odpovědi a pokyny k provádění) velkým společnostem, na které se vztahují ESRS, a na vývoj zjednodušených standardů pro podávání zpráv pro malé a střední podniky.</w:t>
      </w:r>
    </w:p>
    <w:p w14:paraId="27C02F88" w14:textId="1AA12BB2" w:rsidR="0018111E" w:rsidRPr="005A46D9" w:rsidRDefault="007F5ACA" w:rsidP="002F4F3E">
      <w:pPr>
        <w:jc w:val="both"/>
        <w:rPr>
          <w:rFonts w:ascii="Times New Roman" w:hAnsi="Times New Roman"/>
          <w:noProof/>
          <w:sz w:val="24"/>
          <w:szCs w:val="24"/>
        </w:rPr>
      </w:pPr>
      <w:r>
        <w:rPr>
          <w:rFonts w:ascii="Times New Roman" w:hAnsi="Times New Roman"/>
          <w:noProof/>
          <w:sz w:val="24"/>
        </w:rPr>
        <w:t>V lednu provedla EFRAG veřejnou konzultaci o vývoji dvou standardů pro malé a střední podniky, a to zjednodušeného standardu, který má snížit zátěž kotovaných malých a středních podniků spojenou s vykazováním („standard LSME“), a dobrovolného standardu na podporu nekotovaných malých a středních podniků při poskytování informací bankám nebo větším skupinám, jejichž hodnotových řetězců jsou součástí („standard VSME“).</w:t>
      </w:r>
    </w:p>
    <w:p w14:paraId="6F669B6E" w14:textId="1E7509DD" w:rsidR="00F00B5D" w:rsidRPr="005A46D9" w:rsidRDefault="00F00B5D" w:rsidP="002F4F3E">
      <w:pPr>
        <w:jc w:val="both"/>
        <w:rPr>
          <w:rFonts w:ascii="Times New Roman" w:hAnsi="Times New Roman" w:cs="Times New Roman"/>
          <w:noProof/>
          <w:sz w:val="24"/>
          <w:szCs w:val="24"/>
          <w:shd w:val="clear" w:color="auto" w:fill="FFFFFF"/>
        </w:rPr>
      </w:pPr>
      <w:r>
        <w:rPr>
          <w:rFonts w:ascii="Times New Roman" w:hAnsi="Times New Roman"/>
          <w:noProof/>
          <w:sz w:val="24"/>
        </w:rPr>
        <w:t>Skupina EFRAG a nadace IFRS zveřejnily dne 2. května pokyny k interoperabilitě, které popisují velmi vysoký stupeň sladění ESRS a ISSB a</w:t>
      </w:r>
      <w:r>
        <w:rPr>
          <w:rFonts w:ascii="Times New Roman" w:hAnsi="Times New Roman"/>
          <w:noProof/>
          <w:sz w:val="24"/>
          <w:shd w:val="clear" w:color="auto" w:fill="FFFFFF"/>
        </w:rPr>
        <w:t xml:space="preserve"> vysvětlují, jakým způsobem mohou společnosti používat oba soubory standardů. Součástí pokynů byla také podrobná analýza způsobu sladění zveřejňovaných informací týkajících se klimatu.</w:t>
      </w:r>
    </w:p>
    <w:p w14:paraId="74DDAAD6" w14:textId="5288E68E" w:rsidR="00F00B5D" w:rsidRPr="005A46D9" w:rsidRDefault="00F00B5D" w:rsidP="002F4F3E">
      <w:pPr>
        <w:jc w:val="both"/>
        <w:rPr>
          <w:rFonts w:ascii="Times New Roman" w:hAnsi="Times New Roman"/>
          <w:noProof/>
          <w:sz w:val="24"/>
          <w:szCs w:val="24"/>
        </w:rPr>
      </w:pPr>
      <w:r>
        <w:rPr>
          <w:rFonts w:ascii="Times New Roman" w:hAnsi="Times New Roman"/>
          <w:noProof/>
          <w:sz w:val="24"/>
        </w:rPr>
        <w:t>V květnu zveřejnila EFRAG rovněž tři prováděcí pokyny pro společnosti připravující zprávy o udržitelnosti podle ESRS, které se týkají posouzení významnosti, podávání zpráv v rámci hodnotového řetězce a stanovení seznamu datových bodů.</w:t>
      </w:r>
    </w:p>
    <w:p w14:paraId="63752BB5" w14:textId="09A7ED0C" w:rsidR="002F4F3E" w:rsidRPr="005A46D9" w:rsidRDefault="002F4F3E" w:rsidP="002F4F3E">
      <w:pPr>
        <w:jc w:val="both"/>
        <w:rPr>
          <w:rFonts w:ascii="Times New Roman" w:hAnsi="Times New Roman"/>
          <w:noProof/>
          <w:sz w:val="24"/>
          <w:szCs w:val="24"/>
        </w:rPr>
      </w:pPr>
      <w:r>
        <w:rPr>
          <w:rFonts w:ascii="Times New Roman" w:hAnsi="Times New Roman"/>
          <w:noProof/>
          <w:sz w:val="24"/>
        </w:rPr>
        <w:t>EFRAG rovněž zahájila práci na dokumentu s pokyny pro plány transformace společností a řídila platformu pro otázky a odpovědi k ESRS na podporu provádění ESRS.</w:t>
      </w:r>
    </w:p>
    <w:p w14:paraId="37010038" w14:textId="28A2D185" w:rsidR="00D31A37" w:rsidRPr="005A46D9" w:rsidRDefault="00D31A37" w:rsidP="002F4F3E">
      <w:pPr>
        <w:jc w:val="both"/>
        <w:rPr>
          <w:rFonts w:ascii="Times New Roman" w:hAnsi="Times New Roman"/>
          <w:noProof/>
          <w:sz w:val="24"/>
          <w:szCs w:val="24"/>
        </w:rPr>
      </w:pPr>
      <w:r>
        <w:rPr>
          <w:rFonts w:ascii="Times New Roman" w:hAnsi="Times New Roman"/>
          <w:noProof/>
          <w:sz w:val="24"/>
        </w:rPr>
        <w:t xml:space="preserve">V srpnu 2024 předložila EFRAG Komisi své technické doporučení pro digitální </w:t>
      </w:r>
      <w:r>
        <w:rPr>
          <w:rFonts w:ascii="Times New Roman" w:hAnsi="Times New Roman"/>
          <w:i/>
          <w:noProof/>
          <w:sz w:val="24"/>
        </w:rPr>
        <w:t>taxonomii ESRS Set 1 XBRL</w:t>
      </w:r>
      <w:r>
        <w:rPr>
          <w:rFonts w:ascii="Times New Roman" w:hAnsi="Times New Roman"/>
          <w:noProof/>
          <w:sz w:val="24"/>
        </w:rPr>
        <w:t>, která má společnostem pomoci digitálně označovat informace, které vykazují.</w:t>
      </w:r>
    </w:p>
    <w:p w14:paraId="16B64345" w14:textId="5F009D5E" w:rsidR="00C83544" w:rsidRPr="005A46D9" w:rsidRDefault="00C83544" w:rsidP="002F4F3E">
      <w:pPr>
        <w:jc w:val="both"/>
        <w:rPr>
          <w:rFonts w:ascii="Times New Roman" w:hAnsi="Times New Roman" w:cs="Times New Roman"/>
          <w:noProof/>
          <w:sz w:val="24"/>
          <w:szCs w:val="24"/>
        </w:rPr>
      </w:pPr>
      <w:r>
        <w:rPr>
          <w:rFonts w:ascii="Times New Roman" w:hAnsi="Times New Roman"/>
          <w:noProof/>
          <w:sz w:val="24"/>
        </w:rPr>
        <w:t xml:space="preserve">V listopadu EFRAG dokončila návrh standardu LSME, ale </w:t>
      </w:r>
      <w:r>
        <w:rPr>
          <w:rFonts w:ascii="Times New Roman" w:hAnsi="Times New Roman"/>
          <w:noProof/>
          <w:color w:val="191818"/>
          <w:sz w:val="24"/>
          <w:shd w:val="clear" w:color="auto" w:fill="FFFFFF"/>
        </w:rPr>
        <w:t>nezahájila formální hlasování, protože čekala na politické vyjasnění, zda bude standard vyžadován směrnicí o podávání zpráv podniků o udržitelnosti po přijetí směrnice Omnibus</w:t>
      </w:r>
      <w:r>
        <w:rPr>
          <w:rStyle w:val="FootnoteReference"/>
          <w:rFonts w:ascii="Times New Roman" w:hAnsi="Times New Roman" w:cs="Times New Roman"/>
          <w:noProof/>
          <w:color w:val="191818"/>
          <w:sz w:val="24"/>
          <w:szCs w:val="24"/>
          <w:shd w:val="clear" w:color="auto" w:fill="FFFFFF"/>
        </w:rPr>
        <w:footnoteReference w:id="7"/>
      </w:r>
      <w:r>
        <w:rPr>
          <w:rFonts w:ascii="Times New Roman" w:hAnsi="Times New Roman"/>
          <w:noProof/>
          <w:sz w:val="24"/>
        </w:rPr>
        <w:t>.</w:t>
      </w:r>
    </w:p>
    <w:p w14:paraId="187321D2" w14:textId="35A20E1E" w:rsidR="002F4F3E" w:rsidRPr="005A46D9" w:rsidRDefault="00D1425D" w:rsidP="002F4F3E">
      <w:pPr>
        <w:jc w:val="both"/>
        <w:rPr>
          <w:rFonts w:ascii="Times New Roman" w:hAnsi="Times New Roman"/>
          <w:noProof/>
          <w:sz w:val="24"/>
          <w:szCs w:val="24"/>
        </w:rPr>
      </w:pPr>
      <w:r>
        <w:rPr>
          <w:rFonts w:ascii="Times New Roman" w:hAnsi="Times New Roman"/>
          <w:noProof/>
          <w:sz w:val="24"/>
        </w:rPr>
        <w:t>V prosinci předložila EFRAG Komisi návrh standardu VSME. V reakci na četné žádosti začala skupina EFRAG rovněž připravovat pokyny a podporu pro malé a střední podniky, které chtějí standard VSME používat.</w:t>
      </w:r>
    </w:p>
    <w:p w14:paraId="668981D4" w14:textId="26DA0C67" w:rsidR="005C5409" w:rsidRPr="005A46D9" w:rsidRDefault="005C5409" w:rsidP="009C695E">
      <w:pPr>
        <w:pStyle w:val="ManualHeading1"/>
        <w:spacing w:after="240"/>
        <w:rPr>
          <w:noProof/>
        </w:rPr>
      </w:pPr>
      <w:r>
        <w:rPr>
          <w:noProof/>
        </w:rPr>
        <w:t>3.4</w:t>
      </w:r>
      <w:r>
        <w:rPr>
          <w:noProof/>
        </w:rPr>
        <w:tab/>
        <w:t>Financování</w:t>
      </w:r>
    </w:p>
    <w:p w14:paraId="03FD0110" w14:textId="13A815C3" w:rsidR="007E2DA5" w:rsidRPr="005A46D9" w:rsidRDefault="007E2DA5" w:rsidP="007E2DA5">
      <w:pPr>
        <w:jc w:val="both"/>
        <w:rPr>
          <w:rFonts w:ascii="Times New Roman" w:eastAsia="Times New Roman" w:hAnsi="Times New Roman"/>
          <w:noProof/>
          <w:sz w:val="24"/>
          <w:szCs w:val="20"/>
        </w:rPr>
      </w:pPr>
      <w:r>
        <w:rPr>
          <w:rFonts w:ascii="Times New Roman" w:hAnsi="Times New Roman"/>
          <w:noProof/>
          <w:sz w:val="24"/>
        </w:rPr>
        <w:t>V roce 2024 činily celkové provozní náklady skupiny EFRAG 15,1 milionu EUR, což zahrnovalo nepeněžitá plnění poskytovaná třetími stranami v odhadované výši 3,2 milionu EUR. Financování ze strany Komise v kombinaci s uvolněním příspěvků členských organizací skupiny EFRAG odpovídalo výdajům sdružení. Ke konci roku 2024 činil nerozdělený zisk skupiny EFRAG 4,9 milionu EUR. Nepeněžité příspěvky zahrnují čas věnovaný členy Rady pro finanční výkaznictví, Rady pro podávání zpráv o udržitelnosti a technických expertních skupin EFRAG (placeni jsou pouze předsedové), jakož i dočasné vyslání pracovníků do sekretariátu EFRAG.</w:t>
      </w:r>
    </w:p>
    <w:p w14:paraId="4BDCB381" w14:textId="245B8460" w:rsidR="005C5409" w:rsidRPr="005A46D9" w:rsidRDefault="007E2DA5" w:rsidP="005C5409">
      <w:pPr>
        <w:jc w:val="both"/>
        <w:rPr>
          <w:rFonts w:ascii="Times New Roman" w:eastAsia="Times New Roman" w:hAnsi="Times New Roman"/>
          <w:noProof/>
          <w:sz w:val="24"/>
          <w:szCs w:val="20"/>
        </w:rPr>
      </w:pPr>
      <w:r>
        <w:rPr>
          <w:rFonts w:ascii="Times New Roman" w:hAnsi="Times New Roman"/>
          <w:noProof/>
          <w:sz w:val="24"/>
        </w:rPr>
        <w:t>Komise zvýšila příspěvek EU na rok 2024 z 6,3 milionu EUR na 6,6 milionu EUR. Je rozdělen do dvou grantů na akce, jednoho na finanční výkaznictví (2 miliony EUR) a druhého na podávání zpráv o udržitelnosti (4,6 milionu EUR). Komise poskytla spolufinancování na maximálně 60 % způsobilých nákladů skupiny EFRAG na finanční výkaznictví a maximálně 90 % způsobilých nákladů skupiny EFRAG na podávání zpráv o udržitelnosti. Pokud jde o účetní výkaznictví, peněžité příspěvky pocházely rovněž od evropských organizací zúčastněných stran (0,6 milionu EUR) a vnitrostátních organizací z Francie, Německa, Itálie, Belgie, Nizozemska, Dánska, Španělska, Švédska a Lucemburska (1,6 milionu EUR). Pokud jde o podávání zpráv o udržitelnosti, evropské organizace zúčastněných stran přispěly částkou 0,5 milionu EUR, vnitrostátní organizace částkou 1 milion EUR, síť Friends of EFRAG částkou 0,3 milionu EUR a organizace občanské společnosti částkou 0,1 milionu EUR.</w:t>
      </w:r>
    </w:p>
    <w:p w14:paraId="6CDF431D" w14:textId="1B83FC9E" w:rsidR="005C5409" w:rsidRPr="005A46D9" w:rsidRDefault="005C5409" w:rsidP="005C5409">
      <w:pPr>
        <w:pStyle w:val="ManualHeading1"/>
        <w:rPr>
          <w:noProof/>
        </w:rPr>
      </w:pPr>
      <w:r>
        <w:rPr>
          <w:noProof/>
        </w:rPr>
        <w:t>4.</w:t>
      </w:r>
      <w:r>
        <w:rPr>
          <w:noProof/>
        </w:rPr>
        <w:tab/>
        <w:t>Rada pro dozor nad veřejnými zájmy (PIOB)</w:t>
      </w:r>
    </w:p>
    <w:p w14:paraId="4C1E94EA" w14:textId="77777777" w:rsidR="005C5409" w:rsidRPr="005A46D9" w:rsidRDefault="005C5409" w:rsidP="005C5409">
      <w:pPr>
        <w:pStyle w:val="ManualHeading1"/>
        <w:rPr>
          <w:noProof/>
        </w:rPr>
      </w:pPr>
      <w:r>
        <w:rPr>
          <w:noProof/>
        </w:rPr>
        <w:t>4.1</w:t>
      </w:r>
      <w:r>
        <w:rPr>
          <w:noProof/>
        </w:rPr>
        <w:tab/>
        <w:t>Správa a řízení</w:t>
      </w:r>
    </w:p>
    <w:p w14:paraId="4C43A5B5" w14:textId="53610DC9" w:rsidR="005C5409" w:rsidRPr="005A46D9" w:rsidRDefault="005C5409" w:rsidP="005C5409">
      <w:pPr>
        <w:jc w:val="both"/>
        <w:rPr>
          <w:noProof/>
        </w:rPr>
      </w:pPr>
      <w:bookmarkStart w:id="4" w:name="_Hlk169708962"/>
      <w:r>
        <w:rPr>
          <w:rFonts w:ascii="Times New Roman" w:hAnsi="Times New Roman"/>
          <w:noProof/>
          <w:sz w:val="24"/>
        </w:rPr>
        <w:t>PIOB je celosvětový nezávislý orgán dohledu, který zajišťuje kvalitu a zaměření na veřejný zájem v procesu tvorby mezinárodních auditorských, ověřovacích a etických standardů, které formulují Rada pro mezinárodní auditorské a ověřovací standardy (IAASB) a Rada pro mezinárodní etické standardy účetních (IESBA). Hlavním úkolem rady PIOB je zajistit, aby rady IAASB a IESBA dodržovaly řádný postup tvorby standardů a strategií v souladu s rámcem veřejného zájmu. Od roku 2022 je rada PIOB odpovědná za výběr a jmenování členů rad IAASB a IESBA.</w:t>
      </w:r>
    </w:p>
    <w:p w14:paraId="52679397" w14:textId="765C4185" w:rsidR="005C5409" w:rsidRPr="005A46D9" w:rsidRDefault="005C5409" w:rsidP="005C5409">
      <w:pPr>
        <w:jc w:val="both"/>
        <w:rPr>
          <w:rFonts w:ascii="Times New Roman" w:hAnsi="Times New Roman"/>
          <w:noProof/>
          <w:sz w:val="24"/>
          <w:szCs w:val="24"/>
        </w:rPr>
      </w:pPr>
      <w:bookmarkStart w:id="5" w:name="_Hlk169709028"/>
      <w:bookmarkEnd w:id="4"/>
      <w:r>
        <w:rPr>
          <w:rFonts w:ascii="Times New Roman" w:hAnsi="Times New Roman"/>
          <w:noProof/>
          <w:sz w:val="24"/>
        </w:rPr>
        <w:t>Monitorovací skupina</w:t>
      </w:r>
      <w:r>
        <w:rPr>
          <w:rStyle w:val="FootnoteReference"/>
          <w:rFonts w:ascii="Times New Roman" w:hAnsi="Times New Roman"/>
          <w:noProof/>
          <w:sz w:val="24"/>
          <w:szCs w:val="24"/>
        </w:rPr>
        <w:footnoteReference w:id="8"/>
      </w:r>
      <w:r>
        <w:rPr>
          <w:rFonts w:ascii="Times New Roman" w:hAnsi="Times New Roman"/>
          <w:noProof/>
          <w:sz w:val="24"/>
        </w:rPr>
        <w:t>, jejímž členem je i Komise, sleduje, jak rada PIOB provádí svůj mandát ve veřejném zájmu s ohledem na dohled rady PIOB nad postupem stanovování standardů. Jmenuje deset členů rady PIOB (s výjimkou předsedy, kterého jmenuje IOSCO).</w:t>
      </w:r>
    </w:p>
    <w:bookmarkEnd w:id="5"/>
    <w:p w14:paraId="6A95F519" w14:textId="0829DE7E" w:rsidR="005C5409" w:rsidRPr="005A46D9" w:rsidRDefault="005C5409" w:rsidP="005C5409">
      <w:pPr>
        <w:jc w:val="both"/>
        <w:rPr>
          <w:rFonts w:ascii="Times New Roman" w:eastAsia="Times New Roman" w:hAnsi="Times New Roman"/>
          <w:b/>
          <w:smallCaps/>
          <w:noProof/>
          <w:sz w:val="24"/>
          <w:szCs w:val="20"/>
        </w:rPr>
      </w:pPr>
      <w:r>
        <w:rPr>
          <w:rFonts w:ascii="Times New Roman" w:hAnsi="Times New Roman"/>
          <w:b/>
          <w:smallCaps/>
          <w:noProof/>
          <w:sz w:val="24"/>
        </w:rPr>
        <w:t>4.2 Činnosti</w:t>
      </w:r>
    </w:p>
    <w:p w14:paraId="37789EB6" w14:textId="4DF28F57" w:rsidR="00A359B8" w:rsidRPr="005A46D9" w:rsidRDefault="00C54DA2" w:rsidP="005C5409">
      <w:pPr>
        <w:jc w:val="both"/>
        <w:rPr>
          <w:rFonts w:ascii="Times New Roman" w:eastAsia="Times New Roman" w:hAnsi="Times New Roman" w:cs="Times New Roman"/>
          <w:b/>
          <w:smallCaps/>
          <w:noProof/>
          <w:sz w:val="24"/>
          <w:szCs w:val="24"/>
        </w:rPr>
      </w:pPr>
      <w:r>
        <w:rPr>
          <w:rFonts w:ascii="Times New Roman" w:hAnsi="Times New Roman"/>
          <w:noProof/>
          <w:sz w:val="24"/>
        </w:rPr>
        <w:t>V roce 2024 rada PIOB dohlížela na činnost rad IAASB a IESBA. PIOB schválila tři standardy rady IESBA, jeden standard rady IAASB a strategie a pracovní plány obou rad na období 2024–2027. Kromě podpůrných publikací o dohledu zveřejnila PIOB tři publikace v oblasti veřejného zájmu</w:t>
      </w:r>
      <w:r>
        <w:rPr>
          <w:rStyle w:val="FootnoteReference"/>
          <w:rFonts w:ascii="Times New Roman" w:hAnsi="Times New Roman" w:cs="Times New Roman"/>
          <w:noProof/>
          <w:sz w:val="24"/>
          <w:szCs w:val="24"/>
        </w:rPr>
        <w:footnoteReference w:id="9"/>
      </w:r>
      <w:r>
        <w:rPr>
          <w:rFonts w:ascii="Times New Roman" w:hAnsi="Times New Roman"/>
          <w:noProof/>
          <w:sz w:val="24"/>
        </w:rPr>
        <w:t>.</w:t>
      </w:r>
    </w:p>
    <w:p w14:paraId="77E03EF8" w14:textId="173EA666" w:rsidR="00A359B8" w:rsidRPr="005A46D9" w:rsidRDefault="001410AF" w:rsidP="005C5409">
      <w:pPr>
        <w:jc w:val="both"/>
        <w:rPr>
          <w:rFonts w:ascii="Times New Roman" w:eastAsia="Times New Roman" w:hAnsi="Times New Roman"/>
          <w:b/>
          <w:smallCaps/>
          <w:noProof/>
          <w:sz w:val="24"/>
          <w:szCs w:val="20"/>
        </w:rPr>
      </w:pPr>
      <w:r>
        <w:rPr>
          <w:rFonts w:ascii="Times New Roman" w:hAnsi="Times New Roman"/>
          <w:noProof/>
          <w:sz w:val="24"/>
        </w:rPr>
        <w:t>PIOB rovněž dokončila třetí cyklus nominací do rad IAASB a IESBA, přičemž od roku 2021 úspěšně dosáhla složení s více zúčastněnými stranami a lepší geografickou a genderovou rozmanitostí v souladu s doporučeními Monitorovací skupiny.</w:t>
      </w:r>
    </w:p>
    <w:p w14:paraId="667A1396" w14:textId="71B56689" w:rsidR="005C5409" w:rsidRPr="005A46D9" w:rsidRDefault="005C5409" w:rsidP="005C5409">
      <w:pPr>
        <w:pStyle w:val="ManualHeading1"/>
        <w:rPr>
          <w:noProof/>
        </w:rPr>
      </w:pPr>
      <w:r>
        <w:rPr>
          <w:noProof/>
        </w:rPr>
        <w:t>4.3</w:t>
      </w:r>
      <w:r>
        <w:rPr>
          <w:noProof/>
        </w:rPr>
        <w:tab/>
        <w:t>Financování</w:t>
      </w:r>
    </w:p>
    <w:p w14:paraId="176F2438" w14:textId="496C3E21" w:rsidR="00971AB0" w:rsidRPr="005A46D9" w:rsidRDefault="002C1226" w:rsidP="00971AB0">
      <w:pPr>
        <w:spacing w:before="120" w:after="120"/>
        <w:jc w:val="both"/>
        <w:rPr>
          <w:rFonts w:ascii="Times New Roman" w:hAnsi="Times New Roman" w:cs="Times New Roman"/>
          <w:noProof/>
          <w:sz w:val="24"/>
          <w:szCs w:val="24"/>
        </w:rPr>
      </w:pPr>
      <w:bookmarkStart w:id="6" w:name="_Hlk169779903"/>
      <w:bookmarkStart w:id="7" w:name="_Hlk169708213"/>
      <w:r>
        <w:rPr>
          <w:rFonts w:ascii="Times New Roman" w:hAnsi="Times New Roman"/>
          <w:noProof/>
          <w:sz w:val="24"/>
        </w:rPr>
        <w:t>Celkový rozpočet rady PIOB na rok 2024 činil 2,5 milionu EUR. PIOB obdržela osmnáct peněžních příspěvků, včetně 350 000 EUR od Evropské komise, s maximální mírou spolufinancování ve výši 30 % způsobilých nákladů. Španělská vláda poskytuje radě PIOB kancelářské prostory v hodnotě 199 928 EUR.</w:t>
      </w:r>
    </w:p>
    <w:p w14:paraId="068D695C" w14:textId="1A24691E" w:rsidR="00E169D9" w:rsidRPr="005A46D9" w:rsidRDefault="003836DF" w:rsidP="00AB11D4">
      <w:pPr>
        <w:spacing w:before="120" w:after="120"/>
        <w:jc w:val="both"/>
        <w:rPr>
          <w:rFonts w:ascii="Times New Roman" w:hAnsi="Times New Roman" w:cs="Times New Roman"/>
          <w:noProof/>
          <w:sz w:val="24"/>
          <w:szCs w:val="24"/>
        </w:rPr>
      </w:pPr>
      <w:r>
        <w:rPr>
          <w:rFonts w:ascii="Times New Roman" w:hAnsi="Times New Roman"/>
          <w:noProof/>
          <w:sz w:val="24"/>
        </w:rPr>
        <w:t xml:space="preserve">Mezinárodní federace účetních (IFAC) zůstala největším přispěvatelem, ale v souladu s doporučeními Monitorovací skupiny snížit závislost auditorské profese na systému tvorby auditorských standardů se příspěvek IFAC postupně snížil (z 1,4 milionu EUR (tj. 63,56 %) v roce 2022 na 950 000 EUR (tj. 41,37 %) v roce 2023 a 650 000 EUR (tj. 26,16 %) v roce 2024). </w:t>
      </w:r>
      <w:bookmarkStart w:id="8" w:name="_Hlk169779954"/>
      <w:bookmarkEnd w:id="6"/>
      <w:r>
        <w:rPr>
          <w:rFonts w:ascii="Times New Roman" w:hAnsi="Times New Roman"/>
          <w:noProof/>
          <w:sz w:val="24"/>
        </w:rPr>
        <w:t>Navzdory neustálému úsilí o získání sponzorů, kteří by nahradili příspěvky IFAC, čelila rada PIOB v roce 2024 nedostatku finančních prostředků. Globální výbor pro veřejnou politiku (GPPC), který zastupuje šest největších mezinárodních účetních sítí, překlenul tento nedostatek jednorázovou platbou ve výši 500 000 EUR.</w:t>
      </w:r>
    </w:p>
    <w:p w14:paraId="4D725FCD" w14:textId="661448C0" w:rsidR="0021001F" w:rsidRPr="005A46D9" w:rsidRDefault="00CB7E03" w:rsidP="00AB11D4">
      <w:pPr>
        <w:spacing w:before="120" w:after="120"/>
        <w:jc w:val="both"/>
        <w:rPr>
          <w:rFonts w:ascii="Times New Roman" w:hAnsi="Times New Roman" w:cs="Times New Roman"/>
          <w:noProof/>
          <w:sz w:val="24"/>
          <w:szCs w:val="24"/>
        </w:rPr>
      </w:pPr>
      <w:r>
        <w:rPr>
          <w:rFonts w:ascii="Times New Roman" w:hAnsi="Times New Roman"/>
          <w:noProof/>
          <w:sz w:val="24"/>
        </w:rPr>
        <w:t xml:space="preserve">Rok 2025 je posledním rokem, kdy IFAC přispěje (částkou 500 000 EUR). Pokud se nenajdou další sponzoři, bude PIOB opět čelit nedostatku finančních prostředků. Proto je naléhavě nutné, </w:t>
      </w:r>
      <w:bookmarkStart w:id="9" w:name="_Hlk169789406"/>
      <w:bookmarkEnd w:id="7"/>
      <w:r>
        <w:rPr>
          <w:rFonts w:ascii="Times New Roman" w:hAnsi="Times New Roman"/>
          <w:noProof/>
          <w:sz w:val="24"/>
        </w:rPr>
        <w:t>aby Monitorovací skupina a PIOB řešily strukturální nedostatek finančních prostředků a zajistily dlouhodobou udržitelnost dohledových a nominačních povinností rady PIOB, které mají zásadní význam pro kvalitu a nezávislost mezinárodního systému stanovování norem.</w:t>
      </w:r>
    </w:p>
    <w:bookmarkEnd w:id="8"/>
    <w:bookmarkEnd w:id="9"/>
    <w:p w14:paraId="7B4F1AA1" w14:textId="46A2D6E4" w:rsidR="005C5409" w:rsidRPr="005A46D9" w:rsidRDefault="005C5409" w:rsidP="005C5409">
      <w:pPr>
        <w:pStyle w:val="ManualHeading1"/>
        <w:rPr>
          <w:rFonts w:eastAsia="Calibri"/>
          <w:noProof/>
        </w:rPr>
      </w:pPr>
      <w:r>
        <w:rPr>
          <w:noProof/>
        </w:rPr>
        <w:t>5.</w:t>
      </w:r>
      <w:r>
        <w:rPr>
          <w:noProof/>
        </w:rPr>
        <w:tab/>
        <w:t>Závěry</w:t>
      </w:r>
    </w:p>
    <w:p w14:paraId="789254E9" w14:textId="2D94776B" w:rsidR="000D05BC" w:rsidRPr="005A46D9" w:rsidRDefault="000D05BC" w:rsidP="00A74961">
      <w:pPr>
        <w:spacing w:before="120" w:after="120"/>
        <w:contextualSpacing/>
        <w:jc w:val="both"/>
        <w:rPr>
          <w:noProof/>
        </w:rPr>
      </w:pPr>
      <w:r>
        <w:rPr>
          <w:rFonts w:ascii="Times New Roman" w:hAnsi="Times New Roman"/>
          <w:noProof/>
          <w:sz w:val="24"/>
        </w:rPr>
        <w:t>EU finančně přispívá nadaci IFRS, skupině EFRAG a radě PIOB již řadu let. Její trvalá podpora je pro tyto organizace nepostradatelná, neboť jim umožňuje plnit jejich úkoly ve veřejném zájmu a přispívá k vysokým standardům kvality, které zajišťují účinné fungování vnitřního trhu EU.</w:t>
      </w:r>
    </w:p>
    <w:sectPr w:rsidR="000D05BC" w:rsidRPr="005A46D9" w:rsidSect="00387FF4">
      <w:headerReference w:type="even" r:id="rId17"/>
      <w:headerReference w:type="default" r:id="rId18"/>
      <w:footerReference w:type="even" r:id="rId19"/>
      <w:footerReference w:type="default" r:id="rId20"/>
      <w:headerReference w:type="first" r:id="rId21"/>
      <w:footerReference w:type="first" r:id="rId22"/>
      <w:pgSz w:w="11906" w:h="16838" w:code="9"/>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ACF27" w14:textId="77777777" w:rsidR="006870D1" w:rsidRPr="005A46D9" w:rsidRDefault="006870D1" w:rsidP="00387FF4">
      <w:pPr>
        <w:spacing w:after="0" w:line="240" w:lineRule="auto"/>
      </w:pPr>
      <w:r>
        <w:separator/>
      </w:r>
    </w:p>
  </w:endnote>
  <w:endnote w:type="continuationSeparator" w:id="0">
    <w:p w14:paraId="50648E9F" w14:textId="77777777" w:rsidR="006870D1" w:rsidRPr="005A46D9" w:rsidRDefault="006870D1" w:rsidP="00387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1E25E" w14:textId="44791099" w:rsidR="001C540F" w:rsidRPr="001C540F" w:rsidRDefault="001C540F" w:rsidP="001C540F">
    <w:pPr>
      <w:pStyle w:val="FooterCoverPage"/>
      <w:rPr>
        <w:rFonts w:ascii="Arial" w:hAnsi="Arial" w:cs="Arial"/>
        <w:b/>
        <w:sz w:val="48"/>
      </w:rPr>
    </w:pPr>
    <w:r w:rsidRPr="001C540F">
      <w:rPr>
        <w:rFonts w:ascii="Arial" w:hAnsi="Arial" w:cs="Arial"/>
        <w:b/>
        <w:sz w:val="48"/>
      </w:rPr>
      <w:t>CS</w:t>
    </w:r>
    <w:r w:rsidRPr="001C540F">
      <w:rPr>
        <w:rFonts w:ascii="Arial" w:hAnsi="Arial" w:cs="Arial"/>
        <w:b/>
        <w:sz w:val="48"/>
      </w:rPr>
      <w:tab/>
    </w:r>
    <w:r w:rsidRPr="001C540F">
      <w:rPr>
        <w:rFonts w:ascii="Arial" w:hAnsi="Arial" w:cs="Arial"/>
        <w:b/>
        <w:sz w:val="48"/>
      </w:rPr>
      <w:tab/>
    </w:r>
    <w:r w:rsidRPr="001C540F">
      <w:tab/>
    </w:r>
    <w:r w:rsidRPr="001C540F">
      <w:rPr>
        <w:rFonts w:ascii="Arial" w:hAnsi="Arial" w:cs="Arial"/>
        <w:b/>
        <w:sz w:val="48"/>
      </w:rPr>
      <w:t>CS</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66BF49" w14:textId="235D2D7C" w:rsidR="001C540F" w:rsidRPr="001C540F" w:rsidRDefault="001C540F" w:rsidP="001C540F">
    <w:pPr>
      <w:pStyle w:val="FooterCoverPage"/>
      <w:rPr>
        <w:rFonts w:ascii="Arial" w:hAnsi="Arial" w:cs="Arial"/>
        <w:b/>
        <w:sz w:val="48"/>
      </w:rPr>
    </w:pPr>
    <w:r w:rsidRPr="001C540F">
      <w:rPr>
        <w:rFonts w:ascii="Arial" w:hAnsi="Arial" w:cs="Arial"/>
        <w:b/>
        <w:sz w:val="48"/>
      </w:rPr>
      <w:t>CS</w:t>
    </w:r>
    <w:r w:rsidRPr="001C540F">
      <w:rPr>
        <w:rFonts w:ascii="Arial" w:hAnsi="Arial" w:cs="Arial"/>
        <w:b/>
        <w:sz w:val="48"/>
      </w:rPr>
      <w:tab/>
    </w:r>
    <w:r w:rsidRPr="001C540F">
      <w:rPr>
        <w:rFonts w:ascii="Arial" w:hAnsi="Arial" w:cs="Arial"/>
        <w:b/>
        <w:sz w:val="48"/>
      </w:rPr>
      <w:tab/>
    </w:r>
    <w:r w:rsidRPr="001C540F">
      <w:tab/>
    </w:r>
    <w:r w:rsidRPr="001C540F">
      <w:rPr>
        <w:rFonts w:ascii="Arial" w:hAnsi="Arial" w:cs="Arial"/>
        <w:b/>
        <w:sz w:val="48"/>
      </w:rPr>
      <w:t>CS</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140756" w14:textId="77777777" w:rsidR="001C540F" w:rsidRPr="001C540F" w:rsidRDefault="001C540F" w:rsidP="001C540F">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8F0241" w14:textId="77777777" w:rsidR="00387FF4" w:rsidRPr="005A46D9" w:rsidRDefault="00387FF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2770512"/>
      <w:docPartObj>
        <w:docPartGallery w:val="Page Numbers (Bottom of Page)"/>
        <w:docPartUnique/>
      </w:docPartObj>
    </w:sdtPr>
    <w:sdtEndPr/>
    <w:sdtContent>
      <w:p w14:paraId="3E2E7FF5" w14:textId="147542BC" w:rsidR="00A44990" w:rsidRPr="005A46D9" w:rsidRDefault="00A44990">
        <w:pPr>
          <w:pStyle w:val="Footer"/>
          <w:jc w:val="right"/>
        </w:pPr>
        <w:r>
          <w:fldChar w:fldCharType="begin"/>
        </w:r>
        <w:r>
          <w:instrText xml:space="preserve"> PAGE   \* MERGEFORMAT </w:instrText>
        </w:r>
        <w:r>
          <w:fldChar w:fldCharType="separate"/>
        </w:r>
        <w:r w:rsidR="001C540F">
          <w:rPr>
            <w:noProof/>
          </w:rPr>
          <w:t>1</w:t>
        </w:r>
        <w:r>
          <w:fldChar w:fldCharType="end"/>
        </w:r>
      </w:p>
    </w:sdtContent>
  </w:sdt>
  <w:p w14:paraId="2F6D35B0" w14:textId="77777777" w:rsidR="00387FF4" w:rsidRPr="005A46D9" w:rsidRDefault="00387FF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98E83" w14:textId="77777777" w:rsidR="00387FF4" w:rsidRPr="005A46D9" w:rsidRDefault="00387F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9006FD" w14:textId="77777777" w:rsidR="006870D1" w:rsidRPr="005A46D9" w:rsidRDefault="006870D1" w:rsidP="00387FF4">
      <w:pPr>
        <w:spacing w:after="0" w:line="240" w:lineRule="auto"/>
      </w:pPr>
      <w:r>
        <w:separator/>
      </w:r>
    </w:p>
  </w:footnote>
  <w:footnote w:type="continuationSeparator" w:id="0">
    <w:p w14:paraId="0450BEEC" w14:textId="77777777" w:rsidR="006870D1" w:rsidRPr="005A46D9" w:rsidRDefault="006870D1" w:rsidP="00387FF4">
      <w:pPr>
        <w:spacing w:after="0" w:line="240" w:lineRule="auto"/>
      </w:pPr>
      <w:r>
        <w:continuationSeparator/>
      </w:r>
    </w:p>
  </w:footnote>
  <w:footnote w:id="1">
    <w:p w14:paraId="179A6316" w14:textId="5A3E2256" w:rsidR="005C5409" w:rsidRPr="005A46D9" w:rsidRDefault="005C5409" w:rsidP="005C5409">
      <w:pPr>
        <w:pStyle w:val="footnotetext1"/>
        <w:ind w:left="142" w:hanging="142"/>
        <w:jc w:val="both"/>
        <w:rPr>
          <w:rFonts w:ascii="Times New Roman" w:hAnsi="Times New Roman"/>
          <w:sz w:val="18"/>
          <w:szCs w:val="18"/>
        </w:rPr>
      </w:pPr>
      <w:r>
        <w:rPr>
          <w:rStyle w:val="FootnoteReference"/>
          <w:rFonts w:ascii="Times New Roman" w:hAnsi="Times New Roman"/>
          <w:sz w:val="18"/>
          <w:lang w:val="en-GB"/>
        </w:rPr>
        <w:footnoteRef/>
      </w:r>
      <w:r>
        <w:rPr>
          <w:rFonts w:ascii="Times New Roman" w:hAnsi="Times New Roman"/>
          <w:sz w:val="18"/>
        </w:rPr>
        <w:t xml:space="preserve"> Nařízení (EU) 2021/690, kterým se zavádí program pro vnitřní trh a konkurenceschopnost podniků (Úř. věst. L 153, 3.5.2021, s. 1, ELI: http://data.europa.eu/eli/reg/2021/690/oj).</w:t>
      </w:r>
    </w:p>
  </w:footnote>
  <w:footnote w:id="2">
    <w:p w14:paraId="53643AEC" w14:textId="645D349D" w:rsidR="00C435E8" w:rsidRPr="005A46D9" w:rsidRDefault="00C435E8" w:rsidP="008E1AF0">
      <w:pPr>
        <w:pStyle w:val="FootnoteText"/>
        <w:jc w:val="both"/>
      </w:pPr>
      <w:r>
        <w:rPr>
          <w:rStyle w:val="FootnoteReference"/>
        </w:rPr>
        <w:footnoteRef/>
      </w:r>
      <w:r>
        <w:t xml:space="preserve"> </w:t>
      </w:r>
      <w:r>
        <w:rPr>
          <w:rFonts w:ascii="Times New Roman" w:hAnsi="Times New Roman"/>
          <w:sz w:val="18"/>
        </w:rPr>
        <w:t>Příloha I prováděcího rozhodnutí Komise C(2024)5420, kterým se mění prováděcí rozhodnutí C(2023)8926, pokud jde o provádění některých akcí v rámci Programu pro jednotný trh.</w:t>
      </w:r>
    </w:p>
  </w:footnote>
  <w:footnote w:id="3">
    <w:p w14:paraId="30424954" w14:textId="422F5CC6" w:rsidR="005C5409" w:rsidRPr="005A46D9" w:rsidRDefault="005C5409" w:rsidP="005C5409">
      <w:pPr>
        <w:pStyle w:val="FootnoteText"/>
      </w:pPr>
      <w:r>
        <w:rPr>
          <w:rStyle w:val="FootnoteReference"/>
          <w:rFonts w:ascii="Times New Roman" w:hAnsi="Times New Roman"/>
          <w:sz w:val="18"/>
        </w:rPr>
        <w:footnoteRef/>
      </w:r>
      <w:r>
        <w:t xml:space="preserve"> </w:t>
      </w:r>
      <w:r>
        <w:rPr>
          <w:rFonts w:ascii="Times New Roman" w:hAnsi="Times New Roman"/>
          <w:sz w:val="18"/>
        </w:rPr>
        <w:t>Nařízení Evropského parlamentu a Rady (ES) č. 1606/2002 o uplatňování mezinárodních účetních standardů (Úř. věst. L 243, 11.9.2002, s. 1, ELI: </w:t>
      </w:r>
      <w:hyperlink r:id="rId1" w:tooltip="Umožňuje přístup k tomuto dokumentu prostřednictvím jeho identifikátoru URI používaného v rámci ELI." w:history="1">
        <w:r>
          <w:rPr>
            <w:rStyle w:val="Hyperlink"/>
            <w:rFonts w:ascii="Times New Roman" w:hAnsi="Times New Roman"/>
            <w:sz w:val="18"/>
          </w:rPr>
          <w:t>http://data.europa.eu/eli/reg/2002/1606/oj</w:t>
        </w:r>
      </w:hyperlink>
      <w:r>
        <w:rPr>
          <w:rFonts w:ascii="Times New Roman" w:hAnsi="Times New Roman"/>
          <w:sz w:val="18"/>
        </w:rPr>
        <w:t>).</w:t>
      </w:r>
    </w:p>
  </w:footnote>
  <w:footnote w:id="4">
    <w:p w14:paraId="01537EFD" w14:textId="65CCA98D" w:rsidR="005C5409" w:rsidRPr="005A46D9" w:rsidRDefault="005C5409" w:rsidP="005C5409">
      <w:pPr>
        <w:pStyle w:val="FootnoteText"/>
        <w:ind w:left="142" w:hanging="142"/>
      </w:pPr>
      <w:r>
        <w:rPr>
          <w:rStyle w:val="FootnoteReference"/>
        </w:rPr>
        <w:footnoteRef/>
      </w:r>
      <w:r>
        <w:t xml:space="preserve"> </w:t>
      </w:r>
      <w:r>
        <w:rPr>
          <w:rFonts w:ascii="Times New Roman" w:hAnsi="Times New Roman"/>
          <w:sz w:val="18"/>
        </w:rPr>
        <w:t>Taxonomie IFRS slouží jako vstup pro evropský jednotný elektronický formát podle nařízení Komise v přenesené pravomoci (EU) 2019/815.</w:t>
      </w:r>
    </w:p>
  </w:footnote>
  <w:footnote w:id="5">
    <w:p w14:paraId="31DC0D91" w14:textId="46D8835A" w:rsidR="005C5409" w:rsidRPr="005A46D9" w:rsidRDefault="005C5409" w:rsidP="005C5409">
      <w:pPr>
        <w:pStyle w:val="FootnoteText"/>
        <w:rPr>
          <w:rFonts w:ascii="Times New Roman" w:hAnsi="Times New Roman"/>
          <w:sz w:val="18"/>
          <w:szCs w:val="18"/>
        </w:rPr>
      </w:pPr>
      <w:r>
        <w:rPr>
          <w:rStyle w:val="FootnoteReference"/>
          <w:rFonts w:ascii="Times New Roman" w:hAnsi="Times New Roman"/>
          <w:sz w:val="18"/>
        </w:rPr>
        <w:footnoteRef/>
      </w:r>
      <w:r>
        <w:rPr>
          <w:rFonts w:ascii="Times New Roman" w:hAnsi="Times New Roman"/>
          <w:sz w:val="18"/>
        </w:rPr>
        <w:t xml:space="preserve"> Pracovní plán nadace IFRS: </w:t>
      </w:r>
      <w:hyperlink r:id="rId2" w:history="1">
        <w:r>
          <w:rPr>
            <w:rStyle w:val="Hyperlink"/>
            <w:rFonts w:ascii="Times New Roman" w:hAnsi="Times New Roman"/>
            <w:sz w:val="18"/>
          </w:rPr>
          <w:t>https://www.ifrs.org/projects/work-plan/</w:t>
        </w:r>
      </w:hyperlink>
      <w:r>
        <w:rPr>
          <w:rFonts w:ascii="Times New Roman" w:hAnsi="Times New Roman"/>
          <w:sz w:val="18"/>
        </w:rPr>
        <w:t xml:space="preserve"> a dokončené projekty: </w:t>
      </w:r>
      <w:hyperlink r:id="rId3" w:history="1">
        <w:r>
          <w:rPr>
            <w:rStyle w:val="Hyperlink"/>
            <w:rFonts w:ascii="Times New Roman" w:hAnsi="Times New Roman"/>
            <w:sz w:val="18"/>
          </w:rPr>
          <w:t>https://www.ifrs.org/projects/completed-projects/</w:t>
        </w:r>
      </w:hyperlink>
      <w:r w:rsidR="00686CA0">
        <w:t>.</w:t>
      </w:r>
    </w:p>
  </w:footnote>
  <w:footnote w:id="6">
    <w:p w14:paraId="025003D4" w14:textId="005101B9" w:rsidR="00794AE3" w:rsidRPr="005A46D9" w:rsidRDefault="00794AE3" w:rsidP="00794AE3">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r>
        <w:rPr>
          <w:rFonts w:ascii="Times New Roman" w:hAnsi="Times New Roman"/>
          <w:sz w:val="18"/>
        </w:rPr>
        <w:t>Směrnice Evropského parlamentu a Rady (EU) 2022/2464 ze dne 14. prosince 2022, kterou se mění nařízení (EU) č. 537/2014, směrnice 2004/109/ES, směrnice 2006/43/ES a směrnice 2013/34/EU, pokud jde o podávání zpráv podniků o udržitelnosti (Úř. věst. L 322, 16.12.2022, s. 15, ELI: http://data.europa.eu/eli/dir/2022/2464/oj).</w:t>
      </w:r>
    </w:p>
  </w:footnote>
  <w:footnote w:id="7">
    <w:p w14:paraId="3358E511" w14:textId="28CB04A5" w:rsidR="00FA237D" w:rsidRPr="005A46D9" w:rsidRDefault="00FA237D">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rPr>
        <w:t xml:space="preserve"> Dne 26. února 2025 přijala Komise balíček Omnibus I, který obsahuje dva návrhy na změnu mimo jiné směrnice o podávání zpráv podniků o udržitelnosti (COM(2025) 80 a COM(2025) 81), </w:t>
      </w:r>
      <w:hyperlink r:id="rId4" w:history="1">
        <w:r>
          <w:rPr>
            <w:rFonts w:ascii="Times New Roman" w:hAnsi="Times New Roman"/>
            <w:color w:val="0000FF"/>
            <w:sz w:val="18"/>
            <w:u w:val="single"/>
          </w:rPr>
          <w:t>Omnibus I – Evropská komise</w:t>
        </w:r>
      </w:hyperlink>
      <w:r>
        <w:t>.</w:t>
      </w:r>
    </w:p>
    <w:p w14:paraId="732872FE" w14:textId="4CB29300" w:rsidR="00FA237D" w:rsidRPr="005A46D9" w:rsidRDefault="005A46D9">
      <w:pPr>
        <w:pStyle w:val="FootnoteText"/>
      </w:pPr>
      <w:r>
        <w:t>.</w:t>
      </w:r>
    </w:p>
  </w:footnote>
  <w:footnote w:id="8">
    <w:p w14:paraId="1D2AB21B" w14:textId="4C11B89C" w:rsidR="003226D6" w:rsidRPr="005A46D9" w:rsidRDefault="003226D6">
      <w:pPr>
        <w:pStyle w:val="FootnoteText"/>
      </w:pPr>
      <w:r>
        <w:rPr>
          <w:rStyle w:val="FootnoteReference"/>
        </w:rPr>
        <w:footnoteRef/>
      </w:r>
      <w:r>
        <w:t xml:space="preserve"> </w:t>
      </w:r>
      <w:hyperlink r:id="rId5" w:history="1">
        <w:r>
          <w:rPr>
            <w:rFonts w:ascii="Times New Roman" w:hAnsi="Times New Roman"/>
            <w:color w:val="0000FF"/>
            <w:sz w:val="18"/>
            <w:u w:val="single"/>
          </w:rPr>
          <w:t>Monitorovací skupina (iosco.org)</w:t>
        </w:r>
      </w:hyperlink>
      <w:r w:rsidR="00B513C6">
        <w:t>.</w:t>
      </w:r>
    </w:p>
  </w:footnote>
  <w:footnote w:id="9">
    <w:p w14:paraId="6A98CAB4" w14:textId="70735B88" w:rsidR="00506CA9" w:rsidRPr="005A46D9" w:rsidRDefault="00506CA9">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rPr>
        <w:t xml:space="preserve"> Dne 14. července 2025 zveřejnila PIOB na svých internetových stránkách svou 20. veřejnou výroční zprávu (za rok 2024): https://ipiob.org/.</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D5A07E" w14:textId="77777777" w:rsidR="001C540F" w:rsidRPr="001C540F" w:rsidRDefault="001C540F" w:rsidP="001C540F">
    <w:pPr>
      <w:pStyle w:val="HeaderCoverPag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50304D" w14:textId="77777777" w:rsidR="001C540F" w:rsidRPr="001C540F" w:rsidRDefault="001C540F" w:rsidP="001C540F">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AB37A4" w14:textId="77777777" w:rsidR="001C540F" w:rsidRPr="001C540F" w:rsidRDefault="001C540F" w:rsidP="001C540F">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3F439" w14:textId="77777777" w:rsidR="00387FF4" w:rsidRPr="005A46D9" w:rsidRDefault="00387FF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A5B84" w14:textId="77777777" w:rsidR="00387FF4" w:rsidRPr="005A46D9" w:rsidRDefault="00387FF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F472A" w14:textId="77777777" w:rsidR="00387FF4" w:rsidRPr="005A46D9" w:rsidRDefault="00387F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632DD"/>
    <w:multiLevelType w:val="multilevel"/>
    <w:tmpl w:val="ED3CA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343CB2"/>
    <w:multiLevelType w:val="multilevel"/>
    <w:tmpl w:val="850C9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Status" w:val="Green"/>
    <w:docVar w:name="LW_CORRIGENDUM" w:val="&lt;UNUSED&gt;"/>
    <w:docVar w:name="LW_COVERPAGE_EXISTS" w:val="True"/>
    <w:docVar w:name="LW_COVERPAGE_GUID" w:val="EAD9D124-BEE7-4737-A25F-6741188B8144"/>
    <w:docVar w:name="LW_COVERPAGE_TYPE" w:val="1"/>
    <w:docVar w:name="LW_CROSSREFERENCE" w:val="&lt;UNUSED&gt;"/>
    <w:docVar w:name="LW_DocType" w:val="NORMAL"/>
    <w:docVar w:name="LW_EMISSION" w:val="15.12.2025"/>
    <w:docVar w:name="LW_EMISSION_ISODATE" w:val="2025-12-15"/>
    <w:docVar w:name="LW_EMISSION_LOCATION" w:val="BRX"/>
    <w:docVar w:name="LW_EMISSION_PREFIX" w:val="V Bruselu dne "/>
    <w:docVar w:name="LW_EMISSION_SUFFIX" w:val=" "/>
    <w:docVar w:name="LW_ID_DOCTYPE_NONLW" w:val="CP-006"/>
    <w:docVar w:name="LW_LANGUE" w:val="CS"/>
    <w:docVar w:name="LW_LEVEL_OF_SENSITIVITY" w:val="Standard treatment"/>
    <w:docVar w:name="LW_NOM.INST" w:val="EVROPSKÁ KOMISE"/>
    <w:docVar w:name="LW_NOM.INST_JOINTDOC" w:val="&lt;EMPTY&gt;"/>
    <w:docVar w:name="LW_PART_NBR" w:val="1"/>
    <w:docVar w:name="LW_PART_NBR_TOTAL" w:val="1"/>
    <w:docVar w:name="LW_REF.INST.NEW" w:val="COM"/>
    <w:docVar w:name="LW_REF.INST.NEW_ADOPTED" w:val="final"/>
    <w:docVar w:name="LW_REF.INST.NEW_TEXT" w:val="(2025) 758"/>
    <w:docVar w:name="LW_REF.INTERNE" w:val="&lt;UNUSED&gt;"/>
    <w:docVar w:name="LW_SENSITIVITY" w:val="&lt;?xml version=&quot;1.0&quot; encoding=&quot;utf-8&quot;?&gt;_x000d__x000a_&lt;SensitivityLevel xmlns:xsd=&quot;http://www.w3.org/2001/XMLSchema&quot; xmlns:xsi=&quot;http://www.w3.org/2001/XMLSchema-instance&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o \u269?innosti nadace IFRS, skupiny EFRAG a rady PIOB v roce 2024"/>
    <w:docVar w:name="LW_TYPE.DOC.CP" w:val="ZPRÁVA KOMISE EVROPSKÉMU PARLAMENTU A RAD\u282?"/>
    <w:docVar w:name="LwApiVersions" w:val="LW4CoDe 1.24.5.0; LW 9.2, Build 20251112"/>
  </w:docVars>
  <w:rsids>
    <w:rsidRoot w:val="00387FF4"/>
    <w:rsid w:val="00005C4A"/>
    <w:rsid w:val="00005E93"/>
    <w:rsid w:val="00010453"/>
    <w:rsid w:val="0001487E"/>
    <w:rsid w:val="0001497F"/>
    <w:rsid w:val="00015FC8"/>
    <w:rsid w:val="00023756"/>
    <w:rsid w:val="00026AA5"/>
    <w:rsid w:val="00030570"/>
    <w:rsid w:val="000437C2"/>
    <w:rsid w:val="0004681C"/>
    <w:rsid w:val="000538F0"/>
    <w:rsid w:val="00064F0F"/>
    <w:rsid w:val="00071D45"/>
    <w:rsid w:val="00071DE6"/>
    <w:rsid w:val="000732DA"/>
    <w:rsid w:val="00075550"/>
    <w:rsid w:val="00081273"/>
    <w:rsid w:val="00091706"/>
    <w:rsid w:val="000A0BF9"/>
    <w:rsid w:val="000A1565"/>
    <w:rsid w:val="000A35BD"/>
    <w:rsid w:val="000B26A1"/>
    <w:rsid w:val="000C16EB"/>
    <w:rsid w:val="000D05BC"/>
    <w:rsid w:val="000D0B8B"/>
    <w:rsid w:val="000D1967"/>
    <w:rsid w:val="000D278B"/>
    <w:rsid w:val="000D3872"/>
    <w:rsid w:val="000D5330"/>
    <w:rsid w:val="000D5CD6"/>
    <w:rsid w:val="000E7FD4"/>
    <w:rsid w:val="000F0C74"/>
    <w:rsid w:val="000F2714"/>
    <w:rsid w:val="000F2EAA"/>
    <w:rsid w:val="000F320C"/>
    <w:rsid w:val="000F655B"/>
    <w:rsid w:val="00107559"/>
    <w:rsid w:val="00110F46"/>
    <w:rsid w:val="0011219B"/>
    <w:rsid w:val="00113402"/>
    <w:rsid w:val="0011618A"/>
    <w:rsid w:val="001213A8"/>
    <w:rsid w:val="001233BD"/>
    <w:rsid w:val="001331DA"/>
    <w:rsid w:val="00136821"/>
    <w:rsid w:val="00136EA6"/>
    <w:rsid w:val="001410AF"/>
    <w:rsid w:val="0014170F"/>
    <w:rsid w:val="00143EBD"/>
    <w:rsid w:val="00152C00"/>
    <w:rsid w:val="001550C7"/>
    <w:rsid w:val="0016408B"/>
    <w:rsid w:val="001721E8"/>
    <w:rsid w:val="001809C4"/>
    <w:rsid w:val="0018111E"/>
    <w:rsid w:val="00185C46"/>
    <w:rsid w:val="0018735E"/>
    <w:rsid w:val="00191712"/>
    <w:rsid w:val="001971A4"/>
    <w:rsid w:val="001A53B1"/>
    <w:rsid w:val="001A7A2D"/>
    <w:rsid w:val="001B6278"/>
    <w:rsid w:val="001C185A"/>
    <w:rsid w:val="001C3FFA"/>
    <w:rsid w:val="001C520E"/>
    <w:rsid w:val="001C540F"/>
    <w:rsid w:val="001C673D"/>
    <w:rsid w:val="001C7770"/>
    <w:rsid w:val="001D0B10"/>
    <w:rsid w:val="001D167C"/>
    <w:rsid w:val="001D4A9F"/>
    <w:rsid w:val="001D4FAA"/>
    <w:rsid w:val="001D768B"/>
    <w:rsid w:val="001E2895"/>
    <w:rsid w:val="001F03C5"/>
    <w:rsid w:val="001F7EF5"/>
    <w:rsid w:val="002002B0"/>
    <w:rsid w:val="00200CA7"/>
    <w:rsid w:val="002039F4"/>
    <w:rsid w:val="0021001F"/>
    <w:rsid w:val="002109B9"/>
    <w:rsid w:val="00212562"/>
    <w:rsid w:val="00214176"/>
    <w:rsid w:val="00220DA3"/>
    <w:rsid w:val="00222D55"/>
    <w:rsid w:val="00226AA8"/>
    <w:rsid w:val="00234B99"/>
    <w:rsid w:val="00235536"/>
    <w:rsid w:val="00235EB8"/>
    <w:rsid w:val="002364D4"/>
    <w:rsid w:val="0025298B"/>
    <w:rsid w:val="002532B6"/>
    <w:rsid w:val="00254B7C"/>
    <w:rsid w:val="00255A60"/>
    <w:rsid w:val="00256BD3"/>
    <w:rsid w:val="002633FE"/>
    <w:rsid w:val="0028360C"/>
    <w:rsid w:val="00283D1F"/>
    <w:rsid w:val="00285525"/>
    <w:rsid w:val="0028561C"/>
    <w:rsid w:val="00285E05"/>
    <w:rsid w:val="00294106"/>
    <w:rsid w:val="00294685"/>
    <w:rsid w:val="00295408"/>
    <w:rsid w:val="00295B4A"/>
    <w:rsid w:val="002A13CB"/>
    <w:rsid w:val="002A34E7"/>
    <w:rsid w:val="002A3E0F"/>
    <w:rsid w:val="002A7D89"/>
    <w:rsid w:val="002B29FF"/>
    <w:rsid w:val="002B2CC7"/>
    <w:rsid w:val="002B641B"/>
    <w:rsid w:val="002B6D0F"/>
    <w:rsid w:val="002B7AD3"/>
    <w:rsid w:val="002C1226"/>
    <w:rsid w:val="002C219D"/>
    <w:rsid w:val="002C491C"/>
    <w:rsid w:val="002D516D"/>
    <w:rsid w:val="002E5AC4"/>
    <w:rsid w:val="002E6FC3"/>
    <w:rsid w:val="002F4CDF"/>
    <w:rsid w:val="002F4F3E"/>
    <w:rsid w:val="002F7AB8"/>
    <w:rsid w:val="00306B1C"/>
    <w:rsid w:val="0031040E"/>
    <w:rsid w:val="00313B89"/>
    <w:rsid w:val="0031520C"/>
    <w:rsid w:val="003166E3"/>
    <w:rsid w:val="00317A8D"/>
    <w:rsid w:val="003226D6"/>
    <w:rsid w:val="0032727F"/>
    <w:rsid w:val="003274AE"/>
    <w:rsid w:val="00330B74"/>
    <w:rsid w:val="003413A9"/>
    <w:rsid w:val="00343E1C"/>
    <w:rsid w:val="00344220"/>
    <w:rsid w:val="00345A21"/>
    <w:rsid w:val="00354FA3"/>
    <w:rsid w:val="003565FE"/>
    <w:rsid w:val="00363784"/>
    <w:rsid w:val="00370E61"/>
    <w:rsid w:val="0037360D"/>
    <w:rsid w:val="00375AE7"/>
    <w:rsid w:val="00377029"/>
    <w:rsid w:val="003836DF"/>
    <w:rsid w:val="00387FF4"/>
    <w:rsid w:val="0039170E"/>
    <w:rsid w:val="00393F27"/>
    <w:rsid w:val="003A0504"/>
    <w:rsid w:val="003A1B2C"/>
    <w:rsid w:val="003A41EA"/>
    <w:rsid w:val="003B31AF"/>
    <w:rsid w:val="003B3E83"/>
    <w:rsid w:val="003C021C"/>
    <w:rsid w:val="003C1A0E"/>
    <w:rsid w:val="003C21DD"/>
    <w:rsid w:val="003D10CF"/>
    <w:rsid w:val="003D46CB"/>
    <w:rsid w:val="003D6A7A"/>
    <w:rsid w:val="003E0891"/>
    <w:rsid w:val="003E365E"/>
    <w:rsid w:val="003E37FD"/>
    <w:rsid w:val="003F040A"/>
    <w:rsid w:val="003F64E3"/>
    <w:rsid w:val="00400C72"/>
    <w:rsid w:val="00411DF1"/>
    <w:rsid w:val="004138BB"/>
    <w:rsid w:val="00415D5E"/>
    <w:rsid w:val="00416513"/>
    <w:rsid w:val="00416B93"/>
    <w:rsid w:val="00417862"/>
    <w:rsid w:val="00422085"/>
    <w:rsid w:val="004272BF"/>
    <w:rsid w:val="00427407"/>
    <w:rsid w:val="00432C77"/>
    <w:rsid w:val="004366FE"/>
    <w:rsid w:val="00441EFB"/>
    <w:rsid w:val="00442970"/>
    <w:rsid w:val="004502AF"/>
    <w:rsid w:val="00454049"/>
    <w:rsid w:val="004540BD"/>
    <w:rsid w:val="0046089D"/>
    <w:rsid w:val="00460E33"/>
    <w:rsid w:val="0046175A"/>
    <w:rsid w:val="0046533F"/>
    <w:rsid w:val="0046544D"/>
    <w:rsid w:val="00467B56"/>
    <w:rsid w:val="004762EF"/>
    <w:rsid w:val="00477CE0"/>
    <w:rsid w:val="00480EFE"/>
    <w:rsid w:val="00481914"/>
    <w:rsid w:val="004845AC"/>
    <w:rsid w:val="00484AFB"/>
    <w:rsid w:val="00484C0A"/>
    <w:rsid w:val="00487773"/>
    <w:rsid w:val="00493D66"/>
    <w:rsid w:val="004A00D1"/>
    <w:rsid w:val="004A0129"/>
    <w:rsid w:val="004A1231"/>
    <w:rsid w:val="004A55FC"/>
    <w:rsid w:val="004B19B1"/>
    <w:rsid w:val="004B295A"/>
    <w:rsid w:val="004B50F0"/>
    <w:rsid w:val="004B7933"/>
    <w:rsid w:val="004C0D76"/>
    <w:rsid w:val="004C538E"/>
    <w:rsid w:val="004D1184"/>
    <w:rsid w:val="004D461F"/>
    <w:rsid w:val="004E52CD"/>
    <w:rsid w:val="004E6612"/>
    <w:rsid w:val="004F1CA0"/>
    <w:rsid w:val="004F2E06"/>
    <w:rsid w:val="004F3947"/>
    <w:rsid w:val="004F45AA"/>
    <w:rsid w:val="004F6A59"/>
    <w:rsid w:val="00502334"/>
    <w:rsid w:val="00505A2D"/>
    <w:rsid w:val="0050636F"/>
    <w:rsid w:val="00506CA9"/>
    <w:rsid w:val="0051378D"/>
    <w:rsid w:val="00515576"/>
    <w:rsid w:val="00515FF3"/>
    <w:rsid w:val="00516A1A"/>
    <w:rsid w:val="00520825"/>
    <w:rsid w:val="0053511A"/>
    <w:rsid w:val="005353B1"/>
    <w:rsid w:val="00535E2B"/>
    <w:rsid w:val="00546286"/>
    <w:rsid w:val="00546824"/>
    <w:rsid w:val="00546908"/>
    <w:rsid w:val="005526A8"/>
    <w:rsid w:val="00552975"/>
    <w:rsid w:val="00554957"/>
    <w:rsid w:val="00557142"/>
    <w:rsid w:val="005619C6"/>
    <w:rsid w:val="00564289"/>
    <w:rsid w:val="00565798"/>
    <w:rsid w:val="0056718A"/>
    <w:rsid w:val="0057631C"/>
    <w:rsid w:val="005779DB"/>
    <w:rsid w:val="00580592"/>
    <w:rsid w:val="00582854"/>
    <w:rsid w:val="00590562"/>
    <w:rsid w:val="00597101"/>
    <w:rsid w:val="005976DC"/>
    <w:rsid w:val="005A0504"/>
    <w:rsid w:val="005A32BA"/>
    <w:rsid w:val="005A46D9"/>
    <w:rsid w:val="005A5E1C"/>
    <w:rsid w:val="005B027A"/>
    <w:rsid w:val="005B1C08"/>
    <w:rsid w:val="005B6E84"/>
    <w:rsid w:val="005C1066"/>
    <w:rsid w:val="005C31D0"/>
    <w:rsid w:val="005C35E0"/>
    <w:rsid w:val="005C5409"/>
    <w:rsid w:val="005C7E9D"/>
    <w:rsid w:val="005D14A1"/>
    <w:rsid w:val="005E1C4C"/>
    <w:rsid w:val="005E37B4"/>
    <w:rsid w:val="005E7A18"/>
    <w:rsid w:val="00600DFD"/>
    <w:rsid w:val="00605D22"/>
    <w:rsid w:val="00610252"/>
    <w:rsid w:val="0061126B"/>
    <w:rsid w:val="00611353"/>
    <w:rsid w:val="00616F2D"/>
    <w:rsid w:val="006208EE"/>
    <w:rsid w:val="0063137F"/>
    <w:rsid w:val="00632B1E"/>
    <w:rsid w:val="00632D96"/>
    <w:rsid w:val="0065591E"/>
    <w:rsid w:val="00656861"/>
    <w:rsid w:val="00657D6D"/>
    <w:rsid w:val="00660B18"/>
    <w:rsid w:val="00664C50"/>
    <w:rsid w:val="00666CA4"/>
    <w:rsid w:val="006725FE"/>
    <w:rsid w:val="00680177"/>
    <w:rsid w:val="006814E4"/>
    <w:rsid w:val="00685693"/>
    <w:rsid w:val="006864DC"/>
    <w:rsid w:val="00686CA0"/>
    <w:rsid w:val="006870D1"/>
    <w:rsid w:val="00687ACA"/>
    <w:rsid w:val="00691B14"/>
    <w:rsid w:val="006A7399"/>
    <w:rsid w:val="006B11D6"/>
    <w:rsid w:val="006B190A"/>
    <w:rsid w:val="006B5489"/>
    <w:rsid w:val="006B66B1"/>
    <w:rsid w:val="006C3138"/>
    <w:rsid w:val="006D4B75"/>
    <w:rsid w:val="006E51BB"/>
    <w:rsid w:val="006E67A2"/>
    <w:rsid w:val="006E7087"/>
    <w:rsid w:val="006F207A"/>
    <w:rsid w:val="006F3057"/>
    <w:rsid w:val="006F5708"/>
    <w:rsid w:val="0070085B"/>
    <w:rsid w:val="007016B7"/>
    <w:rsid w:val="00714F50"/>
    <w:rsid w:val="00722B98"/>
    <w:rsid w:val="00723A16"/>
    <w:rsid w:val="0072428D"/>
    <w:rsid w:val="00724B7C"/>
    <w:rsid w:val="00727987"/>
    <w:rsid w:val="007400CA"/>
    <w:rsid w:val="00740A48"/>
    <w:rsid w:val="007458FF"/>
    <w:rsid w:val="00746D1D"/>
    <w:rsid w:val="00747FF6"/>
    <w:rsid w:val="00752D49"/>
    <w:rsid w:val="00754AB6"/>
    <w:rsid w:val="007600FC"/>
    <w:rsid w:val="007636DE"/>
    <w:rsid w:val="007647AA"/>
    <w:rsid w:val="0076536D"/>
    <w:rsid w:val="00767153"/>
    <w:rsid w:val="00767C19"/>
    <w:rsid w:val="0077256A"/>
    <w:rsid w:val="00781633"/>
    <w:rsid w:val="00784859"/>
    <w:rsid w:val="00787623"/>
    <w:rsid w:val="0079169F"/>
    <w:rsid w:val="00791CDD"/>
    <w:rsid w:val="00791F47"/>
    <w:rsid w:val="00794AE3"/>
    <w:rsid w:val="0079666D"/>
    <w:rsid w:val="007A23EC"/>
    <w:rsid w:val="007B5DF2"/>
    <w:rsid w:val="007B6C77"/>
    <w:rsid w:val="007B7478"/>
    <w:rsid w:val="007C09F0"/>
    <w:rsid w:val="007C0F07"/>
    <w:rsid w:val="007C23EC"/>
    <w:rsid w:val="007C25DF"/>
    <w:rsid w:val="007C322D"/>
    <w:rsid w:val="007C469F"/>
    <w:rsid w:val="007D183B"/>
    <w:rsid w:val="007D5F76"/>
    <w:rsid w:val="007E2DA5"/>
    <w:rsid w:val="007E6F9C"/>
    <w:rsid w:val="007F06C5"/>
    <w:rsid w:val="007F2DEE"/>
    <w:rsid w:val="007F4467"/>
    <w:rsid w:val="007F5ACA"/>
    <w:rsid w:val="007F62A4"/>
    <w:rsid w:val="00801112"/>
    <w:rsid w:val="008013A5"/>
    <w:rsid w:val="00801402"/>
    <w:rsid w:val="00803C09"/>
    <w:rsid w:val="008062E0"/>
    <w:rsid w:val="00806CC4"/>
    <w:rsid w:val="00812321"/>
    <w:rsid w:val="00814FCA"/>
    <w:rsid w:val="00820135"/>
    <w:rsid w:val="008208DD"/>
    <w:rsid w:val="0082785E"/>
    <w:rsid w:val="00831828"/>
    <w:rsid w:val="00834D94"/>
    <w:rsid w:val="008368E8"/>
    <w:rsid w:val="00841EE2"/>
    <w:rsid w:val="00842E6A"/>
    <w:rsid w:val="00844FD6"/>
    <w:rsid w:val="0084719E"/>
    <w:rsid w:val="00847628"/>
    <w:rsid w:val="0085029D"/>
    <w:rsid w:val="0085172B"/>
    <w:rsid w:val="00855788"/>
    <w:rsid w:val="00863C35"/>
    <w:rsid w:val="008706B0"/>
    <w:rsid w:val="00875232"/>
    <w:rsid w:val="00881619"/>
    <w:rsid w:val="008828E2"/>
    <w:rsid w:val="00882BBE"/>
    <w:rsid w:val="0088727A"/>
    <w:rsid w:val="008927BB"/>
    <w:rsid w:val="00895A6C"/>
    <w:rsid w:val="008A061C"/>
    <w:rsid w:val="008A16A6"/>
    <w:rsid w:val="008B6680"/>
    <w:rsid w:val="008B773C"/>
    <w:rsid w:val="008C02F5"/>
    <w:rsid w:val="008C289F"/>
    <w:rsid w:val="008C49D8"/>
    <w:rsid w:val="008C72BC"/>
    <w:rsid w:val="008D4B36"/>
    <w:rsid w:val="008D65DF"/>
    <w:rsid w:val="008E1AF0"/>
    <w:rsid w:val="008E212A"/>
    <w:rsid w:val="008E418F"/>
    <w:rsid w:val="008E55DB"/>
    <w:rsid w:val="008F283E"/>
    <w:rsid w:val="008F3D8F"/>
    <w:rsid w:val="008F4355"/>
    <w:rsid w:val="0090099E"/>
    <w:rsid w:val="009012D1"/>
    <w:rsid w:val="009027B2"/>
    <w:rsid w:val="00904832"/>
    <w:rsid w:val="00910BAE"/>
    <w:rsid w:val="009319E2"/>
    <w:rsid w:val="009320AF"/>
    <w:rsid w:val="00952E00"/>
    <w:rsid w:val="009615E3"/>
    <w:rsid w:val="00962CD1"/>
    <w:rsid w:val="00964227"/>
    <w:rsid w:val="00966689"/>
    <w:rsid w:val="00971AB0"/>
    <w:rsid w:val="009726A6"/>
    <w:rsid w:val="00976EE4"/>
    <w:rsid w:val="00976F95"/>
    <w:rsid w:val="00982E87"/>
    <w:rsid w:val="009922B5"/>
    <w:rsid w:val="009A3ADC"/>
    <w:rsid w:val="009A4200"/>
    <w:rsid w:val="009A4801"/>
    <w:rsid w:val="009A6B43"/>
    <w:rsid w:val="009B0E76"/>
    <w:rsid w:val="009B10DB"/>
    <w:rsid w:val="009B3304"/>
    <w:rsid w:val="009B58C7"/>
    <w:rsid w:val="009B60F3"/>
    <w:rsid w:val="009C695E"/>
    <w:rsid w:val="009C7ACD"/>
    <w:rsid w:val="009D04CF"/>
    <w:rsid w:val="009D092E"/>
    <w:rsid w:val="009D452E"/>
    <w:rsid w:val="009E02AE"/>
    <w:rsid w:val="009E137D"/>
    <w:rsid w:val="009E48D3"/>
    <w:rsid w:val="009E50C5"/>
    <w:rsid w:val="009E617E"/>
    <w:rsid w:val="009E7A7F"/>
    <w:rsid w:val="009F3D55"/>
    <w:rsid w:val="00A00F36"/>
    <w:rsid w:val="00A06BA0"/>
    <w:rsid w:val="00A11F74"/>
    <w:rsid w:val="00A12736"/>
    <w:rsid w:val="00A16986"/>
    <w:rsid w:val="00A21293"/>
    <w:rsid w:val="00A21419"/>
    <w:rsid w:val="00A2317E"/>
    <w:rsid w:val="00A310EB"/>
    <w:rsid w:val="00A33C8C"/>
    <w:rsid w:val="00A34BBE"/>
    <w:rsid w:val="00A359B8"/>
    <w:rsid w:val="00A3668B"/>
    <w:rsid w:val="00A36FBC"/>
    <w:rsid w:val="00A3739C"/>
    <w:rsid w:val="00A42D7C"/>
    <w:rsid w:val="00A44990"/>
    <w:rsid w:val="00A4652F"/>
    <w:rsid w:val="00A47FE5"/>
    <w:rsid w:val="00A535CE"/>
    <w:rsid w:val="00A55631"/>
    <w:rsid w:val="00A61A4E"/>
    <w:rsid w:val="00A63CE3"/>
    <w:rsid w:val="00A6607C"/>
    <w:rsid w:val="00A66A34"/>
    <w:rsid w:val="00A67D66"/>
    <w:rsid w:val="00A7012F"/>
    <w:rsid w:val="00A74961"/>
    <w:rsid w:val="00A77127"/>
    <w:rsid w:val="00A87A86"/>
    <w:rsid w:val="00A903BD"/>
    <w:rsid w:val="00A947BB"/>
    <w:rsid w:val="00AA0909"/>
    <w:rsid w:val="00AA45C8"/>
    <w:rsid w:val="00AA4C23"/>
    <w:rsid w:val="00AA79D5"/>
    <w:rsid w:val="00AB0420"/>
    <w:rsid w:val="00AB11D4"/>
    <w:rsid w:val="00AC094E"/>
    <w:rsid w:val="00AC6EBF"/>
    <w:rsid w:val="00AD1F38"/>
    <w:rsid w:val="00AD38C9"/>
    <w:rsid w:val="00AD4190"/>
    <w:rsid w:val="00AD7B66"/>
    <w:rsid w:val="00AE0F47"/>
    <w:rsid w:val="00AE29DF"/>
    <w:rsid w:val="00AE51A9"/>
    <w:rsid w:val="00AF2124"/>
    <w:rsid w:val="00AF397C"/>
    <w:rsid w:val="00AF7BEC"/>
    <w:rsid w:val="00B065FF"/>
    <w:rsid w:val="00B11639"/>
    <w:rsid w:val="00B122B0"/>
    <w:rsid w:val="00B127AA"/>
    <w:rsid w:val="00B1526A"/>
    <w:rsid w:val="00B21608"/>
    <w:rsid w:val="00B2598C"/>
    <w:rsid w:val="00B32B4C"/>
    <w:rsid w:val="00B32EDC"/>
    <w:rsid w:val="00B34DF9"/>
    <w:rsid w:val="00B36733"/>
    <w:rsid w:val="00B368EC"/>
    <w:rsid w:val="00B36FBF"/>
    <w:rsid w:val="00B4072D"/>
    <w:rsid w:val="00B513C6"/>
    <w:rsid w:val="00B57452"/>
    <w:rsid w:val="00B57BFF"/>
    <w:rsid w:val="00B6582B"/>
    <w:rsid w:val="00B664C5"/>
    <w:rsid w:val="00B71065"/>
    <w:rsid w:val="00B74B86"/>
    <w:rsid w:val="00B76111"/>
    <w:rsid w:val="00B82C3D"/>
    <w:rsid w:val="00B91579"/>
    <w:rsid w:val="00B926D7"/>
    <w:rsid w:val="00B94F66"/>
    <w:rsid w:val="00B96BC1"/>
    <w:rsid w:val="00BB2F46"/>
    <w:rsid w:val="00BB3159"/>
    <w:rsid w:val="00BB3DAC"/>
    <w:rsid w:val="00BB507A"/>
    <w:rsid w:val="00BC08A5"/>
    <w:rsid w:val="00BC4D59"/>
    <w:rsid w:val="00BD0BD2"/>
    <w:rsid w:val="00BD19A8"/>
    <w:rsid w:val="00BD1AE9"/>
    <w:rsid w:val="00BD4E52"/>
    <w:rsid w:val="00BE07D3"/>
    <w:rsid w:val="00BE145A"/>
    <w:rsid w:val="00BE3E12"/>
    <w:rsid w:val="00BF0A10"/>
    <w:rsid w:val="00BF6971"/>
    <w:rsid w:val="00C24564"/>
    <w:rsid w:val="00C31454"/>
    <w:rsid w:val="00C322BC"/>
    <w:rsid w:val="00C322E0"/>
    <w:rsid w:val="00C41166"/>
    <w:rsid w:val="00C435E8"/>
    <w:rsid w:val="00C44267"/>
    <w:rsid w:val="00C46AF0"/>
    <w:rsid w:val="00C46FDC"/>
    <w:rsid w:val="00C47071"/>
    <w:rsid w:val="00C52253"/>
    <w:rsid w:val="00C5253D"/>
    <w:rsid w:val="00C54DA2"/>
    <w:rsid w:val="00C57960"/>
    <w:rsid w:val="00C60902"/>
    <w:rsid w:val="00C62726"/>
    <w:rsid w:val="00C67E59"/>
    <w:rsid w:val="00C70D26"/>
    <w:rsid w:val="00C74F9A"/>
    <w:rsid w:val="00C82BB5"/>
    <w:rsid w:val="00C83544"/>
    <w:rsid w:val="00C8418A"/>
    <w:rsid w:val="00C87E49"/>
    <w:rsid w:val="00CB11B4"/>
    <w:rsid w:val="00CB233F"/>
    <w:rsid w:val="00CB323C"/>
    <w:rsid w:val="00CB3B3A"/>
    <w:rsid w:val="00CB4C8C"/>
    <w:rsid w:val="00CB52C2"/>
    <w:rsid w:val="00CB7E03"/>
    <w:rsid w:val="00CC5BAA"/>
    <w:rsid w:val="00CC6A22"/>
    <w:rsid w:val="00CC6DAD"/>
    <w:rsid w:val="00CD4F79"/>
    <w:rsid w:val="00CE33DF"/>
    <w:rsid w:val="00CE512D"/>
    <w:rsid w:val="00CE6619"/>
    <w:rsid w:val="00CE69D3"/>
    <w:rsid w:val="00CF159E"/>
    <w:rsid w:val="00CF48E0"/>
    <w:rsid w:val="00CF51ED"/>
    <w:rsid w:val="00D01BE6"/>
    <w:rsid w:val="00D02423"/>
    <w:rsid w:val="00D05301"/>
    <w:rsid w:val="00D0631D"/>
    <w:rsid w:val="00D1225F"/>
    <w:rsid w:val="00D13E09"/>
    <w:rsid w:val="00D1425D"/>
    <w:rsid w:val="00D219CB"/>
    <w:rsid w:val="00D24FF3"/>
    <w:rsid w:val="00D25DF2"/>
    <w:rsid w:val="00D27ED3"/>
    <w:rsid w:val="00D31A37"/>
    <w:rsid w:val="00D3523E"/>
    <w:rsid w:val="00D358E7"/>
    <w:rsid w:val="00D423B4"/>
    <w:rsid w:val="00D46DDA"/>
    <w:rsid w:val="00D470EA"/>
    <w:rsid w:val="00D51C2F"/>
    <w:rsid w:val="00D542EA"/>
    <w:rsid w:val="00D5548F"/>
    <w:rsid w:val="00D55609"/>
    <w:rsid w:val="00D603B6"/>
    <w:rsid w:val="00D620F0"/>
    <w:rsid w:val="00D64D27"/>
    <w:rsid w:val="00D67CEF"/>
    <w:rsid w:val="00D72048"/>
    <w:rsid w:val="00D77DCB"/>
    <w:rsid w:val="00D805C1"/>
    <w:rsid w:val="00D80CFC"/>
    <w:rsid w:val="00D8722D"/>
    <w:rsid w:val="00D9159E"/>
    <w:rsid w:val="00D91FFC"/>
    <w:rsid w:val="00D9259A"/>
    <w:rsid w:val="00D9689E"/>
    <w:rsid w:val="00DA451E"/>
    <w:rsid w:val="00DD0D77"/>
    <w:rsid w:val="00DD2689"/>
    <w:rsid w:val="00DD2ABE"/>
    <w:rsid w:val="00DE279B"/>
    <w:rsid w:val="00DE534A"/>
    <w:rsid w:val="00DF26B2"/>
    <w:rsid w:val="00DF4219"/>
    <w:rsid w:val="00DF48D2"/>
    <w:rsid w:val="00E06C68"/>
    <w:rsid w:val="00E07E96"/>
    <w:rsid w:val="00E122CC"/>
    <w:rsid w:val="00E124B2"/>
    <w:rsid w:val="00E14246"/>
    <w:rsid w:val="00E14290"/>
    <w:rsid w:val="00E169D9"/>
    <w:rsid w:val="00E21128"/>
    <w:rsid w:val="00E22CAF"/>
    <w:rsid w:val="00E25E93"/>
    <w:rsid w:val="00E279F0"/>
    <w:rsid w:val="00E331C3"/>
    <w:rsid w:val="00E40F9D"/>
    <w:rsid w:val="00E47098"/>
    <w:rsid w:val="00E47C03"/>
    <w:rsid w:val="00E511B2"/>
    <w:rsid w:val="00E5167E"/>
    <w:rsid w:val="00E53FDD"/>
    <w:rsid w:val="00E54D55"/>
    <w:rsid w:val="00E55354"/>
    <w:rsid w:val="00E56A55"/>
    <w:rsid w:val="00E82097"/>
    <w:rsid w:val="00E82244"/>
    <w:rsid w:val="00E85E04"/>
    <w:rsid w:val="00E87A2D"/>
    <w:rsid w:val="00E90DED"/>
    <w:rsid w:val="00E94D4F"/>
    <w:rsid w:val="00EA3ADE"/>
    <w:rsid w:val="00EB585F"/>
    <w:rsid w:val="00ED37E3"/>
    <w:rsid w:val="00ED7094"/>
    <w:rsid w:val="00EE5491"/>
    <w:rsid w:val="00EF12D5"/>
    <w:rsid w:val="00EF40B3"/>
    <w:rsid w:val="00EF6BBB"/>
    <w:rsid w:val="00F00B5D"/>
    <w:rsid w:val="00F00CFE"/>
    <w:rsid w:val="00F018BD"/>
    <w:rsid w:val="00F0282A"/>
    <w:rsid w:val="00F03E24"/>
    <w:rsid w:val="00F07DA3"/>
    <w:rsid w:val="00F11498"/>
    <w:rsid w:val="00F144E8"/>
    <w:rsid w:val="00F15316"/>
    <w:rsid w:val="00F1637A"/>
    <w:rsid w:val="00F1699D"/>
    <w:rsid w:val="00F16F37"/>
    <w:rsid w:val="00F25213"/>
    <w:rsid w:val="00F27F1B"/>
    <w:rsid w:val="00F311ED"/>
    <w:rsid w:val="00F3150F"/>
    <w:rsid w:val="00F43C74"/>
    <w:rsid w:val="00F45244"/>
    <w:rsid w:val="00F45D9E"/>
    <w:rsid w:val="00F466E9"/>
    <w:rsid w:val="00F4765D"/>
    <w:rsid w:val="00F47ABE"/>
    <w:rsid w:val="00F52DDC"/>
    <w:rsid w:val="00F55488"/>
    <w:rsid w:val="00F574BD"/>
    <w:rsid w:val="00F579AB"/>
    <w:rsid w:val="00F619FC"/>
    <w:rsid w:val="00F61D5E"/>
    <w:rsid w:val="00F64FF9"/>
    <w:rsid w:val="00F76E23"/>
    <w:rsid w:val="00F83AE3"/>
    <w:rsid w:val="00F84B17"/>
    <w:rsid w:val="00F850DE"/>
    <w:rsid w:val="00F86630"/>
    <w:rsid w:val="00F971CD"/>
    <w:rsid w:val="00F97CC9"/>
    <w:rsid w:val="00FA237D"/>
    <w:rsid w:val="00FA26BD"/>
    <w:rsid w:val="00FA2E7B"/>
    <w:rsid w:val="00FA50F0"/>
    <w:rsid w:val="00FB0D15"/>
    <w:rsid w:val="00FB161C"/>
    <w:rsid w:val="00FB2178"/>
    <w:rsid w:val="00FB29D2"/>
    <w:rsid w:val="00FC000D"/>
    <w:rsid w:val="00FC1698"/>
    <w:rsid w:val="00FC4A78"/>
    <w:rsid w:val="00FC699D"/>
    <w:rsid w:val="00FD2EDF"/>
    <w:rsid w:val="00FD5501"/>
    <w:rsid w:val="00FD5CC3"/>
    <w:rsid w:val="00FE0E2F"/>
    <w:rsid w:val="00FE189B"/>
    <w:rsid w:val="00FE7D9F"/>
    <w:rsid w:val="00FF1BB9"/>
    <w:rsid w:val="00FF51A3"/>
    <w:rsid w:val="00FF7BE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36C76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F0A1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D470E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387FF4"/>
    <w:rPr>
      <w:color w:val="0000FF"/>
      <w:shd w:val="clear" w:color="auto" w:fill="auto"/>
    </w:rPr>
  </w:style>
  <w:style w:type="paragraph" w:styleId="Header">
    <w:name w:val="header"/>
    <w:basedOn w:val="Normal"/>
    <w:link w:val="HeaderChar"/>
    <w:uiPriority w:val="99"/>
    <w:unhideWhenUsed/>
    <w:rsid w:val="00387FF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7FF4"/>
  </w:style>
  <w:style w:type="paragraph" w:styleId="Footer">
    <w:name w:val="footer"/>
    <w:basedOn w:val="Normal"/>
    <w:link w:val="FooterChar"/>
    <w:uiPriority w:val="99"/>
    <w:unhideWhenUsed/>
    <w:rsid w:val="00387FF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7FF4"/>
  </w:style>
  <w:style w:type="paragraph" w:customStyle="1" w:styleId="Pagedecouverture">
    <w:name w:val="Page de couverture"/>
    <w:basedOn w:val="Normal"/>
    <w:next w:val="Normal"/>
    <w:rsid w:val="00387FF4"/>
    <w:pPr>
      <w:spacing w:after="0" w:line="240" w:lineRule="auto"/>
      <w:jc w:val="both"/>
    </w:pPr>
    <w:rPr>
      <w:rFonts w:ascii="Times New Roman" w:hAnsi="Times New Roman" w:cs="Times New Roman"/>
      <w:sz w:val="24"/>
    </w:rPr>
  </w:style>
  <w:style w:type="paragraph" w:customStyle="1" w:styleId="FooterCoverPage">
    <w:name w:val="Footer Cover Page"/>
    <w:basedOn w:val="Normal"/>
    <w:link w:val="FooterCoverPageChar"/>
    <w:rsid w:val="00387FF4"/>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387FF4"/>
    <w:rPr>
      <w:rFonts w:ascii="Times New Roman" w:hAnsi="Times New Roman" w:cs="Times New Roman"/>
      <w:sz w:val="24"/>
    </w:rPr>
  </w:style>
  <w:style w:type="paragraph" w:customStyle="1" w:styleId="FooterSensitivity">
    <w:name w:val="Footer Sensitivity"/>
    <w:basedOn w:val="Normal"/>
    <w:link w:val="FooterSensitivityChar"/>
    <w:rsid w:val="00387FF4"/>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387FF4"/>
    <w:rPr>
      <w:rFonts w:ascii="Times New Roman" w:hAnsi="Times New Roman" w:cs="Times New Roman"/>
      <w:b/>
      <w:sz w:val="32"/>
    </w:rPr>
  </w:style>
  <w:style w:type="paragraph" w:customStyle="1" w:styleId="HeaderCoverPage">
    <w:name w:val="Header Cover Page"/>
    <w:basedOn w:val="Normal"/>
    <w:link w:val="HeaderCoverPageChar"/>
    <w:rsid w:val="00387FF4"/>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387FF4"/>
    <w:rPr>
      <w:rFonts w:ascii="Times New Roman" w:hAnsi="Times New Roman" w:cs="Times New Roman"/>
      <w:sz w:val="24"/>
    </w:rPr>
  </w:style>
  <w:style w:type="paragraph" w:customStyle="1" w:styleId="HeaderSensitivity">
    <w:name w:val="Header Sensitivity"/>
    <w:basedOn w:val="Normal"/>
    <w:link w:val="HeaderSensitivityChar"/>
    <w:rsid w:val="00387FF4"/>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387FF4"/>
    <w:rPr>
      <w:rFonts w:ascii="Times New Roman" w:hAnsi="Times New Roman" w:cs="Times New Roman"/>
      <w:b/>
      <w:sz w:val="32"/>
    </w:rPr>
  </w:style>
  <w:style w:type="paragraph" w:customStyle="1" w:styleId="HeaderSensitivityRight">
    <w:name w:val="Header Sensitivity Right"/>
    <w:basedOn w:val="Normal"/>
    <w:link w:val="HeaderSensitivityRightChar"/>
    <w:rsid w:val="00387FF4"/>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387FF4"/>
    <w:rPr>
      <w:rFonts w:ascii="Times New Roman" w:hAnsi="Times New Roman" w:cs="Times New Roman"/>
      <w:sz w:val="28"/>
    </w:rPr>
  </w:style>
  <w:style w:type="paragraph" w:customStyle="1" w:styleId="Typedudocument">
    <w:name w:val="Type du document"/>
    <w:basedOn w:val="Normal"/>
    <w:next w:val="Normal"/>
    <w:rsid w:val="005C5409"/>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rsid w:val="005C5409"/>
    <w:pPr>
      <w:spacing w:before="360" w:after="360" w:line="240" w:lineRule="auto"/>
      <w:jc w:val="center"/>
    </w:pPr>
    <w:rPr>
      <w:rFonts w:ascii="Times New Roman" w:hAnsi="Times New Roman" w:cs="Times New Roman"/>
      <w:b/>
      <w:sz w:val="24"/>
    </w:rPr>
  </w:style>
  <w:style w:type="character" w:styleId="Hyperlink">
    <w:name w:val="Hyperlink"/>
    <w:unhideWhenUsed/>
    <w:rsid w:val="005C5409"/>
    <w:rPr>
      <w:color w:val="0000FF"/>
      <w:u w:val="single"/>
    </w:rPr>
  </w:style>
  <w:style w:type="paragraph" w:customStyle="1" w:styleId="footnotetext1">
    <w:name w:val="footnote text1"/>
    <w:aliases w:val="FT"/>
    <w:basedOn w:val="Normal"/>
    <w:unhideWhenUsed/>
    <w:rsid w:val="005C5409"/>
    <w:pPr>
      <w:spacing w:after="0" w:line="240" w:lineRule="auto"/>
    </w:pPr>
    <w:rPr>
      <w:rFonts w:ascii="Calibri" w:eastAsia="Calibri" w:hAnsi="Calibri" w:cs="Times New Roman"/>
      <w:sz w:val="20"/>
      <w:szCs w:val="20"/>
    </w:rPr>
  </w:style>
  <w:style w:type="character" w:styleId="FootnoteReference">
    <w:name w:val="footnote reference"/>
    <w:aliases w:val="Footnote,Footnote number,Footnote symbol,Footnote Reference Number,Footnote reference number,Times 10 Point,Exposant 3 Point,Footnote Reference Superscript,note TESI,SUPERS,EN Footnote Reference,Ref,de nota al pie"/>
    <w:link w:val="BVIfnrCarCarCarCarCharCharCharChar"/>
    <w:uiPriority w:val="99"/>
    <w:unhideWhenUsed/>
    <w:qFormat/>
    <w:rsid w:val="005C5409"/>
    <w:rPr>
      <w:vertAlign w:val="superscript"/>
    </w:rPr>
  </w:style>
  <w:style w:type="paragraph" w:customStyle="1" w:styleId="ManualHeading1">
    <w:name w:val="Manual Heading 1"/>
    <w:basedOn w:val="Normal"/>
    <w:next w:val="Normal"/>
    <w:rsid w:val="005C5409"/>
    <w:pPr>
      <w:keepNext/>
      <w:tabs>
        <w:tab w:val="left" w:pos="850"/>
      </w:tabs>
      <w:spacing w:before="360" w:after="120" w:line="240" w:lineRule="auto"/>
      <w:ind w:left="850" w:hanging="850"/>
      <w:jc w:val="both"/>
      <w:outlineLvl w:val="0"/>
    </w:pPr>
    <w:rPr>
      <w:rFonts w:ascii="Times New Roman" w:eastAsia="Times New Roman" w:hAnsi="Times New Roman" w:cs="Times New Roman"/>
      <w:b/>
      <w:smallCaps/>
      <w:sz w:val="24"/>
      <w:szCs w:val="20"/>
      <w:lang w:eastAsia="en-GB"/>
    </w:rPr>
  </w:style>
  <w:style w:type="paragraph" w:styleId="NormalWeb">
    <w:name w:val="Normal (Web)"/>
    <w:basedOn w:val="Normal"/>
    <w:uiPriority w:val="99"/>
    <w:unhideWhenUsed/>
    <w:rsid w:val="005C5409"/>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semiHidden/>
    <w:unhideWhenUsed/>
    <w:rsid w:val="005C5409"/>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semiHidden/>
    <w:rsid w:val="005C5409"/>
    <w:rPr>
      <w:rFonts w:ascii="Calibri" w:eastAsia="Calibri" w:hAnsi="Calibri" w:cs="Times New Roman"/>
      <w:sz w:val="20"/>
      <w:szCs w:val="20"/>
      <w:lang w:val="cs-CZ"/>
    </w:rPr>
  </w:style>
  <w:style w:type="paragraph" w:customStyle="1" w:styleId="BVIfnrCarCarCarCarCharCharCharChar">
    <w:name w:val="BVI fnr Car Car Car Car Char Char Char Char"/>
    <w:basedOn w:val="Normal"/>
    <w:link w:val="FootnoteReference"/>
    <w:autoRedefine/>
    <w:uiPriority w:val="99"/>
    <w:qFormat/>
    <w:rsid w:val="005C5409"/>
    <w:pPr>
      <w:spacing w:after="0" w:line="240" w:lineRule="auto"/>
      <w:ind w:left="720" w:hanging="720"/>
    </w:pPr>
    <w:rPr>
      <w:vertAlign w:val="superscript"/>
    </w:rPr>
  </w:style>
  <w:style w:type="paragraph" w:styleId="Revision">
    <w:name w:val="Revision"/>
    <w:hidden/>
    <w:uiPriority w:val="99"/>
    <w:semiHidden/>
    <w:rsid w:val="005C5409"/>
    <w:pPr>
      <w:spacing w:after="0" w:line="240" w:lineRule="auto"/>
    </w:pPr>
  </w:style>
  <w:style w:type="character" w:styleId="FollowedHyperlink">
    <w:name w:val="FollowedHyperlink"/>
    <w:basedOn w:val="DefaultParagraphFont"/>
    <w:uiPriority w:val="99"/>
    <w:semiHidden/>
    <w:unhideWhenUsed/>
    <w:rsid w:val="00D9259A"/>
    <w:rPr>
      <w:color w:val="954F72" w:themeColor="followedHyperlink"/>
      <w:u w:val="single"/>
    </w:rPr>
  </w:style>
  <w:style w:type="character" w:styleId="CommentReference">
    <w:name w:val="annotation reference"/>
    <w:basedOn w:val="DefaultParagraphFont"/>
    <w:uiPriority w:val="99"/>
    <w:semiHidden/>
    <w:unhideWhenUsed/>
    <w:rsid w:val="006F5708"/>
    <w:rPr>
      <w:sz w:val="16"/>
      <w:szCs w:val="16"/>
    </w:rPr>
  </w:style>
  <w:style w:type="paragraph" w:styleId="CommentText">
    <w:name w:val="annotation text"/>
    <w:basedOn w:val="Normal"/>
    <w:link w:val="CommentTextChar"/>
    <w:uiPriority w:val="99"/>
    <w:unhideWhenUsed/>
    <w:rsid w:val="006F5708"/>
    <w:pPr>
      <w:spacing w:line="240" w:lineRule="auto"/>
    </w:pPr>
    <w:rPr>
      <w:sz w:val="20"/>
      <w:szCs w:val="20"/>
    </w:rPr>
  </w:style>
  <w:style w:type="character" w:customStyle="1" w:styleId="CommentTextChar">
    <w:name w:val="Comment Text Char"/>
    <w:basedOn w:val="DefaultParagraphFont"/>
    <w:link w:val="CommentText"/>
    <w:uiPriority w:val="99"/>
    <w:rsid w:val="006F5708"/>
    <w:rPr>
      <w:sz w:val="20"/>
      <w:szCs w:val="20"/>
    </w:rPr>
  </w:style>
  <w:style w:type="paragraph" w:styleId="CommentSubject">
    <w:name w:val="annotation subject"/>
    <w:basedOn w:val="CommentText"/>
    <w:next w:val="CommentText"/>
    <w:link w:val="CommentSubjectChar"/>
    <w:uiPriority w:val="99"/>
    <w:semiHidden/>
    <w:unhideWhenUsed/>
    <w:rsid w:val="006F5708"/>
    <w:rPr>
      <w:b/>
      <w:bCs/>
    </w:rPr>
  </w:style>
  <w:style w:type="character" w:customStyle="1" w:styleId="CommentSubjectChar">
    <w:name w:val="Comment Subject Char"/>
    <w:basedOn w:val="CommentTextChar"/>
    <w:link w:val="CommentSubject"/>
    <w:uiPriority w:val="99"/>
    <w:semiHidden/>
    <w:rsid w:val="006F5708"/>
    <w:rPr>
      <w:b/>
      <w:bCs/>
      <w:sz w:val="20"/>
      <w:szCs w:val="20"/>
    </w:rPr>
  </w:style>
  <w:style w:type="character" w:customStyle="1" w:styleId="UnresolvedMention">
    <w:name w:val="Unresolved Mention"/>
    <w:basedOn w:val="DefaultParagraphFont"/>
    <w:uiPriority w:val="99"/>
    <w:semiHidden/>
    <w:unhideWhenUsed/>
    <w:rsid w:val="00222D55"/>
    <w:rPr>
      <w:color w:val="605E5C"/>
      <w:shd w:val="clear" w:color="auto" w:fill="E1DFDD"/>
    </w:rPr>
  </w:style>
  <w:style w:type="character" w:customStyle="1" w:styleId="Heading1Char">
    <w:name w:val="Heading 1 Char"/>
    <w:basedOn w:val="DefaultParagraphFont"/>
    <w:link w:val="Heading1"/>
    <w:uiPriority w:val="9"/>
    <w:rsid w:val="00BF0A1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D470EA"/>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102038">
      <w:bodyDiv w:val="1"/>
      <w:marLeft w:val="0"/>
      <w:marRight w:val="0"/>
      <w:marTop w:val="0"/>
      <w:marBottom w:val="0"/>
      <w:divBdr>
        <w:top w:val="none" w:sz="0" w:space="0" w:color="auto"/>
        <w:left w:val="none" w:sz="0" w:space="0" w:color="auto"/>
        <w:bottom w:val="none" w:sz="0" w:space="0" w:color="auto"/>
        <w:right w:val="none" w:sz="0" w:space="0" w:color="auto"/>
      </w:divBdr>
    </w:div>
    <w:div w:id="53243636">
      <w:bodyDiv w:val="1"/>
      <w:marLeft w:val="0"/>
      <w:marRight w:val="0"/>
      <w:marTop w:val="0"/>
      <w:marBottom w:val="0"/>
      <w:divBdr>
        <w:top w:val="none" w:sz="0" w:space="0" w:color="auto"/>
        <w:left w:val="none" w:sz="0" w:space="0" w:color="auto"/>
        <w:bottom w:val="none" w:sz="0" w:space="0" w:color="auto"/>
        <w:right w:val="none" w:sz="0" w:space="0" w:color="auto"/>
      </w:divBdr>
    </w:div>
    <w:div w:id="80030916">
      <w:bodyDiv w:val="1"/>
      <w:marLeft w:val="0"/>
      <w:marRight w:val="0"/>
      <w:marTop w:val="0"/>
      <w:marBottom w:val="0"/>
      <w:divBdr>
        <w:top w:val="none" w:sz="0" w:space="0" w:color="auto"/>
        <w:left w:val="none" w:sz="0" w:space="0" w:color="auto"/>
        <w:bottom w:val="none" w:sz="0" w:space="0" w:color="auto"/>
        <w:right w:val="none" w:sz="0" w:space="0" w:color="auto"/>
      </w:divBdr>
    </w:div>
    <w:div w:id="592400892">
      <w:bodyDiv w:val="1"/>
      <w:marLeft w:val="0"/>
      <w:marRight w:val="0"/>
      <w:marTop w:val="0"/>
      <w:marBottom w:val="0"/>
      <w:divBdr>
        <w:top w:val="none" w:sz="0" w:space="0" w:color="auto"/>
        <w:left w:val="none" w:sz="0" w:space="0" w:color="auto"/>
        <w:bottom w:val="none" w:sz="0" w:space="0" w:color="auto"/>
        <w:right w:val="none" w:sz="0" w:space="0" w:color="auto"/>
      </w:divBdr>
      <w:divsChild>
        <w:div w:id="532617278">
          <w:marLeft w:val="0"/>
          <w:marRight w:val="0"/>
          <w:marTop w:val="0"/>
          <w:marBottom w:val="0"/>
          <w:divBdr>
            <w:top w:val="none" w:sz="0" w:space="0" w:color="auto"/>
            <w:left w:val="none" w:sz="0" w:space="0" w:color="auto"/>
            <w:bottom w:val="none" w:sz="0" w:space="0" w:color="auto"/>
            <w:right w:val="none" w:sz="0" w:space="0" w:color="auto"/>
          </w:divBdr>
          <w:divsChild>
            <w:div w:id="270359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781910">
      <w:bodyDiv w:val="1"/>
      <w:marLeft w:val="0"/>
      <w:marRight w:val="0"/>
      <w:marTop w:val="0"/>
      <w:marBottom w:val="0"/>
      <w:divBdr>
        <w:top w:val="none" w:sz="0" w:space="0" w:color="auto"/>
        <w:left w:val="none" w:sz="0" w:space="0" w:color="auto"/>
        <w:bottom w:val="none" w:sz="0" w:space="0" w:color="auto"/>
        <w:right w:val="none" w:sz="0" w:space="0" w:color="auto"/>
      </w:divBdr>
    </w:div>
    <w:div w:id="779451480">
      <w:bodyDiv w:val="1"/>
      <w:marLeft w:val="0"/>
      <w:marRight w:val="0"/>
      <w:marTop w:val="0"/>
      <w:marBottom w:val="0"/>
      <w:divBdr>
        <w:top w:val="none" w:sz="0" w:space="0" w:color="auto"/>
        <w:left w:val="none" w:sz="0" w:space="0" w:color="auto"/>
        <w:bottom w:val="none" w:sz="0" w:space="0" w:color="auto"/>
        <w:right w:val="none" w:sz="0" w:space="0" w:color="auto"/>
      </w:divBdr>
    </w:div>
    <w:div w:id="1156145148">
      <w:bodyDiv w:val="1"/>
      <w:marLeft w:val="0"/>
      <w:marRight w:val="0"/>
      <w:marTop w:val="0"/>
      <w:marBottom w:val="0"/>
      <w:divBdr>
        <w:top w:val="none" w:sz="0" w:space="0" w:color="auto"/>
        <w:left w:val="none" w:sz="0" w:space="0" w:color="auto"/>
        <w:bottom w:val="none" w:sz="0" w:space="0" w:color="auto"/>
        <w:right w:val="none" w:sz="0" w:space="0" w:color="auto"/>
      </w:divBdr>
    </w:div>
    <w:div w:id="1330905963">
      <w:bodyDiv w:val="1"/>
      <w:marLeft w:val="0"/>
      <w:marRight w:val="0"/>
      <w:marTop w:val="0"/>
      <w:marBottom w:val="0"/>
      <w:divBdr>
        <w:top w:val="none" w:sz="0" w:space="0" w:color="auto"/>
        <w:left w:val="none" w:sz="0" w:space="0" w:color="auto"/>
        <w:bottom w:val="none" w:sz="0" w:space="0" w:color="auto"/>
        <w:right w:val="none" w:sz="0" w:space="0" w:color="auto"/>
      </w:divBdr>
    </w:div>
    <w:div w:id="1400440029">
      <w:bodyDiv w:val="1"/>
      <w:marLeft w:val="0"/>
      <w:marRight w:val="0"/>
      <w:marTop w:val="0"/>
      <w:marBottom w:val="0"/>
      <w:divBdr>
        <w:top w:val="none" w:sz="0" w:space="0" w:color="auto"/>
        <w:left w:val="none" w:sz="0" w:space="0" w:color="auto"/>
        <w:bottom w:val="none" w:sz="0" w:space="0" w:color="auto"/>
        <w:right w:val="none" w:sz="0" w:space="0" w:color="auto"/>
      </w:divBdr>
    </w:div>
    <w:div w:id="1481800934">
      <w:bodyDiv w:val="1"/>
      <w:marLeft w:val="0"/>
      <w:marRight w:val="0"/>
      <w:marTop w:val="0"/>
      <w:marBottom w:val="0"/>
      <w:divBdr>
        <w:top w:val="none" w:sz="0" w:space="0" w:color="auto"/>
        <w:left w:val="none" w:sz="0" w:space="0" w:color="auto"/>
        <w:bottom w:val="none" w:sz="0" w:space="0" w:color="auto"/>
        <w:right w:val="none" w:sz="0" w:space="0" w:color="auto"/>
      </w:divBdr>
    </w:div>
    <w:div w:id="1719041732">
      <w:bodyDiv w:val="1"/>
      <w:marLeft w:val="0"/>
      <w:marRight w:val="0"/>
      <w:marTop w:val="0"/>
      <w:marBottom w:val="0"/>
      <w:divBdr>
        <w:top w:val="none" w:sz="0" w:space="0" w:color="auto"/>
        <w:left w:val="none" w:sz="0" w:space="0" w:color="auto"/>
        <w:bottom w:val="none" w:sz="0" w:space="0" w:color="auto"/>
        <w:right w:val="none" w:sz="0" w:space="0" w:color="auto"/>
      </w:divBdr>
    </w:div>
    <w:div w:id="1731347642">
      <w:bodyDiv w:val="1"/>
      <w:marLeft w:val="0"/>
      <w:marRight w:val="0"/>
      <w:marTop w:val="0"/>
      <w:marBottom w:val="0"/>
      <w:divBdr>
        <w:top w:val="none" w:sz="0" w:space="0" w:color="auto"/>
        <w:left w:val="none" w:sz="0" w:space="0" w:color="auto"/>
        <w:bottom w:val="none" w:sz="0" w:space="0" w:color="auto"/>
        <w:right w:val="none" w:sz="0" w:space="0" w:color="auto"/>
      </w:divBdr>
    </w:div>
    <w:div w:id="2124496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s://www.ifrs.org/content/ifrs/home/projects/work-plan/financial-instruments-with-characteristics-of-equity.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frs.org/content/ifrs/home/about-us/our-due-process.html" TargetMode="Externa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6.xml"/></Relationships>
</file>

<file path=word/_rels/footnotes.xml.rels><?xml version="1.0" encoding="UTF-8" standalone="yes"?>
<Relationships xmlns="http://schemas.openxmlformats.org/package/2006/relationships"><Relationship Id="rId3" Type="http://schemas.openxmlformats.org/officeDocument/2006/relationships/hyperlink" Target="https://www.ifrs.org/projects/completed-projects/" TargetMode="External"/><Relationship Id="rId2" Type="http://schemas.openxmlformats.org/officeDocument/2006/relationships/hyperlink" Target="https://www.ifrs.org/projects/work-plan/" TargetMode="External"/><Relationship Id="rId1" Type="http://schemas.openxmlformats.org/officeDocument/2006/relationships/hyperlink" Target="http://data.europa.eu/eli/reg/2002/1606/oj" TargetMode="External"/><Relationship Id="rId5" Type="http://schemas.openxmlformats.org/officeDocument/2006/relationships/hyperlink" Target="https://www.iosco.org/about/?subsection=monitoring_group" TargetMode="External"/><Relationship Id="rId4" Type="http://schemas.openxmlformats.org/officeDocument/2006/relationships/hyperlink" Target="https://commission.europa.eu/publications/omnibus-i_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B2F86-4D6E-49D5-91CA-569F79DDB7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2726</Words>
  <Characters>15540</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2025-11-25T11:21:00Z</dcterms:created>
  <dcterms:modified xsi:type="dcterms:W3CDTF">2025-12-12T15:06:00Z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tatus">
    <vt:lpwstr>Green</vt:lpwstr>
  </property>
  <property fmtid="{D5CDD505-2E9C-101B-9397-08002B2CF9AE}" pid="3" name="Last edited using">
    <vt:lpwstr>LW 9.2, Build 20250828</vt:lpwstr>
  </property>
  <property fmtid="{D5CDD505-2E9C-101B-9397-08002B2CF9AE}" pid="4" name="MSIP_Label_6bd9ddd1-4d20-43f6-abfa-fc3c07406f94_Enabled">
    <vt:lpwstr>true</vt:lpwstr>
  </property>
  <property fmtid="{D5CDD505-2E9C-101B-9397-08002B2CF9AE}" pid="5" name="MSIP_Label_6bd9ddd1-4d20-43f6-abfa-fc3c07406f94_SetDate">
    <vt:lpwstr>2025-10-08T11:54:24Z</vt:lpwstr>
  </property>
  <property fmtid="{D5CDD505-2E9C-101B-9397-08002B2CF9AE}" pid="6" name="MSIP_Label_6bd9ddd1-4d20-43f6-abfa-fc3c07406f94_Method">
    <vt:lpwstr>Standard</vt:lpwstr>
  </property>
  <property fmtid="{D5CDD505-2E9C-101B-9397-08002B2CF9AE}" pid="7" name="MSIP_Label_6bd9ddd1-4d20-43f6-abfa-fc3c07406f94_Name">
    <vt:lpwstr>Commission Use</vt:lpwstr>
  </property>
  <property fmtid="{D5CDD505-2E9C-101B-9397-08002B2CF9AE}" pid="8" name="MSIP_Label_6bd9ddd1-4d20-43f6-abfa-fc3c07406f94_SiteId">
    <vt:lpwstr>b24c8b06-522c-46fe-9080-70926f8dddb1</vt:lpwstr>
  </property>
  <property fmtid="{D5CDD505-2E9C-101B-9397-08002B2CF9AE}" pid="9" name="MSIP_Label_6bd9ddd1-4d20-43f6-abfa-fc3c07406f94_ActionId">
    <vt:lpwstr>05c25bc9-592b-4277-bfd6-44b632b554f9</vt:lpwstr>
  </property>
  <property fmtid="{D5CDD505-2E9C-101B-9397-08002B2CF9AE}" pid="10" name="MSIP_Label_6bd9ddd1-4d20-43f6-abfa-fc3c07406f94_ContentBits">
    <vt:lpwstr>0</vt:lpwstr>
  </property>
  <property fmtid="{D5CDD505-2E9C-101B-9397-08002B2CF9AE}" pid="11" name="MSIP_Label_6bd9ddd1-4d20-43f6-abfa-fc3c07406f94_Tag">
    <vt:lpwstr>10, 3, 0, 1</vt:lpwstr>
  </property>
  <property fmtid="{D5CDD505-2E9C-101B-9397-08002B2CF9AE}" pid="12" name="Level of sensitivity">
    <vt:lpwstr>Standard treatment</vt:lpwstr>
  </property>
  <property fmtid="{D5CDD505-2E9C-101B-9397-08002B2CF9AE}" pid="13" name="Part">
    <vt:lpwstr>1</vt:lpwstr>
  </property>
  <property fmtid="{D5CDD505-2E9C-101B-9397-08002B2CF9AE}" pid="14" name="Total parts">
    <vt:lpwstr>1</vt:lpwstr>
  </property>
  <property fmtid="{D5CDD505-2E9C-101B-9397-08002B2CF9AE}" pid="15" name="CPTemplateID">
    <vt:lpwstr>CP-006</vt:lpwstr>
  </property>
</Properties>
</file>